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2CB2" w14:textId="3582DCF2" w:rsidR="000D75D0" w:rsidRDefault="002A1B52">
      <w:pPr>
        <w:rPr>
          <w:rStyle w:val="Hyperlink"/>
          <w:rFonts w:cs="Arial"/>
          <w:b/>
          <w:bCs/>
          <w:caps/>
          <w:noProof/>
          <w:color w:val="1F4E79" w:themeColor="accent1" w:themeShade="80"/>
          <w:kern w:val="20"/>
          <w:sz w:val="20"/>
          <w:szCs w:val="24"/>
          <w:u w:val="none"/>
        </w:rPr>
        <w:sectPr w:rsidR="000D75D0" w:rsidSect="000D75D0">
          <w:headerReference w:type="even" r:id="rId8"/>
          <w:headerReference w:type="default" r:id="rId9"/>
          <w:footerReference w:type="even" r:id="rId10"/>
          <w:footerReference w:type="default" r:id="rId11"/>
          <w:headerReference w:type="first" r:id="rId12"/>
          <w:footerReference w:type="first" r:id="rId13"/>
          <w:pgSz w:w="11906" w:h="16838" w:code="9"/>
          <w:pgMar w:top="0" w:right="0" w:bottom="0" w:left="0" w:header="0" w:footer="0" w:gutter="0"/>
          <w:cols w:space="708"/>
          <w:docGrid w:linePitch="360"/>
        </w:sectPr>
      </w:pPr>
      <w:bookmarkStart w:id="0" w:name="_Toc46770859"/>
      <w:bookmarkStart w:id="1" w:name="_Toc46507419"/>
      <w:bookmarkStart w:id="2" w:name="_Toc45113433"/>
      <w:bookmarkStart w:id="3" w:name="_Toc44694687"/>
      <w:r>
        <w:rPr>
          <w:noProof/>
        </w:rPr>
        <w:drawing>
          <wp:inline distT="0" distB="0" distL="0" distR="0" wp14:anchorId="7862EE7A" wp14:editId="24FD8E14">
            <wp:extent cx="7532914" cy="10661503"/>
            <wp:effectExtent l="0" t="0" r="0" b="6985"/>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7536428" cy="10666477"/>
                    </a:xfrm>
                    <a:prstGeom prst="rect">
                      <a:avLst/>
                    </a:prstGeom>
                  </pic:spPr>
                </pic:pic>
              </a:graphicData>
            </a:graphic>
          </wp:inline>
        </w:drawing>
      </w:r>
    </w:p>
    <w:sdt>
      <w:sdtPr>
        <w:rPr>
          <w:rStyle w:val="Hyperlink"/>
          <w:rFonts w:eastAsiaTheme="minorHAnsi" w:cs="Arial"/>
          <w:b/>
          <w:bCs/>
          <w:caps/>
          <w:noProof/>
          <w:color w:val="1F4E79" w:themeColor="accent1" w:themeShade="80"/>
          <w:spacing w:val="0"/>
          <w:kern w:val="20"/>
          <w:sz w:val="20"/>
          <w:szCs w:val="24"/>
          <w:u w:val="none"/>
          <w:lang w:eastAsia="en-US"/>
        </w:rPr>
        <w:id w:val="1128744166"/>
        <w:docPartObj>
          <w:docPartGallery w:val="Table of Contents"/>
          <w:docPartUnique/>
        </w:docPartObj>
      </w:sdtPr>
      <w:sdtEndPr>
        <w:rPr>
          <w:rStyle w:val="Hyperlink"/>
          <w:b w:val="0"/>
          <w:bCs w:val="0"/>
          <w:caps w:val="0"/>
          <w:kern w:val="0"/>
          <w:sz w:val="18"/>
          <w:szCs w:val="18"/>
          <w:lang w:val="en-US"/>
        </w:rPr>
      </w:sdtEndPr>
      <w:sdtContent>
        <w:bookmarkEnd w:id="3" w:displacedByCustomXml="next"/>
        <w:bookmarkEnd w:id="2" w:displacedByCustomXml="next"/>
        <w:bookmarkEnd w:id="1" w:displacedByCustomXml="next"/>
        <w:bookmarkEnd w:id="0" w:displacedByCustomXml="next"/>
        <w:sdt>
          <w:sdtPr>
            <w:rPr>
              <w:rFonts w:eastAsiaTheme="minorEastAsia" w:cs="Arial"/>
              <w:b/>
              <w:bCs/>
              <w:caps/>
              <w:noProof/>
              <w:color w:val="1F4E79" w:themeColor="accent1" w:themeShade="80"/>
              <w:spacing w:val="0"/>
              <w:u w:val="single"/>
              <w:lang w:eastAsia="en-US"/>
            </w:rPr>
            <w:id w:val="-1836369859"/>
            <w:docPartObj>
              <w:docPartGallery w:val="Table of Contents"/>
              <w:docPartUnique/>
            </w:docPartObj>
          </w:sdtPr>
          <w:sdtEndPr>
            <w:rPr>
              <w:rFonts w:eastAsiaTheme="minorHAnsi"/>
              <w:color w:val="1F4E79"/>
            </w:rPr>
          </w:sdtEndPr>
          <w:sdtContent>
            <w:p w14:paraId="5EEADB20" w14:textId="473992C1" w:rsidR="003C725C" w:rsidRPr="00E00752" w:rsidRDefault="003C725C" w:rsidP="003C725C">
              <w:pPr>
                <w:pStyle w:val="05-Textonormal"/>
                <w:spacing w:before="0" w:after="0"/>
                <w:rPr>
                  <w:rFonts w:eastAsiaTheme="minorEastAsia" w:cs="Arial"/>
                  <w:b/>
                  <w:bCs/>
                  <w:caps/>
                  <w:noProof/>
                  <w:color w:val="1F4E79"/>
                </w:rPr>
              </w:pPr>
            </w:p>
            <w:p w14:paraId="72E5398E" w14:textId="625FF2B2" w:rsidR="003C725C" w:rsidRPr="00E00752" w:rsidRDefault="003C725C" w:rsidP="003C725C">
              <w:pPr>
                <w:pStyle w:val="05-Textonormal1"/>
                <w:jc w:val="center"/>
                <w:rPr>
                  <w:rStyle w:val="Hyperlink"/>
                  <w:rFonts w:eastAsiaTheme="minorHAnsi" w:cs="Arial"/>
                  <w:b/>
                  <w:bCs/>
                  <w:caps/>
                  <w:noProof/>
                  <w:color w:val="1F4E79" w:themeColor="accent1" w:themeShade="80"/>
                  <w:spacing w:val="0"/>
                  <w:u w:val="none"/>
                  <w:lang w:eastAsia="en-US"/>
                </w:rPr>
              </w:pPr>
              <w:r>
                <w:rPr>
                  <w:rStyle w:val="Hyperlink"/>
                  <w:rFonts w:eastAsiaTheme="minorHAnsi" w:cs="Arial"/>
                  <w:b/>
                  <w:bCs/>
                  <w:caps/>
                  <w:noProof/>
                  <w:color w:val="1F4E79" w:themeColor="accent1" w:themeShade="80"/>
                  <w:spacing w:val="0"/>
                  <w:u w:val="none"/>
                  <w:lang w:eastAsia="en-US"/>
                </w:rPr>
                <w:t>i</w:t>
              </w:r>
              <w:r w:rsidRPr="00E00752">
                <w:rPr>
                  <w:rStyle w:val="Hyperlink"/>
                  <w:rFonts w:eastAsiaTheme="minorHAnsi" w:cs="Arial"/>
                  <w:b/>
                  <w:bCs/>
                  <w:caps/>
                  <w:noProof/>
                  <w:color w:val="1F4E79" w:themeColor="accent1" w:themeShade="80"/>
                  <w:spacing w:val="0"/>
                  <w:u w:val="none"/>
                  <w:lang w:eastAsia="en-US"/>
                </w:rPr>
                <w:t>ND</w:t>
              </w:r>
              <w:r>
                <w:rPr>
                  <w:rStyle w:val="Hyperlink"/>
                  <w:rFonts w:eastAsiaTheme="minorHAnsi" w:cs="Arial"/>
                  <w:b/>
                  <w:bCs/>
                  <w:caps/>
                  <w:noProof/>
                  <w:color w:val="1F4E79" w:themeColor="accent1" w:themeShade="80"/>
                  <w:spacing w:val="0"/>
                  <w:u w:val="none"/>
                  <w:lang w:eastAsia="en-US"/>
                </w:rPr>
                <w:t>ex</w:t>
              </w:r>
            </w:p>
            <w:p w14:paraId="277D9774" w14:textId="1A200EC6"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lang w:val="en-US"/>
                </w:rPr>
                <w:t>MANAGEMENT COMMENTS ON PERFORMACE</w:t>
              </w:r>
              <w:r>
                <w:rPr>
                  <w:webHidden/>
                </w:rPr>
                <w:tab/>
              </w:r>
              <w:r w:rsidR="000C6C6A">
                <w:rPr>
                  <w:webHidden/>
                </w:rPr>
                <w:t>1</w:t>
              </w:r>
            </w:p>
            <w:p w14:paraId="1827FA23" w14:textId="565D2323"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STATEMENT OF INCOME</w:t>
              </w:r>
              <w:r>
                <w:rPr>
                  <w:webHidden/>
                </w:rPr>
                <w:tab/>
              </w:r>
              <w:r w:rsidR="000C6C6A">
                <w:rPr>
                  <w:webHidden/>
                </w:rPr>
                <w:t>2</w:t>
              </w:r>
            </w:p>
            <w:p w14:paraId="50B3BEA5" w14:textId="73D51B98"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STATEMENT OF COMPREHENSIVE INCOME</w:t>
              </w:r>
              <w:r>
                <w:rPr>
                  <w:webHidden/>
                </w:rPr>
                <w:tab/>
              </w:r>
              <w:r w:rsidR="000C6C6A">
                <w:rPr>
                  <w:webHidden/>
                </w:rPr>
                <w:t>2</w:t>
              </w:r>
            </w:p>
            <w:p w14:paraId="1AA5A70C" w14:textId="6BAA803F"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BALANCE SHEET</w:t>
              </w:r>
              <w:r>
                <w:rPr>
                  <w:webHidden/>
                </w:rPr>
                <w:tab/>
              </w:r>
              <w:r w:rsidR="000C6C6A">
                <w:rPr>
                  <w:webHidden/>
                </w:rPr>
                <w:t>3</w:t>
              </w:r>
            </w:p>
            <w:p w14:paraId="60062870" w14:textId="37189DF6"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STATEMENT OF CASH FLOWS</w:t>
              </w:r>
              <w:r>
                <w:rPr>
                  <w:webHidden/>
                </w:rPr>
                <w:tab/>
              </w:r>
              <w:r w:rsidR="000C6C6A">
                <w:rPr>
                  <w:webHidden/>
                </w:rPr>
                <w:t>4</w:t>
              </w:r>
            </w:p>
            <w:p w14:paraId="674A298D" w14:textId="50D7E5A3"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STATEMENT OF CHANGES IN EQUITY</w:t>
              </w:r>
              <w:r>
                <w:rPr>
                  <w:webHidden/>
                </w:rPr>
                <w:tab/>
              </w:r>
              <w:r w:rsidR="000C6C6A">
                <w:rPr>
                  <w:webHidden/>
                </w:rPr>
                <w:t>5</w:t>
              </w:r>
            </w:p>
            <w:p w14:paraId="2328F066" w14:textId="008FB3A8"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STATEMENT OF VALUE ADDED</w:t>
              </w:r>
              <w:r>
                <w:rPr>
                  <w:webHidden/>
                </w:rPr>
                <w:tab/>
              </w:r>
              <w:r w:rsidR="000C6C6A">
                <w:rPr>
                  <w:webHidden/>
                </w:rPr>
                <w:t>6</w:t>
              </w:r>
            </w:p>
            <w:p w14:paraId="749B3B4A" w14:textId="19EE0399"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EXPLANATORY NOTES TO THE FINANCIAL STATEMENTS</w:t>
              </w:r>
              <w:r>
                <w:rPr>
                  <w:webHidden/>
                </w:rPr>
                <w:tab/>
              </w:r>
              <w:r w:rsidR="000C6C6A">
                <w:rPr>
                  <w:webHidden/>
                </w:rPr>
                <w:t>7</w:t>
              </w:r>
            </w:p>
            <w:p w14:paraId="023E759B" w14:textId="63400FC6"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1 - OPERATIONAL CONTEXT</w:t>
              </w:r>
              <w:r>
                <w:rPr>
                  <w:webHidden/>
                </w:rPr>
                <w:tab/>
              </w:r>
              <w:r w:rsidR="000C6C6A">
                <w:rPr>
                  <w:webHidden/>
                </w:rPr>
                <w:t>7</w:t>
              </w:r>
            </w:p>
            <w:p w14:paraId="31326831" w14:textId="0A9FDAC9"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2 – ACQUISITIONS, DISPOSALS AND CORPORATE RESTRUCTURINGS</w:t>
              </w:r>
              <w:r>
                <w:rPr>
                  <w:webHidden/>
                </w:rPr>
                <w:tab/>
              </w:r>
              <w:r w:rsidR="000C6C6A">
                <w:rPr>
                  <w:webHidden/>
                </w:rPr>
                <w:t>7</w:t>
              </w:r>
            </w:p>
            <w:p w14:paraId="75D3F212" w14:textId="0CE61D85"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3 – PRESENTATION OF INTERIM FINANCIAL STATEMENTS</w:t>
              </w:r>
              <w:r>
                <w:rPr>
                  <w:webHidden/>
                </w:rPr>
                <w:tab/>
              </w:r>
              <w:r w:rsidR="000C6C6A">
                <w:rPr>
                  <w:webHidden/>
                </w:rPr>
                <w:t>9</w:t>
              </w:r>
            </w:p>
            <w:p w14:paraId="21DA93C2" w14:textId="0C84F26D"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4 – DESCRIPTION OF KEY ACCOUNTING POLICIES</w:t>
              </w:r>
              <w:r>
                <w:rPr>
                  <w:webHidden/>
                </w:rPr>
                <w:tab/>
              </w:r>
              <w:r w:rsidR="000C6C6A">
                <w:rPr>
                  <w:webHidden/>
                </w:rPr>
                <w:t>15</w:t>
              </w:r>
            </w:p>
            <w:p w14:paraId="59634F91" w14:textId="74B26A18"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5 – RISK MANAGEMENT</w:t>
              </w:r>
              <w:r>
                <w:rPr>
                  <w:webHidden/>
                </w:rPr>
                <w:tab/>
              </w:r>
              <w:r w:rsidR="000C6C6A">
                <w:rPr>
                  <w:webHidden/>
                </w:rPr>
                <w:t>20</w:t>
              </w:r>
            </w:p>
            <w:p w14:paraId="51F06290" w14:textId="73AA02DA"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6 – SEGMENT INFORMATION</w:t>
              </w:r>
              <w:r>
                <w:rPr>
                  <w:webHidden/>
                </w:rPr>
                <w:tab/>
              </w:r>
              <w:r w:rsidR="000C6C6A">
                <w:rPr>
                  <w:webHidden/>
                </w:rPr>
                <w:t>24</w:t>
              </w:r>
            </w:p>
            <w:p w14:paraId="0E0215F1" w14:textId="639D48B9"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7 - INVESTMENTS IN ASSOCIATES</w:t>
              </w:r>
              <w:r>
                <w:rPr>
                  <w:webHidden/>
                </w:rPr>
                <w:tab/>
              </w:r>
              <w:r w:rsidR="000C6C6A">
                <w:rPr>
                  <w:webHidden/>
                </w:rPr>
                <w:t>27</w:t>
              </w:r>
            </w:p>
            <w:p w14:paraId="01107A0C" w14:textId="52BD5620"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8 – COMMISSIONS INCOME</w:t>
              </w:r>
              <w:r>
                <w:rPr>
                  <w:webHidden/>
                </w:rPr>
                <w:tab/>
              </w:r>
              <w:r w:rsidR="000C6C6A">
                <w:rPr>
                  <w:webHidden/>
                </w:rPr>
                <w:t>41</w:t>
              </w:r>
            </w:p>
            <w:p w14:paraId="7026DA60" w14:textId="2C7AAABE"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9 – COSTS OF SERVICES PROVIDED</w:t>
              </w:r>
              <w:r>
                <w:rPr>
                  <w:webHidden/>
                </w:rPr>
                <w:tab/>
              </w:r>
              <w:r w:rsidR="000C6C6A">
                <w:rPr>
                  <w:webHidden/>
                </w:rPr>
                <w:t>42</w:t>
              </w:r>
            </w:p>
            <w:p w14:paraId="1D9481AD" w14:textId="19F01614"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10 – PERSONNEL EXPENSES</w:t>
              </w:r>
              <w:r>
                <w:rPr>
                  <w:webHidden/>
                </w:rPr>
                <w:tab/>
              </w:r>
              <w:r w:rsidR="000C6C6A">
                <w:rPr>
                  <w:webHidden/>
                </w:rPr>
                <w:t>42</w:t>
              </w:r>
            </w:p>
            <w:p w14:paraId="653F7EF8" w14:textId="5AA0A533"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11 – ADMINISTRATIVE EXPENSES AND SALES</w:t>
              </w:r>
              <w:r>
                <w:rPr>
                  <w:webHidden/>
                </w:rPr>
                <w:tab/>
              </w:r>
              <w:r w:rsidR="000C6C6A">
                <w:rPr>
                  <w:webHidden/>
                </w:rPr>
                <w:t>42</w:t>
              </w:r>
            </w:p>
            <w:p w14:paraId="4FF6E7FA" w14:textId="14F2B98C"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12 – TAXES</w:t>
              </w:r>
              <w:r>
                <w:rPr>
                  <w:webHidden/>
                </w:rPr>
                <w:tab/>
              </w:r>
              <w:r w:rsidR="000C6C6A">
                <w:rPr>
                  <w:webHidden/>
                </w:rPr>
                <w:t>42</w:t>
              </w:r>
            </w:p>
            <w:p w14:paraId="4E2E53A3" w14:textId="2D1C4580"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13 – OTHER INCOME AND EXPENSE</w:t>
              </w:r>
              <w:r>
                <w:rPr>
                  <w:webHidden/>
                </w:rPr>
                <w:tab/>
              </w:r>
              <w:r w:rsidR="000C6C6A">
                <w:rPr>
                  <w:webHidden/>
                </w:rPr>
                <w:t>45</w:t>
              </w:r>
            </w:p>
            <w:p w14:paraId="624B6AAE" w14:textId="7D920EC3"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color w:val="023160" w:themeColor="hyperlink" w:themeShade="80"/>
                </w:rPr>
                <w:t>14 – FINANCIAL RESULT</w:t>
              </w:r>
              <w:r>
                <w:rPr>
                  <w:webHidden/>
                </w:rPr>
                <w:tab/>
              </w:r>
              <w:r w:rsidR="000C6C6A">
                <w:rPr>
                  <w:webHidden/>
                </w:rPr>
                <w:t>45</w:t>
              </w:r>
            </w:p>
            <w:p w14:paraId="02488695" w14:textId="61812010"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15 – CASH AND CASH EQUIVALENTS</w:t>
              </w:r>
              <w:r>
                <w:rPr>
                  <w:webHidden/>
                </w:rPr>
                <w:tab/>
              </w:r>
              <w:r w:rsidR="000C6C6A">
                <w:rPr>
                  <w:webHidden/>
                </w:rPr>
                <w:t>45</w:t>
              </w:r>
            </w:p>
            <w:p w14:paraId="335FAECA" w14:textId="085F2437"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16 – FINANCIAL INSTRUMENTS</w:t>
              </w:r>
              <w:r>
                <w:rPr>
                  <w:webHidden/>
                </w:rPr>
                <w:tab/>
              </w:r>
              <w:r w:rsidR="000C6C6A">
                <w:rPr>
                  <w:webHidden/>
                </w:rPr>
                <w:t>46</w:t>
              </w:r>
            </w:p>
            <w:p w14:paraId="78C138C0" w14:textId="57BB07CE"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17 – DIVIDENDS / INTEREST ON EQUITY CAPITAL RECEIVABLE</w:t>
              </w:r>
              <w:r>
                <w:rPr>
                  <w:webHidden/>
                </w:rPr>
                <w:tab/>
              </w:r>
              <w:r w:rsidR="000C6C6A">
                <w:rPr>
                  <w:webHidden/>
                </w:rPr>
                <w:t>46</w:t>
              </w:r>
            </w:p>
            <w:p w14:paraId="27AB0587" w14:textId="13DC22D8"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18 – COMMISSIONS RECEIVABLE</w:t>
              </w:r>
              <w:r>
                <w:rPr>
                  <w:webHidden/>
                </w:rPr>
                <w:tab/>
              </w:r>
              <w:r w:rsidR="000C6C6A">
                <w:rPr>
                  <w:webHidden/>
                </w:rPr>
                <w:t>47</w:t>
              </w:r>
            </w:p>
            <w:p w14:paraId="66FFD58C" w14:textId="6809C127"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19 – INTANGIBLE ASSET</w:t>
              </w:r>
              <w:r>
                <w:rPr>
                  <w:webHidden/>
                </w:rPr>
                <w:tab/>
              </w:r>
              <w:r w:rsidR="000C6C6A">
                <w:rPr>
                  <w:webHidden/>
                </w:rPr>
                <w:t>47</w:t>
              </w:r>
            </w:p>
            <w:p w14:paraId="7FB03CF6" w14:textId="3C99B89C"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20 – OTHER ASSETS</w:t>
              </w:r>
              <w:r>
                <w:rPr>
                  <w:webHidden/>
                </w:rPr>
                <w:tab/>
              </w:r>
              <w:r w:rsidR="000C6C6A">
                <w:rPr>
                  <w:webHidden/>
                </w:rPr>
                <w:t>48</w:t>
              </w:r>
            </w:p>
            <w:p w14:paraId="271FB928" w14:textId="79DBA93C"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color w:val="023160" w:themeColor="hyperlink" w:themeShade="80"/>
                  <w:lang w:val="en-US"/>
                </w:rPr>
                <w:t>21 – CORPORATE AND STATUTORY OBLIGATIONS</w:t>
              </w:r>
              <w:r>
                <w:rPr>
                  <w:webHidden/>
                </w:rPr>
                <w:tab/>
              </w:r>
              <w:r w:rsidR="000C6C6A">
                <w:rPr>
                  <w:webHidden/>
                </w:rPr>
                <w:t>48</w:t>
              </w:r>
            </w:p>
            <w:p w14:paraId="070EFCE4" w14:textId="3346FB62"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22 – PROVISIONS AND CONTINGENT LIABILITIES</w:t>
              </w:r>
              <w:r>
                <w:rPr>
                  <w:webHidden/>
                </w:rPr>
                <w:tab/>
              </w:r>
              <w:r w:rsidR="000C6C6A">
                <w:rPr>
                  <w:webHidden/>
                </w:rPr>
                <w:t>48</w:t>
              </w:r>
            </w:p>
            <w:p w14:paraId="650863A2" w14:textId="569CFA8D"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23 – UNEARDED COMMISSIONS</w:t>
              </w:r>
              <w:r>
                <w:rPr>
                  <w:webHidden/>
                </w:rPr>
                <w:tab/>
              </w:r>
              <w:r w:rsidR="000C6C6A">
                <w:rPr>
                  <w:webHidden/>
                </w:rPr>
                <w:t>51</w:t>
              </w:r>
            </w:p>
            <w:p w14:paraId="0DE32F85" w14:textId="2EF8936F"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24 – OTHER LIABILITIES</w:t>
              </w:r>
              <w:r>
                <w:rPr>
                  <w:webHidden/>
                </w:rPr>
                <w:tab/>
              </w:r>
              <w:r w:rsidR="000C6C6A">
                <w:rPr>
                  <w:webHidden/>
                </w:rPr>
                <w:t>51</w:t>
              </w:r>
            </w:p>
            <w:p w14:paraId="5FA2C9D8" w14:textId="1548471B"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lang w:val="en-US"/>
                </w:rPr>
                <w:t>25 – EQUITY</w:t>
              </w:r>
              <w:r>
                <w:rPr>
                  <w:webHidden/>
                </w:rPr>
                <w:tab/>
              </w:r>
              <w:r w:rsidR="000C6C6A">
                <w:rPr>
                  <w:webHidden/>
                </w:rPr>
                <w:t>51</w:t>
              </w:r>
            </w:p>
            <w:p w14:paraId="03265D15" w14:textId="7C22CFD8" w:rsidR="00A1371B" w:rsidRDefault="00A1371B">
              <w:pPr>
                <w:pStyle w:val="Sumrio1"/>
                <w:rPr>
                  <w:rFonts w:asciiTheme="minorHAnsi" w:eastAsiaTheme="minorEastAsia" w:hAnsiTheme="minorHAnsi" w:cstheme="minorBidi"/>
                  <w:b w:val="0"/>
                  <w:bCs w:val="0"/>
                  <w:caps w:val="0"/>
                  <w:color w:val="auto"/>
                  <w:sz w:val="22"/>
                  <w:szCs w:val="22"/>
                  <w:lang w:eastAsia="pt-BR"/>
                </w:rPr>
              </w:pPr>
              <w:r w:rsidRPr="000C6C6A">
                <w:rPr>
                  <w:rStyle w:val="Hyperlink"/>
                </w:rPr>
                <w:t>26 – RELATED PARTY TRANSACTIONS</w:t>
              </w:r>
              <w:r>
                <w:rPr>
                  <w:webHidden/>
                </w:rPr>
                <w:tab/>
              </w:r>
              <w:r w:rsidR="000C6C6A">
                <w:rPr>
                  <w:webHidden/>
                </w:rPr>
                <w:t>55</w:t>
              </w:r>
            </w:p>
            <w:p w14:paraId="6D213385" w14:textId="0B320CC1"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REPORT OF INDEPENDENT AUDITORS FOR FINANCIAL STATEMENTS</w:t>
              </w:r>
            </w:p>
            <w:p w14:paraId="44C7F8D1"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DECLARATION OF THE MEMBERS OF THE EXECUTIVE BOARD ABOUT THE FINANCIAL STATEMENTS</w:t>
              </w:r>
            </w:p>
            <w:p w14:paraId="46A14783"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STATEMENT OF THE MEMBERS OF THE EXECUTIVE BOARD ON THE REPORT OF THE INDEPENDENT AUDITORS</w:t>
              </w:r>
            </w:p>
            <w:p w14:paraId="704DE7D3" w14:textId="63B85891" w:rsidR="003C725C" w:rsidRPr="00FC4475" w:rsidRDefault="00FC4475" w:rsidP="001A2EC3">
              <w:pPr>
                <w:pStyle w:val="Sumrio1"/>
                <w:rPr>
                  <w:caps w:val="0"/>
                  <w:color w:val="1F4E79" w:themeColor="accent1" w:themeShade="80"/>
                  <w:lang w:val="en-US"/>
                </w:rPr>
              </w:pPr>
              <w:r w:rsidRPr="00FC4475">
                <w:rPr>
                  <w:caps w:val="0"/>
                  <w:color w:val="1F4E79" w:themeColor="accent1" w:themeShade="80"/>
                  <w:lang w:val="en-US"/>
                </w:rPr>
                <w:t>MEMBERS OF THE MANAGEMENT BODIES</w:t>
              </w:r>
            </w:p>
          </w:sdtContent>
        </w:sdt>
      </w:sdtContent>
    </w:sdt>
    <w:p w14:paraId="2C6E771A" w14:textId="77777777" w:rsidR="00572AC0" w:rsidRPr="00C72009" w:rsidRDefault="00572AC0" w:rsidP="00F0356E">
      <w:pPr>
        <w:pStyle w:val="Body"/>
        <w:spacing w:after="120" w:line="240" w:lineRule="auto"/>
        <w:jc w:val="left"/>
        <w:rPr>
          <w:rFonts w:cs="Arial"/>
          <w:lang w:val="en-US" w:eastAsia="pt-BR"/>
        </w:rPr>
      </w:pPr>
    </w:p>
    <w:p w14:paraId="62D805EC" w14:textId="45BDCC38" w:rsidR="00F530C9" w:rsidRDefault="00F530C9">
      <w:pPr>
        <w:rPr>
          <w:rFonts w:cs="Arial"/>
          <w:lang w:val="en-US" w:eastAsia="pt-BR"/>
        </w:rPr>
      </w:pPr>
      <w:r>
        <w:rPr>
          <w:rFonts w:cs="Arial"/>
          <w:lang w:val="en-US" w:eastAsia="pt-BR"/>
        </w:rPr>
        <w:br w:type="page"/>
      </w:r>
    </w:p>
    <w:p w14:paraId="1D50675F" w14:textId="77777777" w:rsidR="00F81992" w:rsidRPr="00C72009" w:rsidRDefault="00F81992" w:rsidP="002D71EB">
      <w:pPr>
        <w:tabs>
          <w:tab w:val="left" w:pos="6495"/>
        </w:tabs>
        <w:rPr>
          <w:rFonts w:cs="Arial"/>
          <w:lang w:val="en-US" w:eastAsia="pt-BR"/>
        </w:rPr>
        <w:sectPr w:rsidR="00F81992" w:rsidRPr="00C72009" w:rsidSect="00F81992">
          <w:headerReference w:type="default" r:id="rId16"/>
          <w:pgSz w:w="11906" w:h="16838" w:code="9"/>
          <w:pgMar w:top="1134" w:right="1134" w:bottom="851" w:left="1134" w:header="851" w:footer="284" w:gutter="0"/>
          <w:cols w:space="708"/>
          <w:docGrid w:linePitch="360"/>
        </w:sectPr>
      </w:pPr>
    </w:p>
    <w:p w14:paraId="501253EA" w14:textId="78C85A71" w:rsidR="005D05B7" w:rsidRPr="00D3472F" w:rsidRDefault="0042368D" w:rsidP="009D4210">
      <w:pPr>
        <w:pStyle w:val="02-TtulodeNota"/>
        <w:rPr>
          <w:color w:val="1F4E79" w:themeColor="accent1" w:themeShade="80"/>
          <w:lang w:val="en-US"/>
        </w:rPr>
      </w:pPr>
      <w:bookmarkStart w:id="4" w:name="_Toc110438594"/>
      <w:bookmarkStart w:id="5" w:name="_Toc134823555"/>
      <w:r w:rsidRPr="00D3472F">
        <w:rPr>
          <w:color w:val="1F4E79" w:themeColor="accent1" w:themeShade="80"/>
          <w:lang w:val="en-US"/>
        </w:rPr>
        <w:lastRenderedPageBreak/>
        <w:t>MANAGEMENT COMMENTS ON PERFORMACE</w:t>
      </w:r>
      <w:bookmarkEnd w:id="4"/>
      <w:bookmarkEnd w:id="5"/>
      <w:r w:rsidRPr="00D3472F">
        <w:rPr>
          <w:color w:val="1F4E79" w:themeColor="accent1" w:themeShade="80"/>
          <w:lang w:val="en-US"/>
        </w:rPr>
        <w:t xml:space="preserve"> </w:t>
      </w:r>
    </w:p>
    <w:p w14:paraId="1328BA6B" w14:textId="77777777" w:rsidR="005D05B7" w:rsidRDefault="005D05B7" w:rsidP="005D05B7">
      <w:pPr>
        <w:jc w:val="both"/>
        <w:rPr>
          <w:rFonts w:cs="Arial"/>
          <w:sz w:val="20"/>
          <w:szCs w:val="20"/>
          <w:lang w:val="en-US" w:eastAsia="pt-BR"/>
        </w:rPr>
      </w:pPr>
    </w:p>
    <w:p w14:paraId="15F2B5B3" w14:textId="7C803EB3" w:rsidR="00014575" w:rsidRPr="00C4378C" w:rsidRDefault="00014575" w:rsidP="00991E72">
      <w:pPr>
        <w:pStyle w:val="03-SubttulodeNota"/>
        <w:spacing w:line="276" w:lineRule="auto"/>
        <w:rPr>
          <w:color w:val="1F4E79" w:themeColor="accent1" w:themeShade="80"/>
          <w:lang w:val="en-US"/>
        </w:rPr>
      </w:pPr>
      <w:r w:rsidRPr="00C4378C">
        <w:rPr>
          <w:color w:val="1F4E79" w:themeColor="accent1" w:themeShade="80"/>
          <w:lang w:val="en-US"/>
        </w:rPr>
        <w:t>Dear Shareholders,</w:t>
      </w:r>
    </w:p>
    <w:p w14:paraId="1B3156B7" w14:textId="77777777" w:rsidR="00014575" w:rsidRPr="00C4378C" w:rsidRDefault="00014575" w:rsidP="00991E72">
      <w:pPr>
        <w:spacing w:after="0" w:line="240" w:lineRule="auto"/>
        <w:jc w:val="both"/>
        <w:rPr>
          <w:rFonts w:eastAsia="Times New Roman" w:cs="Arial"/>
          <w:sz w:val="20"/>
          <w:szCs w:val="20"/>
          <w:lang w:val="en-US" w:eastAsia="pt-BR"/>
        </w:rPr>
      </w:pPr>
    </w:p>
    <w:p w14:paraId="4ED87748" w14:textId="77777777" w:rsidR="00014575" w:rsidRDefault="00014575" w:rsidP="00991E72">
      <w:pPr>
        <w:spacing w:before="100" w:after="100"/>
        <w:jc w:val="both"/>
        <w:rPr>
          <w:rFonts w:eastAsia="Times New Roman" w:cs="Arial"/>
          <w:color w:val="000000" w:themeColor="text1"/>
          <w:sz w:val="20"/>
          <w:szCs w:val="20"/>
          <w:lang w:val="en-US" w:eastAsia="pt-BR"/>
        </w:rPr>
      </w:pPr>
      <w:r>
        <w:rPr>
          <w:rFonts w:eastAsia="Times New Roman" w:cs="Arial"/>
          <w:color w:val="000000" w:themeColor="text1"/>
          <w:sz w:val="20"/>
          <w:szCs w:val="20"/>
          <w:lang w:val="en-US" w:eastAsia="pt-BR"/>
        </w:rPr>
        <w:t xml:space="preserve">In the first quarter of 2023, </w:t>
      </w:r>
      <w:r w:rsidRPr="00C4378C">
        <w:rPr>
          <w:rFonts w:eastAsia="Times New Roman" w:cs="Arial"/>
          <w:color w:val="000000" w:themeColor="text1"/>
          <w:sz w:val="20"/>
          <w:szCs w:val="20"/>
          <w:lang w:val="en-US" w:eastAsia="pt-BR"/>
        </w:rPr>
        <w:t>BB Seguridade Participações S.A. (“BB Seguridade” or “Company”) reported</w:t>
      </w:r>
      <w:r>
        <w:rPr>
          <w:rFonts w:eastAsia="Times New Roman" w:cs="Arial"/>
          <w:color w:val="000000" w:themeColor="text1"/>
          <w:sz w:val="20"/>
          <w:szCs w:val="20"/>
          <w:lang w:val="en-US" w:eastAsia="pt-BR"/>
        </w:rPr>
        <w:t xml:space="preserve"> </w:t>
      </w:r>
      <w:r w:rsidRPr="00C4378C">
        <w:rPr>
          <w:rFonts w:eastAsia="Times New Roman" w:cs="Arial"/>
          <w:color w:val="000000" w:themeColor="text1"/>
          <w:sz w:val="20"/>
          <w:szCs w:val="20"/>
          <w:lang w:val="en-US" w:eastAsia="pt-BR"/>
        </w:rPr>
        <w:t>net income</w:t>
      </w:r>
      <w:r>
        <w:rPr>
          <w:rFonts w:eastAsia="Times New Roman" w:cs="Arial"/>
          <w:color w:val="000000" w:themeColor="text1"/>
          <w:sz w:val="20"/>
          <w:szCs w:val="20"/>
          <w:lang w:val="en-US" w:eastAsia="pt-BR"/>
        </w:rPr>
        <w:t xml:space="preserve"> of </w:t>
      </w:r>
      <w:r w:rsidRPr="00C4378C">
        <w:rPr>
          <w:rFonts w:eastAsia="Times New Roman" w:cs="Arial"/>
          <w:color w:val="000000" w:themeColor="text1"/>
          <w:sz w:val="20"/>
          <w:szCs w:val="20"/>
          <w:lang w:val="en-US" w:eastAsia="pt-BR"/>
        </w:rPr>
        <w:t>R$1</w:t>
      </w:r>
      <w:r>
        <w:rPr>
          <w:rFonts w:eastAsia="Times New Roman" w:cs="Arial"/>
          <w:color w:val="000000" w:themeColor="text1"/>
          <w:sz w:val="20"/>
          <w:szCs w:val="20"/>
          <w:lang w:val="en-US" w:eastAsia="pt-BR"/>
        </w:rPr>
        <w:t>,833 million (+51.5%</w:t>
      </w:r>
      <w:r w:rsidRPr="00C4378C">
        <w:rPr>
          <w:rFonts w:eastAsia="Times New Roman" w:cs="Arial"/>
          <w:color w:val="000000" w:themeColor="text1"/>
          <w:sz w:val="20"/>
          <w:szCs w:val="20"/>
          <w:lang w:val="en-US" w:eastAsia="pt-BR"/>
        </w:rPr>
        <w:t xml:space="preserve"> </w:t>
      </w:r>
      <w:r>
        <w:rPr>
          <w:rFonts w:eastAsia="Times New Roman" w:cs="Arial"/>
          <w:color w:val="000000" w:themeColor="text1"/>
          <w:sz w:val="20"/>
          <w:szCs w:val="20"/>
          <w:lang w:val="en-US" w:eastAsia="pt-BR"/>
        </w:rPr>
        <w:t xml:space="preserve">YoY), in a quarter with strong commercial performance of insurance, pension plans and premium bonds segments, loss ratio improvement and financial results growth. </w:t>
      </w:r>
    </w:p>
    <w:p w14:paraId="6164E5F6" w14:textId="77777777" w:rsidR="00014575" w:rsidRPr="00C4378C" w:rsidRDefault="00014575" w:rsidP="00991E72">
      <w:pPr>
        <w:spacing w:before="100" w:after="100"/>
        <w:jc w:val="both"/>
        <w:rPr>
          <w:rFonts w:eastAsia="Times New Roman" w:cs="Arial"/>
          <w:color w:val="000000" w:themeColor="text1"/>
          <w:sz w:val="20"/>
          <w:szCs w:val="20"/>
          <w:lang w:val="en-US" w:eastAsia="pt-BR"/>
        </w:rPr>
      </w:pPr>
      <w:r>
        <w:rPr>
          <w:rFonts w:eastAsia="Times New Roman" w:cs="Arial"/>
          <w:color w:val="000000" w:themeColor="text1"/>
          <w:sz w:val="20"/>
          <w:szCs w:val="20"/>
          <w:lang w:val="en-US" w:eastAsia="pt-BR"/>
        </w:rPr>
        <w:t>The main highlights explaining the R$617.8 million increase of net income as compared to the 1Q22 were:</w:t>
      </w:r>
      <w:r w:rsidRPr="00C4378C">
        <w:rPr>
          <w:rFonts w:eastAsia="Times New Roman" w:cs="Arial"/>
          <w:color w:val="000000" w:themeColor="text1"/>
          <w:sz w:val="20"/>
          <w:szCs w:val="20"/>
          <w:lang w:val="en-US" w:eastAsia="pt-BR"/>
        </w:rPr>
        <w:t xml:space="preserve"> </w:t>
      </w:r>
    </w:p>
    <w:p w14:paraId="76D70247" w14:textId="77777777" w:rsidR="00014575" w:rsidRDefault="00014575" w:rsidP="006A362F">
      <w:pPr>
        <w:pStyle w:val="PargrafodaLista"/>
        <w:numPr>
          <w:ilvl w:val="0"/>
          <w:numId w:val="32"/>
        </w:numPr>
        <w:spacing w:before="100" w:after="100"/>
        <w:ind w:left="426" w:hanging="284"/>
        <w:jc w:val="both"/>
        <w:rPr>
          <w:rFonts w:ascii="Arial" w:eastAsia="Times New Roman" w:hAnsi="Arial" w:cs="Arial"/>
          <w:color w:val="000000" w:themeColor="text1"/>
          <w:sz w:val="20"/>
          <w:szCs w:val="20"/>
          <w:lang w:val="en-US" w:eastAsia="pt-BR"/>
        </w:rPr>
      </w:pPr>
      <w:r w:rsidRPr="00C4378C">
        <w:rPr>
          <w:rFonts w:ascii="Arial" w:eastAsia="Times New Roman" w:hAnsi="Arial" w:cs="Arial"/>
          <w:b/>
          <w:bCs/>
          <w:color w:val="000000" w:themeColor="text1"/>
          <w:sz w:val="20"/>
          <w:szCs w:val="20"/>
          <w:lang w:val="en-US" w:eastAsia="pt-BR"/>
        </w:rPr>
        <w:t>Brasil</w:t>
      </w:r>
      <w:r>
        <w:rPr>
          <w:rFonts w:ascii="Arial" w:eastAsia="Times New Roman" w:hAnsi="Arial" w:cs="Arial"/>
          <w:b/>
          <w:bCs/>
          <w:color w:val="000000" w:themeColor="text1"/>
          <w:sz w:val="20"/>
          <w:szCs w:val="20"/>
          <w:lang w:val="en-US" w:eastAsia="pt-BR"/>
        </w:rPr>
        <w:t>seg</w:t>
      </w:r>
      <w:r w:rsidRPr="00C4378C">
        <w:rPr>
          <w:rFonts w:ascii="Arial" w:eastAsia="Times New Roman" w:hAnsi="Arial" w:cs="Arial"/>
          <w:b/>
          <w:bCs/>
          <w:color w:val="000000" w:themeColor="text1"/>
          <w:sz w:val="20"/>
          <w:szCs w:val="20"/>
          <w:lang w:val="en-US" w:eastAsia="pt-BR"/>
        </w:rPr>
        <w:t xml:space="preserve"> (+R$</w:t>
      </w:r>
      <w:r>
        <w:rPr>
          <w:rFonts w:ascii="Arial" w:eastAsia="Times New Roman" w:hAnsi="Arial" w:cs="Arial"/>
          <w:b/>
          <w:bCs/>
          <w:color w:val="000000" w:themeColor="text1"/>
          <w:sz w:val="20"/>
          <w:szCs w:val="20"/>
          <w:lang w:val="en-US" w:eastAsia="pt-BR"/>
        </w:rPr>
        <w:t>372.5</w:t>
      </w:r>
      <w:r w:rsidRPr="00C4378C">
        <w:rPr>
          <w:rFonts w:ascii="Arial" w:eastAsia="Times New Roman" w:hAnsi="Arial" w:cs="Arial"/>
          <w:b/>
          <w:bCs/>
          <w:color w:val="000000" w:themeColor="text1"/>
          <w:sz w:val="20"/>
          <w:szCs w:val="20"/>
          <w:lang w:val="en-US" w:eastAsia="pt-BR"/>
        </w:rPr>
        <w:t xml:space="preserve"> million):</w:t>
      </w:r>
      <w:r w:rsidRPr="00C4378C">
        <w:rPr>
          <w:rFonts w:ascii="Arial" w:eastAsia="Times New Roman" w:hAnsi="Arial" w:cs="Arial"/>
          <w:color w:val="000000" w:themeColor="text1"/>
          <w:sz w:val="20"/>
          <w:szCs w:val="20"/>
          <w:lang w:val="en-US" w:eastAsia="pt-BR"/>
        </w:rPr>
        <w:t xml:space="preserve"> </w:t>
      </w:r>
      <w:r>
        <w:rPr>
          <w:rFonts w:ascii="Arial" w:eastAsia="Times New Roman" w:hAnsi="Arial" w:cs="Arial"/>
          <w:color w:val="000000" w:themeColor="text1"/>
          <w:sz w:val="20"/>
          <w:szCs w:val="20"/>
          <w:lang w:val="en-US" w:eastAsia="pt-BR"/>
        </w:rPr>
        <w:t xml:space="preserve">propelled by the growth of insurance margin and the spike of financial results; </w:t>
      </w:r>
    </w:p>
    <w:p w14:paraId="317F5DEC" w14:textId="77777777" w:rsidR="00014575" w:rsidRDefault="00014575" w:rsidP="006A362F">
      <w:pPr>
        <w:pStyle w:val="PargrafodaLista"/>
        <w:numPr>
          <w:ilvl w:val="0"/>
          <w:numId w:val="32"/>
        </w:numPr>
        <w:spacing w:before="100" w:after="100"/>
        <w:ind w:left="426" w:hanging="284"/>
        <w:jc w:val="both"/>
        <w:rPr>
          <w:rFonts w:ascii="Arial" w:eastAsia="Times New Roman" w:hAnsi="Arial" w:cs="Arial"/>
          <w:color w:val="000000" w:themeColor="text1"/>
          <w:sz w:val="20"/>
          <w:szCs w:val="20"/>
          <w:lang w:val="en-US" w:eastAsia="pt-BR"/>
        </w:rPr>
      </w:pPr>
      <w:r>
        <w:rPr>
          <w:rFonts w:ascii="Arial" w:eastAsia="Times New Roman" w:hAnsi="Arial" w:cs="Arial"/>
          <w:b/>
          <w:bCs/>
          <w:color w:val="000000" w:themeColor="text1"/>
          <w:sz w:val="20"/>
          <w:szCs w:val="20"/>
          <w:lang w:val="en-US" w:eastAsia="pt-BR"/>
        </w:rPr>
        <w:t>BB Corretora (+R$132.4 million):</w:t>
      </w:r>
      <w:r>
        <w:rPr>
          <w:rFonts w:ascii="Arial" w:eastAsia="Times New Roman" w:hAnsi="Arial" w:cs="Arial"/>
          <w:color w:val="000000" w:themeColor="text1"/>
          <w:sz w:val="20"/>
          <w:szCs w:val="20"/>
          <w:lang w:val="en-US" w:eastAsia="pt-BR"/>
        </w:rPr>
        <w:t xml:space="preserve"> sustained by the evolution of brokerage revenues and higher financial results;</w:t>
      </w:r>
    </w:p>
    <w:p w14:paraId="7E42F196" w14:textId="77777777" w:rsidR="00014575" w:rsidRDefault="00014575" w:rsidP="006A362F">
      <w:pPr>
        <w:pStyle w:val="PargrafodaLista"/>
        <w:numPr>
          <w:ilvl w:val="0"/>
          <w:numId w:val="32"/>
        </w:numPr>
        <w:spacing w:before="100" w:after="100"/>
        <w:ind w:left="426" w:hanging="284"/>
        <w:jc w:val="both"/>
        <w:rPr>
          <w:rFonts w:ascii="Arial" w:eastAsia="Times New Roman" w:hAnsi="Arial" w:cs="Arial"/>
          <w:color w:val="000000" w:themeColor="text1"/>
          <w:sz w:val="20"/>
          <w:szCs w:val="20"/>
          <w:lang w:val="en-US" w:eastAsia="pt-BR"/>
        </w:rPr>
      </w:pPr>
      <w:r>
        <w:rPr>
          <w:rFonts w:ascii="Arial" w:eastAsia="Times New Roman" w:hAnsi="Arial" w:cs="Arial"/>
          <w:b/>
          <w:bCs/>
          <w:color w:val="000000" w:themeColor="text1"/>
          <w:sz w:val="20"/>
          <w:szCs w:val="20"/>
          <w:lang w:val="en-US" w:eastAsia="pt-BR"/>
        </w:rPr>
        <w:t>Brasilprev (+R$111.8</w:t>
      </w:r>
      <w:r w:rsidRPr="00C4378C">
        <w:rPr>
          <w:rFonts w:ascii="Arial" w:eastAsia="Times New Roman" w:hAnsi="Arial" w:cs="Arial"/>
          <w:b/>
          <w:bCs/>
          <w:color w:val="000000" w:themeColor="text1"/>
          <w:sz w:val="20"/>
          <w:szCs w:val="20"/>
          <w:lang w:val="en-US" w:eastAsia="pt-BR"/>
        </w:rPr>
        <w:t xml:space="preserve"> million)</w:t>
      </w:r>
      <w:r>
        <w:rPr>
          <w:rFonts w:ascii="Arial" w:eastAsia="Times New Roman" w:hAnsi="Arial" w:cs="Arial"/>
          <w:b/>
          <w:bCs/>
          <w:color w:val="000000" w:themeColor="text1"/>
          <w:sz w:val="20"/>
          <w:szCs w:val="20"/>
          <w:lang w:val="en-US" w:eastAsia="pt-BR"/>
        </w:rPr>
        <w:t xml:space="preserve">: </w:t>
      </w:r>
      <w:r w:rsidRPr="001828BC">
        <w:rPr>
          <w:rFonts w:ascii="Arial" w:eastAsia="Times New Roman" w:hAnsi="Arial" w:cs="Arial"/>
          <w:color w:val="000000" w:themeColor="text1"/>
          <w:sz w:val="20"/>
          <w:szCs w:val="20"/>
          <w:lang w:val="en-US" w:eastAsia="pt-BR"/>
        </w:rPr>
        <w:t>due to the increase of insurance margin</w:t>
      </w:r>
      <w:r>
        <w:rPr>
          <w:rFonts w:ascii="Arial" w:eastAsia="Times New Roman" w:hAnsi="Arial" w:cs="Arial"/>
          <w:color w:val="000000" w:themeColor="text1"/>
          <w:sz w:val="20"/>
          <w:szCs w:val="20"/>
          <w:lang w:val="en-US" w:eastAsia="pt-BR"/>
        </w:rPr>
        <w:t>; and</w:t>
      </w:r>
    </w:p>
    <w:p w14:paraId="693AF2F0" w14:textId="77777777" w:rsidR="00014575" w:rsidRPr="00BD6077" w:rsidRDefault="00014575" w:rsidP="006A362F">
      <w:pPr>
        <w:pStyle w:val="PargrafodaLista"/>
        <w:numPr>
          <w:ilvl w:val="0"/>
          <w:numId w:val="32"/>
        </w:numPr>
        <w:spacing w:before="100" w:after="100"/>
        <w:ind w:left="426" w:hanging="284"/>
        <w:jc w:val="both"/>
        <w:rPr>
          <w:rFonts w:ascii="Arial" w:eastAsia="Times New Roman" w:hAnsi="Arial" w:cs="Arial"/>
          <w:color w:val="000000" w:themeColor="text1"/>
          <w:sz w:val="20"/>
          <w:szCs w:val="20"/>
          <w:lang w:val="en-US" w:eastAsia="pt-BR"/>
        </w:rPr>
      </w:pPr>
      <w:r>
        <w:rPr>
          <w:rFonts w:ascii="Arial" w:eastAsia="Times New Roman" w:hAnsi="Arial" w:cs="Arial"/>
          <w:b/>
          <w:bCs/>
          <w:color w:val="000000" w:themeColor="text1"/>
          <w:sz w:val="20"/>
          <w:szCs w:val="20"/>
          <w:lang w:val="en-US" w:eastAsia="pt-BR"/>
        </w:rPr>
        <w:t>Brasilcap (+R$6</w:t>
      </w:r>
      <w:r w:rsidRPr="00BD6077">
        <w:rPr>
          <w:rFonts w:ascii="Arial" w:eastAsia="Times New Roman" w:hAnsi="Arial" w:cs="Arial"/>
          <w:b/>
          <w:bCs/>
          <w:color w:val="000000" w:themeColor="text1"/>
          <w:sz w:val="20"/>
          <w:szCs w:val="20"/>
          <w:lang w:val="en-US" w:eastAsia="pt-BR"/>
        </w:rPr>
        <w:t>.4 million)</w:t>
      </w:r>
      <w:r>
        <w:rPr>
          <w:rFonts w:ascii="Arial" w:eastAsia="Times New Roman" w:hAnsi="Arial" w:cs="Arial"/>
          <w:b/>
          <w:bCs/>
          <w:color w:val="000000" w:themeColor="text1"/>
          <w:sz w:val="20"/>
          <w:szCs w:val="20"/>
          <w:lang w:val="en-US" w:eastAsia="pt-BR"/>
        </w:rPr>
        <w:t xml:space="preserve">: </w:t>
      </w:r>
      <w:r w:rsidRPr="001828BC">
        <w:rPr>
          <w:rFonts w:ascii="Arial" w:eastAsia="Times New Roman" w:hAnsi="Arial" w:cs="Arial"/>
          <w:color w:val="000000" w:themeColor="text1"/>
          <w:sz w:val="20"/>
          <w:szCs w:val="20"/>
          <w:lang w:val="en-US" w:eastAsia="pt-BR"/>
        </w:rPr>
        <w:t>boosted</w:t>
      </w:r>
      <w:r w:rsidRPr="00BD6077">
        <w:rPr>
          <w:rFonts w:ascii="Arial" w:eastAsia="Times New Roman" w:hAnsi="Arial" w:cs="Arial"/>
          <w:color w:val="000000" w:themeColor="text1"/>
          <w:sz w:val="20"/>
          <w:szCs w:val="20"/>
          <w:lang w:val="en-US" w:eastAsia="pt-BR"/>
        </w:rPr>
        <w:t xml:space="preserve"> </w:t>
      </w:r>
      <w:r>
        <w:rPr>
          <w:rFonts w:ascii="Arial" w:eastAsia="Times New Roman" w:hAnsi="Arial" w:cs="Arial"/>
          <w:color w:val="000000" w:themeColor="text1"/>
          <w:sz w:val="20"/>
          <w:szCs w:val="20"/>
          <w:lang w:val="en-US" w:eastAsia="pt-BR"/>
        </w:rPr>
        <w:t xml:space="preserve">by the expansion of financial results, led by the increase of average volumes </w:t>
      </w:r>
      <w:r w:rsidRPr="00BD6077">
        <w:rPr>
          <w:rFonts w:ascii="Arial" w:eastAsia="Times New Roman" w:hAnsi="Arial" w:cs="Arial"/>
          <w:color w:val="000000" w:themeColor="text1"/>
          <w:sz w:val="20"/>
          <w:szCs w:val="20"/>
          <w:lang w:val="en-US" w:eastAsia="pt-BR"/>
        </w:rPr>
        <w:t xml:space="preserve">and, to a lesser extent, the </w:t>
      </w:r>
      <w:r>
        <w:rPr>
          <w:rFonts w:ascii="Arial" w:eastAsia="Times New Roman" w:hAnsi="Arial" w:cs="Arial"/>
          <w:color w:val="000000" w:themeColor="text1"/>
          <w:sz w:val="20"/>
          <w:szCs w:val="20"/>
          <w:lang w:val="en-US" w:eastAsia="pt-BR"/>
        </w:rPr>
        <w:t>higher</w:t>
      </w:r>
      <w:r w:rsidRPr="00BD6077">
        <w:rPr>
          <w:rFonts w:ascii="Arial" w:eastAsia="Times New Roman" w:hAnsi="Arial" w:cs="Arial"/>
          <w:color w:val="000000" w:themeColor="text1"/>
          <w:sz w:val="20"/>
          <w:szCs w:val="20"/>
          <w:lang w:val="en-US" w:eastAsia="pt-BR"/>
        </w:rPr>
        <w:t xml:space="preserve"> financial margin</w:t>
      </w:r>
      <w:r>
        <w:rPr>
          <w:rFonts w:ascii="Arial" w:eastAsia="Times New Roman" w:hAnsi="Arial" w:cs="Arial"/>
          <w:color w:val="000000" w:themeColor="text1"/>
          <w:sz w:val="20"/>
          <w:szCs w:val="20"/>
          <w:lang w:val="en-US" w:eastAsia="pt-BR"/>
        </w:rPr>
        <w:t xml:space="preserve">. </w:t>
      </w:r>
    </w:p>
    <w:p w14:paraId="1586CD50" w14:textId="77777777" w:rsidR="00014575" w:rsidRDefault="00014575" w:rsidP="00991E72">
      <w:pPr>
        <w:spacing w:before="100" w:after="100"/>
        <w:jc w:val="both"/>
        <w:rPr>
          <w:rFonts w:cs="Arial"/>
          <w:sz w:val="20"/>
          <w:szCs w:val="20"/>
          <w:lang w:val="en-US"/>
        </w:rPr>
      </w:pPr>
      <w:r>
        <w:rPr>
          <w:rFonts w:cs="Arial"/>
          <w:sz w:val="20"/>
          <w:szCs w:val="20"/>
          <w:lang w:val="en-US"/>
        </w:rPr>
        <w:t>T</w:t>
      </w:r>
      <w:r w:rsidRPr="00C4378C">
        <w:rPr>
          <w:rFonts w:cs="Arial"/>
          <w:sz w:val="20"/>
          <w:szCs w:val="20"/>
          <w:lang w:val="en-US"/>
        </w:rPr>
        <w:t xml:space="preserve">he </w:t>
      </w:r>
      <w:r>
        <w:rPr>
          <w:rFonts w:cs="Arial"/>
          <w:sz w:val="20"/>
          <w:szCs w:val="20"/>
          <w:lang w:val="en-US"/>
        </w:rPr>
        <w:t>negative balance of holding’s other revenues and expenses grew by 75.7%, mostly driven by higher tax expenses on financial revenues and, to a lesser extent, the increase of personnel expenses, due to the headcount expansion and the adjustment of wages after the collective bargaining agreement signed in September 2022.</w:t>
      </w:r>
    </w:p>
    <w:p w14:paraId="6F7F2DA8" w14:textId="77777777" w:rsidR="00014575" w:rsidRDefault="00014575" w:rsidP="00991E72">
      <w:pPr>
        <w:spacing w:before="100" w:after="100"/>
        <w:jc w:val="both"/>
        <w:rPr>
          <w:rFonts w:cs="Arial"/>
          <w:sz w:val="20"/>
          <w:szCs w:val="20"/>
          <w:lang w:val="en-US"/>
        </w:rPr>
      </w:pPr>
      <w:r>
        <w:rPr>
          <w:rFonts w:cs="Arial"/>
          <w:sz w:val="20"/>
          <w:szCs w:val="20"/>
          <w:lang w:val="en-US"/>
        </w:rPr>
        <w:t>The financial results fell 36.5%, justified by the retraction of the average balance of financial investments, partially offset by the higher Selic rate.</w:t>
      </w:r>
    </w:p>
    <w:p w14:paraId="7D077DB0" w14:textId="77777777" w:rsidR="00014575" w:rsidRPr="00C4378C" w:rsidRDefault="00014575" w:rsidP="00991E72">
      <w:pPr>
        <w:spacing w:before="100" w:after="100"/>
        <w:jc w:val="both"/>
        <w:rPr>
          <w:rFonts w:cs="Arial"/>
          <w:sz w:val="20"/>
          <w:szCs w:val="20"/>
          <w:lang w:val="en-US"/>
        </w:rPr>
      </w:pPr>
      <w:r w:rsidRPr="00C4378C">
        <w:rPr>
          <w:rFonts w:cs="Arial"/>
          <w:sz w:val="20"/>
          <w:szCs w:val="20"/>
          <w:lang w:val="en-US"/>
        </w:rPr>
        <w:t>For more information about BB Seguridade’s performance, including the managerial analysis of its investees, please refer to the MD&amp;A, available at www.bbseguridaderi.com.br/en, section Financial Information, option Results Center.</w:t>
      </w:r>
    </w:p>
    <w:p w14:paraId="236DCC4A" w14:textId="309A77FC" w:rsidR="00014575" w:rsidRDefault="00014575">
      <w:pPr>
        <w:rPr>
          <w:highlight w:val="yellow"/>
          <w:lang w:val="en-US"/>
        </w:rPr>
      </w:pPr>
    </w:p>
    <w:p w14:paraId="4642F665" w14:textId="77777777" w:rsidR="00014575" w:rsidRPr="00C4378C" w:rsidRDefault="00014575" w:rsidP="00991E72">
      <w:pPr>
        <w:pStyle w:val="03-SubttulodeNota"/>
        <w:spacing w:line="276" w:lineRule="auto"/>
        <w:rPr>
          <w:color w:val="1F4E79" w:themeColor="accent1" w:themeShade="80"/>
          <w:lang w:val="en-US"/>
        </w:rPr>
      </w:pPr>
      <w:r w:rsidRPr="00C4378C">
        <w:rPr>
          <w:color w:val="1F4E79" w:themeColor="accent1" w:themeShade="80"/>
          <w:lang w:val="en-US"/>
        </w:rPr>
        <w:t>RELATIONSHIP WITH INDEPENDENT AUDITORS</w:t>
      </w:r>
    </w:p>
    <w:p w14:paraId="11F34D6C" w14:textId="77777777" w:rsidR="00014575" w:rsidRPr="00C4378C" w:rsidRDefault="00014575" w:rsidP="00991E72">
      <w:pPr>
        <w:pStyle w:val="01-Textonormal"/>
        <w:rPr>
          <w:highlight w:val="yellow"/>
          <w:lang w:val="en-US"/>
        </w:rPr>
      </w:pPr>
    </w:p>
    <w:p w14:paraId="3DEDDBB6" w14:textId="77777777" w:rsidR="00014575" w:rsidRPr="00C4378C" w:rsidRDefault="00014575" w:rsidP="00991E72">
      <w:pPr>
        <w:jc w:val="both"/>
        <w:rPr>
          <w:rFonts w:eastAsia="Times New Roman" w:cs="Arial"/>
          <w:sz w:val="20"/>
          <w:szCs w:val="20"/>
          <w:lang w:val="en-US" w:eastAsia="pt-BR"/>
        </w:rPr>
      </w:pPr>
      <w:r>
        <w:rPr>
          <w:rFonts w:eastAsia="Times New Roman" w:cs="Arial"/>
          <w:sz w:val="20"/>
          <w:szCs w:val="20"/>
          <w:lang w:val="en-US" w:eastAsia="pt-BR"/>
        </w:rPr>
        <w:t>In</w:t>
      </w:r>
      <w:r w:rsidRPr="00C4378C">
        <w:rPr>
          <w:rFonts w:eastAsia="Times New Roman" w:cs="Arial"/>
          <w:sz w:val="20"/>
          <w:szCs w:val="20"/>
          <w:lang w:val="en-US" w:eastAsia="pt-BR"/>
        </w:rPr>
        <w:t xml:space="preserve"> the first quarter of 202</w:t>
      </w:r>
      <w:r>
        <w:rPr>
          <w:rFonts w:eastAsia="Times New Roman" w:cs="Arial"/>
          <w:sz w:val="20"/>
          <w:szCs w:val="20"/>
          <w:lang w:val="en-US" w:eastAsia="pt-BR"/>
        </w:rPr>
        <w:t>3</w:t>
      </w:r>
      <w:r w:rsidRPr="00C4378C">
        <w:rPr>
          <w:rFonts w:eastAsia="Times New Roman" w:cs="Arial"/>
          <w:sz w:val="20"/>
          <w:szCs w:val="20"/>
          <w:lang w:val="en-US" w:eastAsia="pt-BR"/>
        </w:rPr>
        <w:t xml:space="preserve">, BB Seguridade </w:t>
      </w:r>
      <w:r>
        <w:rPr>
          <w:rFonts w:eastAsia="Times New Roman" w:cs="Arial"/>
          <w:sz w:val="20"/>
          <w:szCs w:val="20"/>
          <w:lang w:val="en-US" w:eastAsia="pt-BR"/>
        </w:rPr>
        <w:t>hired ind</w:t>
      </w:r>
      <w:r w:rsidRPr="00C4378C">
        <w:rPr>
          <w:rFonts w:eastAsia="Times New Roman" w:cs="Arial"/>
          <w:sz w:val="20"/>
          <w:szCs w:val="20"/>
          <w:lang w:val="en-US" w:eastAsia="pt-BR"/>
        </w:rPr>
        <w:t>ependent audit services provided by Deloitte Touche Tohmatsu Auditores Independentes (“Deloitte”), through a contract maintained by its controlling shareholder Banco do Brasil S.A.</w:t>
      </w:r>
    </w:p>
    <w:p w14:paraId="6912A6C9" w14:textId="77777777" w:rsidR="00014575" w:rsidRPr="00C4378C" w:rsidRDefault="00014575" w:rsidP="00991E72">
      <w:pPr>
        <w:jc w:val="both"/>
        <w:rPr>
          <w:rFonts w:eastAsia="Times New Roman" w:cs="Arial"/>
          <w:sz w:val="20"/>
          <w:szCs w:val="20"/>
          <w:lang w:val="en-US" w:eastAsia="pt-BR"/>
        </w:rPr>
      </w:pPr>
      <w:r w:rsidRPr="00C4378C">
        <w:rPr>
          <w:rFonts w:eastAsia="Times New Roman" w:cs="Arial"/>
          <w:sz w:val="20"/>
          <w:szCs w:val="20"/>
          <w:lang w:val="en-US" w:eastAsia="pt-BR"/>
        </w:rPr>
        <w:t>When hiring services not related to the external audit, BB Seguridade adopts procedures based on the applicable law and on international accepted principles that preserve the auditor's independence. Such principles consist of: (i) the auditor should not audit its own work; (ii) the auditor should not perform managerial activities at his client management structure; and (iii) the auditor should not promote the interests of its client.</w:t>
      </w:r>
    </w:p>
    <w:p w14:paraId="0B956CC7" w14:textId="77777777" w:rsidR="00014575" w:rsidRPr="00C4378C" w:rsidRDefault="00014575" w:rsidP="00991E72">
      <w:pPr>
        <w:jc w:val="both"/>
        <w:rPr>
          <w:rFonts w:eastAsia="Times New Roman" w:cs="Arial"/>
          <w:sz w:val="20"/>
          <w:szCs w:val="20"/>
          <w:lang w:val="en-US" w:eastAsia="pt-BR"/>
        </w:rPr>
      </w:pPr>
    </w:p>
    <w:p w14:paraId="7E7AB627" w14:textId="336CE30D" w:rsidR="00112673" w:rsidRDefault="00112673" w:rsidP="00991E72">
      <w:pPr>
        <w:jc w:val="both"/>
        <w:rPr>
          <w:rFonts w:eastAsia="Times New Roman" w:cs="Arial"/>
          <w:sz w:val="20"/>
          <w:szCs w:val="20"/>
          <w:lang w:val="en-US" w:eastAsia="pt-BR"/>
        </w:rPr>
      </w:pPr>
      <w:r>
        <w:rPr>
          <w:rFonts w:eastAsia="Times New Roman" w:cs="Arial"/>
          <w:sz w:val="20"/>
          <w:szCs w:val="20"/>
          <w:lang w:val="en-US" w:eastAsia="pt-BR"/>
        </w:rPr>
        <w:br w:type="page"/>
      </w:r>
    </w:p>
    <w:p w14:paraId="69FE1E3F" w14:textId="7C379C9D" w:rsidR="00012B73" w:rsidRPr="00C72009" w:rsidRDefault="00012B73" w:rsidP="002D39D6">
      <w:pPr>
        <w:rPr>
          <w:rFonts w:cs="Arial"/>
          <w:lang w:val="en-US"/>
        </w:rPr>
        <w:sectPr w:rsidR="00012B73" w:rsidRPr="00C72009" w:rsidSect="00074E48">
          <w:footerReference w:type="default" r:id="rId17"/>
          <w:type w:val="continuous"/>
          <w:pgSz w:w="11906" w:h="16838" w:code="9"/>
          <w:pgMar w:top="1134" w:right="1134" w:bottom="851" w:left="1134" w:header="851" w:footer="284" w:gutter="0"/>
          <w:pgNumType w:start="1"/>
          <w:cols w:space="708"/>
          <w:docGrid w:linePitch="360"/>
        </w:sectPr>
      </w:pPr>
    </w:p>
    <w:p w14:paraId="4AAFA774" w14:textId="1AE5C808" w:rsidR="00991E72" w:rsidRPr="00C50C86" w:rsidRDefault="00991E72" w:rsidP="00991E72">
      <w:pPr>
        <w:pStyle w:val="Ttulo1"/>
        <w:rPr>
          <w:b w:val="0"/>
          <w:bCs w:val="0"/>
        </w:rPr>
      </w:pPr>
      <w:bookmarkStart w:id="6" w:name="_Toc134823556"/>
      <w:r w:rsidRPr="00C50C86">
        <w:t>STATEMENT OF INCOME</w:t>
      </w:r>
      <w:bookmarkEnd w:id="6"/>
    </w:p>
    <w:p w14:paraId="4FB7DFB6" w14:textId="77777777" w:rsidR="00991E72" w:rsidRPr="00570639" w:rsidRDefault="00991E72" w:rsidP="00991E72">
      <w:pPr>
        <w:pStyle w:val="06-Rmil"/>
        <w:rPr>
          <w:sz w:val="12"/>
          <w:szCs w:val="12"/>
        </w:rPr>
      </w:pPr>
      <w:r w:rsidRPr="00830F34">
        <w:t>R</w:t>
      </w:r>
      <w:r>
        <w:t xml:space="preserve">$ </w:t>
      </w:r>
      <w:r w:rsidRPr="00830F34">
        <w:t>thousand (except earnings per share)</w:t>
      </w:r>
    </w:p>
    <w:tbl>
      <w:tblPr>
        <w:tblStyle w:val="TabeladeLista6Colorida-nfase5"/>
        <w:tblW w:w="9639" w:type="dxa"/>
        <w:jc w:val="center"/>
        <w:tblLayout w:type="fixed"/>
        <w:tblLook w:val="04A0" w:firstRow="1" w:lastRow="0" w:firstColumn="1" w:lastColumn="0" w:noHBand="0" w:noVBand="1"/>
      </w:tblPr>
      <w:tblGrid>
        <w:gridCol w:w="2763"/>
        <w:gridCol w:w="762"/>
        <w:gridCol w:w="1552"/>
        <w:gridCol w:w="1464"/>
        <w:gridCol w:w="254"/>
        <w:gridCol w:w="1369"/>
        <w:gridCol w:w="1475"/>
      </w:tblGrid>
      <w:tr w:rsidR="00991E72" w14:paraId="42047784" w14:textId="77777777" w:rsidTr="00991E7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4E79" w:themeColor="accent1" w:themeShade="80"/>
              <w:bottom w:val="nil"/>
            </w:tcBorders>
            <w:shd w:val="clear" w:color="auto" w:fill="auto"/>
            <w:vAlign w:val="center"/>
          </w:tcPr>
          <w:p w14:paraId="5C0E2966" w14:textId="77777777" w:rsidR="00991E72" w:rsidRPr="0038283D" w:rsidRDefault="00991E72" w:rsidP="00991E72">
            <w:pPr>
              <w:jc w:val="center"/>
              <w:rPr>
                <w:rFonts w:cs="Arial"/>
                <w:b w:val="0"/>
                <w:szCs w:val="18"/>
                <w:lang w:val="en-US"/>
              </w:rPr>
            </w:pPr>
          </w:p>
        </w:tc>
        <w:tc>
          <w:tcPr>
            <w:tcW w:w="743" w:type="dxa"/>
            <w:tcBorders>
              <w:top w:val="single" w:sz="2" w:space="0" w:color="1F4E79" w:themeColor="accent1" w:themeShade="80"/>
              <w:bottom w:val="nil"/>
            </w:tcBorders>
            <w:shd w:val="clear" w:color="auto" w:fill="auto"/>
            <w:vAlign w:val="center"/>
          </w:tcPr>
          <w:p w14:paraId="2657178E" w14:textId="77777777" w:rsidR="00991E72" w:rsidRPr="0038283D"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942" w:type="dxa"/>
            <w:gridSpan w:val="2"/>
            <w:tcBorders>
              <w:top w:val="single" w:sz="2" w:space="0" w:color="1F4E79" w:themeColor="accent1" w:themeShade="80"/>
              <w:bottom w:val="single" w:sz="2" w:space="0" w:color="1F4E79" w:themeColor="accent1" w:themeShade="80"/>
            </w:tcBorders>
            <w:shd w:val="clear" w:color="auto" w:fill="auto"/>
            <w:vAlign w:val="center"/>
          </w:tcPr>
          <w:p w14:paraId="762F72D5"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9768B6">
              <w:rPr>
                <w:rFonts w:cs="Arial"/>
                <w:sz w:val="14"/>
                <w:szCs w:val="18"/>
              </w:rPr>
              <w:t>Parent</w:t>
            </w:r>
          </w:p>
        </w:tc>
        <w:tc>
          <w:tcPr>
            <w:tcW w:w="248" w:type="dxa"/>
            <w:tcBorders>
              <w:top w:val="single" w:sz="2" w:space="0" w:color="1F4E79" w:themeColor="accent1" w:themeShade="80"/>
              <w:bottom w:val="nil"/>
            </w:tcBorders>
            <w:shd w:val="clear" w:color="auto" w:fill="auto"/>
          </w:tcPr>
          <w:p w14:paraId="155543D3"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p>
        </w:tc>
        <w:tc>
          <w:tcPr>
            <w:tcW w:w="2774" w:type="dxa"/>
            <w:gridSpan w:val="2"/>
            <w:tcBorders>
              <w:top w:val="single" w:sz="2" w:space="0" w:color="1F4E79" w:themeColor="accent1" w:themeShade="80"/>
              <w:bottom w:val="single" w:sz="2" w:space="0" w:color="1F4E79" w:themeColor="accent1" w:themeShade="80"/>
            </w:tcBorders>
            <w:vAlign w:val="center"/>
          </w:tcPr>
          <w:p w14:paraId="0317C59B"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991E72" w:rsidRPr="001D6BE8" w14:paraId="081EF09F" w14:textId="77777777" w:rsidTr="00991E72">
        <w:trPr>
          <w:cnfStyle w:val="000000100000" w:firstRow="0" w:lastRow="0" w:firstColumn="0" w:lastColumn="0" w:oddVBand="0" w:evenVBand="0" w:oddHBand="1" w:evenHBand="0" w:firstRowFirstColumn="0" w:firstRowLastColumn="0" w:lastRowFirstColumn="0" w:lastRowLastColumn="0"/>
          <w:trHeight w:hRule="exact" w:val="485"/>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4E79" w:themeColor="accent1" w:themeShade="80"/>
            </w:tcBorders>
            <w:shd w:val="clear" w:color="auto" w:fill="auto"/>
            <w:vAlign w:val="center"/>
          </w:tcPr>
          <w:p w14:paraId="4069E33D" w14:textId="77777777" w:rsidR="00991E72" w:rsidRPr="001D6BE8" w:rsidRDefault="00991E72" w:rsidP="00991E72">
            <w:pPr>
              <w:pStyle w:val="08-Tabelageral"/>
              <w:jc w:val="left"/>
              <w:rPr>
                <w:rFonts w:cs="Arial"/>
                <w:b w:val="0"/>
              </w:rPr>
            </w:pPr>
          </w:p>
        </w:tc>
        <w:tc>
          <w:tcPr>
            <w:tcW w:w="743" w:type="dxa"/>
            <w:tcBorders>
              <w:top w:val="nil"/>
              <w:bottom w:val="single" w:sz="2" w:space="0" w:color="1F4E79" w:themeColor="accent1" w:themeShade="80"/>
            </w:tcBorders>
            <w:shd w:val="clear" w:color="auto" w:fill="auto"/>
            <w:vAlign w:val="center"/>
          </w:tcPr>
          <w:p w14:paraId="393F754D"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514" w:type="dxa"/>
            <w:tcBorders>
              <w:top w:val="single" w:sz="2" w:space="0" w:color="1F4E79" w:themeColor="accent1" w:themeShade="80"/>
              <w:bottom w:val="single" w:sz="2" w:space="0" w:color="1F4E79" w:themeColor="accent1" w:themeShade="80"/>
            </w:tcBorders>
            <w:shd w:val="clear" w:color="auto" w:fill="auto"/>
          </w:tcPr>
          <w:p w14:paraId="5283D227" w14:textId="77777777" w:rsidR="00991E72" w:rsidRPr="00CF21E0"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3</w:t>
            </w:r>
          </w:p>
        </w:tc>
        <w:tc>
          <w:tcPr>
            <w:tcW w:w="1428" w:type="dxa"/>
            <w:tcBorders>
              <w:top w:val="single" w:sz="2" w:space="0" w:color="1F4E79" w:themeColor="accent1" w:themeShade="80"/>
              <w:bottom w:val="single" w:sz="2" w:space="0" w:color="1F4E79" w:themeColor="accent1" w:themeShade="80"/>
            </w:tcBorders>
            <w:shd w:val="clear" w:color="auto" w:fill="auto"/>
          </w:tcPr>
          <w:p w14:paraId="26221170" w14:textId="77777777" w:rsidR="00991E72"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2</w:t>
            </w:r>
          </w:p>
          <w:p w14:paraId="0403C56A" w14:textId="77777777" w:rsidR="00991E72" w:rsidRPr="00CF21E0"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2E1E12">
              <w:rPr>
                <w:rFonts w:cs="Arial"/>
                <w:b/>
              </w:rPr>
              <w:t>Restated balances</w:t>
            </w:r>
          </w:p>
        </w:tc>
        <w:tc>
          <w:tcPr>
            <w:tcW w:w="248" w:type="dxa"/>
            <w:tcBorders>
              <w:top w:val="nil"/>
              <w:bottom w:val="single" w:sz="2" w:space="0" w:color="1F4E79" w:themeColor="accent1" w:themeShade="80"/>
            </w:tcBorders>
            <w:shd w:val="clear" w:color="auto" w:fill="auto"/>
          </w:tcPr>
          <w:p w14:paraId="1FB9312D" w14:textId="77777777" w:rsidR="00991E72" w:rsidRPr="001D6BE8" w:rsidRDefault="00991E72" w:rsidP="00991E72">
            <w:pPr>
              <w:pStyle w:val="08-Tabelageral"/>
              <w:ind w:left="34"/>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335" w:type="dxa"/>
            <w:tcBorders>
              <w:top w:val="single" w:sz="2" w:space="0" w:color="1F4E79" w:themeColor="accent1" w:themeShade="80"/>
              <w:bottom w:val="single" w:sz="2" w:space="0" w:color="1F4E79" w:themeColor="accent1" w:themeShade="80"/>
            </w:tcBorders>
            <w:shd w:val="clear" w:color="auto" w:fill="auto"/>
          </w:tcPr>
          <w:p w14:paraId="1EA051A2" w14:textId="77777777" w:rsidR="00991E72" w:rsidRPr="00C04909"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3</w:t>
            </w:r>
          </w:p>
        </w:tc>
        <w:tc>
          <w:tcPr>
            <w:tcW w:w="1439" w:type="dxa"/>
            <w:tcBorders>
              <w:top w:val="single" w:sz="2" w:space="0" w:color="1F4E79" w:themeColor="accent1" w:themeShade="80"/>
              <w:bottom w:val="single" w:sz="2" w:space="0" w:color="1F4E79" w:themeColor="accent1" w:themeShade="80"/>
            </w:tcBorders>
            <w:shd w:val="clear" w:color="auto" w:fill="auto"/>
          </w:tcPr>
          <w:p w14:paraId="076875DE" w14:textId="77777777" w:rsidR="00991E72"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2</w:t>
            </w:r>
          </w:p>
          <w:p w14:paraId="4D7E7A19" w14:textId="77777777" w:rsidR="00991E72" w:rsidRPr="00CF21E0"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rPr>
              <w:t>Restated balances</w:t>
            </w:r>
          </w:p>
        </w:tc>
      </w:tr>
      <w:tr w:rsidR="00991E72" w:rsidRPr="001D6BE8" w14:paraId="1B53DB7C"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4E79" w:themeColor="accent1" w:themeShade="80"/>
              <w:bottom w:val="nil"/>
            </w:tcBorders>
            <w:shd w:val="clear" w:color="auto" w:fill="auto"/>
            <w:vAlign w:val="center"/>
          </w:tcPr>
          <w:p w14:paraId="2601A794" w14:textId="77777777" w:rsidR="00991E72" w:rsidRPr="00C806B0" w:rsidRDefault="00991E72" w:rsidP="00991E72">
            <w:pPr>
              <w:pStyle w:val="08-Tabelageral"/>
              <w:jc w:val="left"/>
              <w:rPr>
                <w:rFonts w:cs="Arial"/>
                <w:bCs w:val="0"/>
                <w:szCs w:val="14"/>
              </w:rPr>
            </w:pPr>
            <w:r w:rsidRPr="00C20080">
              <w:rPr>
                <w:rFonts w:cs="Arial"/>
                <w:szCs w:val="14"/>
              </w:rPr>
              <w:t>Operating Income</w:t>
            </w:r>
          </w:p>
        </w:tc>
        <w:tc>
          <w:tcPr>
            <w:tcW w:w="743" w:type="dxa"/>
            <w:tcBorders>
              <w:top w:val="single" w:sz="2" w:space="0" w:color="1F4E79" w:themeColor="accent1" w:themeShade="80"/>
              <w:bottom w:val="nil"/>
            </w:tcBorders>
            <w:shd w:val="clear" w:color="auto" w:fill="auto"/>
            <w:vAlign w:val="center"/>
          </w:tcPr>
          <w:p w14:paraId="2886ABDD" w14:textId="77777777" w:rsidR="00991E72" w:rsidRPr="00C806B0"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514" w:type="dxa"/>
            <w:tcBorders>
              <w:top w:val="nil"/>
              <w:left w:val="nil"/>
              <w:bottom w:val="nil"/>
              <w:right w:val="nil"/>
            </w:tcBorders>
            <w:shd w:val="clear" w:color="auto" w:fill="auto"/>
            <w:vAlign w:val="center"/>
          </w:tcPr>
          <w:p w14:paraId="517C019E"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836</w:t>
            </w:r>
            <w:r>
              <w:rPr>
                <w:rFonts w:cs="Arial"/>
                <w:b/>
                <w:bCs/>
                <w:color w:val="000000"/>
                <w:szCs w:val="14"/>
              </w:rPr>
              <w:t>,</w:t>
            </w:r>
            <w:r w:rsidRPr="00522098">
              <w:rPr>
                <w:rFonts w:cs="Arial"/>
                <w:b/>
                <w:bCs/>
                <w:color w:val="000000"/>
                <w:szCs w:val="14"/>
              </w:rPr>
              <w:t>11</w:t>
            </w:r>
            <w:r>
              <w:rPr>
                <w:rFonts w:cs="Arial"/>
                <w:b/>
                <w:bCs/>
                <w:color w:val="000000"/>
                <w:szCs w:val="14"/>
              </w:rPr>
              <w:t>2</w:t>
            </w:r>
          </w:p>
        </w:tc>
        <w:tc>
          <w:tcPr>
            <w:tcW w:w="1428" w:type="dxa"/>
            <w:tcBorders>
              <w:top w:val="nil"/>
              <w:left w:val="nil"/>
              <w:bottom w:val="nil"/>
              <w:right w:val="nil"/>
            </w:tcBorders>
            <w:shd w:val="clear" w:color="auto" w:fill="auto"/>
            <w:vAlign w:val="center"/>
          </w:tcPr>
          <w:p w14:paraId="1D56FD6A"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209</w:t>
            </w:r>
            <w:r>
              <w:rPr>
                <w:rFonts w:cs="Arial"/>
                <w:b/>
                <w:bCs/>
                <w:color w:val="000000"/>
                <w:szCs w:val="14"/>
              </w:rPr>
              <w:t>,</w:t>
            </w:r>
            <w:r w:rsidRPr="00522098">
              <w:rPr>
                <w:rFonts w:cs="Arial"/>
                <w:b/>
                <w:bCs/>
                <w:color w:val="000000"/>
                <w:szCs w:val="14"/>
              </w:rPr>
              <w:t>170</w:t>
            </w:r>
          </w:p>
        </w:tc>
        <w:tc>
          <w:tcPr>
            <w:tcW w:w="248" w:type="dxa"/>
            <w:tcBorders>
              <w:top w:val="single" w:sz="2" w:space="0" w:color="1F4E79" w:themeColor="accent1" w:themeShade="80"/>
              <w:bottom w:val="nil"/>
            </w:tcBorders>
            <w:shd w:val="clear" w:color="auto" w:fill="auto"/>
            <w:vAlign w:val="center"/>
          </w:tcPr>
          <w:p w14:paraId="2D449E61"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3C7CC508"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522098">
              <w:rPr>
                <w:rFonts w:cs="Arial"/>
                <w:b/>
                <w:bCs/>
                <w:color w:val="000000"/>
                <w:szCs w:val="14"/>
              </w:rPr>
              <w:t>2</w:t>
            </w:r>
            <w:r>
              <w:rPr>
                <w:rFonts w:cs="Arial"/>
                <w:b/>
                <w:bCs/>
                <w:color w:val="000000"/>
                <w:szCs w:val="14"/>
              </w:rPr>
              <w:t>,</w:t>
            </w:r>
            <w:r w:rsidRPr="00522098">
              <w:rPr>
                <w:rFonts w:cs="Arial"/>
                <w:b/>
                <w:bCs/>
                <w:color w:val="000000"/>
                <w:szCs w:val="14"/>
              </w:rPr>
              <w:t>193</w:t>
            </w:r>
            <w:r>
              <w:rPr>
                <w:rFonts w:cs="Arial"/>
                <w:b/>
                <w:bCs/>
                <w:color w:val="000000"/>
                <w:szCs w:val="14"/>
              </w:rPr>
              <w:t>,</w:t>
            </w:r>
            <w:r w:rsidRPr="00522098">
              <w:rPr>
                <w:rFonts w:cs="Arial"/>
                <w:b/>
                <w:bCs/>
                <w:color w:val="000000"/>
                <w:szCs w:val="14"/>
              </w:rPr>
              <w:t>298</w:t>
            </w:r>
          </w:p>
        </w:tc>
        <w:tc>
          <w:tcPr>
            <w:tcW w:w="1439" w:type="dxa"/>
            <w:tcBorders>
              <w:top w:val="nil"/>
              <w:left w:val="nil"/>
              <w:bottom w:val="nil"/>
              <w:right w:val="nil"/>
            </w:tcBorders>
            <w:shd w:val="clear" w:color="auto" w:fill="auto"/>
            <w:vAlign w:val="center"/>
          </w:tcPr>
          <w:p w14:paraId="199F9CEC"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541</w:t>
            </w:r>
            <w:r>
              <w:rPr>
                <w:rFonts w:cs="Arial"/>
                <w:b/>
                <w:bCs/>
                <w:color w:val="000000"/>
                <w:szCs w:val="14"/>
              </w:rPr>
              <w:t>,</w:t>
            </w:r>
            <w:r w:rsidRPr="00522098">
              <w:rPr>
                <w:rFonts w:cs="Arial"/>
                <w:b/>
                <w:bCs/>
                <w:color w:val="000000"/>
                <w:szCs w:val="14"/>
              </w:rPr>
              <w:t>395</w:t>
            </w:r>
          </w:p>
        </w:tc>
      </w:tr>
      <w:tr w:rsidR="00991E72" w:rsidRPr="001D6BE8" w14:paraId="52213CB0" w14:textId="77777777" w:rsidTr="00991E72">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7B17DE0A" w14:textId="77777777" w:rsidR="00991E72" w:rsidRPr="00C806B0" w:rsidRDefault="00991E72" w:rsidP="00991E72">
            <w:pPr>
              <w:pStyle w:val="08-Tabelageral"/>
              <w:ind w:left="113"/>
              <w:jc w:val="left"/>
              <w:rPr>
                <w:rFonts w:cs="Arial"/>
                <w:b w:val="0"/>
                <w:szCs w:val="14"/>
              </w:rPr>
            </w:pPr>
            <w:r w:rsidRPr="00C20080">
              <w:rPr>
                <w:rFonts w:cs="Arial"/>
                <w:b w:val="0"/>
                <w:szCs w:val="14"/>
              </w:rPr>
              <w:t>Equity income</w:t>
            </w:r>
          </w:p>
        </w:tc>
        <w:tc>
          <w:tcPr>
            <w:tcW w:w="743" w:type="dxa"/>
            <w:tcBorders>
              <w:top w:val="nil"/>
              <w:bottom w:val="nil"/>
            </w:tcBorders>
            <w:shd w:val="clear" w:color="auto" w:fill="auto"/>
            <w:vAlign w:val="center"/>
          </w:tcPr>
          <w:p w14:paraId="5DAE1619" w14:textId="77777777" w:rsidR="00991E72" w:rsidRPr="00C806B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[7.b]</w:t>
            </w:r>
          </w:p>
        </w:tc>
        <w:tc>
          <w:tcPr>
            <w:tcW w:w="1514" w:type="dxa"/>
            <w:tcBorders>
              <w:top w:val="nil"/>
              <w:left w:val="nil"/>
              <w:bottom w:val="nil"/>
              <w:right w:val="nil"/>
            </w:tcBorders>
            <w:shd w:val="clear" w:color="auto" w:fill="auto"/>
            <w:vAlign w:val="center"/>
          </w:tcPr>
          <w:p w14:paraId="7A92AFA5"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522098">
              <w:rPr>
                <w:rFonts w:cs="Arial"/>
                <w:color w:val="000000"/>
                <w:szCs w:val="14"/>
              </w:rPr>
              <w:t>1</w:t>
            </w:r>
            <w:r>
              <w:rPr>
                <w:rFonts w:cs="Arial"/>
                <w:color w:val="000000"/>
                <w:szCs w:val="14"/>
              </w:rPr>
              <w:t>,</w:t>
            </w:r>
            <w:r w:rsidRPr="00522098">
              <w:rPr>
                <w:rFonts w:cs="Arial"/>
                <w:color w:val="000000"/>
                <w:szCs w:val="14"/>
              </w:rPr>
              <w:t>836</w:t>
            </w:r>
            <w:r>
              <w:rPr>
                <w:rFonts w:cs="Arial"/>
                <w:color w:val="000000"/>
                <w:szCs w:val="14"/>
              </w:rPr>
              <w:t>,</w:t>
            </w:r>
            <w:r w:rsidRPr="00522098">
              <w:rPr>
                <w:rFonts w:cs="Arial"/>
                <w:color w:val="000000"/>
                <w:szCs w:val="14"/>
              </w:rPr>
              <w:t>11</w:t>
            </w:r>
            <w:r>
              <w:rPr>
                <w:rFonts w:cs="Arial"/>
                <w:color w:val="000000"/>
                <w:szCs w:val="14"/>
              </w:rPr>
              <w:t>2</w:t>
            </w:r>
          </w:p>
        </w:tc>
        <w:tc>
          <w:tcPr>
            <w:tcW w:w="1428" w:type="dxa"/>
            <w:tcBorders>
              <w:top w:val="nil"/>
              <w:left w:val="nil"/>
              <w:bottom w:val="nil"/>
              <w:right w:val="nil"/>
            </w:tcBorders>
            <w:shd w:val="clear" w:color="auto" w:fill="auto"/>
            <w:vAlign w:val="center"/>
          </w:tcPr>
          <w:p w14:paraId="686942BA"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522098">
              <w:rPr>
                <w:rFonts w:cs="Arial"/>
                <w:color w:val="000000"/>
                <w:szCs w:val="14"/>
              </w:rPr>
              <w:t>1</w:t>
            </w:r>
            <w:r>
              <w:rPr>
                <w:rFonts w:cs="Arial"/>
                <w:color w:val="000000"/>
                <w:szCs w:val="14"/>
              </w:rPr>
              <w:t>,</w:t>
            </w:r>
            <w:r w:rsidRPr="00522098">
              <w:rPr>
                <w:rFonts w:cs="Arial"/>
                <w:color w:val="000000"/>
                <w:szCs w:val="14"/>
              </w:rPr>
              <w:t>209</w:t>
            </w:r>
            <w:r>
              <w:rPr>
                <w:rFonts w:cs="Arial"/>
                <w:color w:val="000000"/>
                <w:szCs w:val="14"/>
              </w:rPr>
              <w:t>,</w:t>
            </w:r>
            <w:r w:rsidRPr="00522098">
              <w:rPr>
                <w:rFonts w:cs="Arial"/>
                <w:color w:val="000000"/>
                <w:szCs w:val="14"/>
              </w:rPr>
              <w:t>170</w:t>
            </w:r>
          </w:p>
        </w:tc>
        <w:tc>
          <w:tcPr>
            <w:tcW w:w="248" w:type="dxa"/>
            <w:tcBorders>
              <w:top w:val="nil"/>
              <w:bottom w:val="nil"/>
            </w:tcBorders>
            <w:shd w:val="clear" w:color="auto" w:fill="auto"/>
            <w:vAlign w:val="center"/>
          </w:tcPr>
          <w:p w14:paraId="2931C817"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75D5F11F"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22098">
              <w:rPr>
                <w:rFonts w:cs="Arial"/>
                <w:color w:val="000000"/>
                <w:szCs w:val="14"/>
              </w:rPr>
              <w:t>1</w:t>
            </w:r>
            <w:r>
              <w:rPr>
                <w:rFonts w:cs="Arial"/>
                <w:color w:val="000000"/>
                <w:szCs w:val="14"/>
              </w:rPr>
              <w:t>,</w:t>
            </w:r>
            <w:r w:rsidRPr="00522098">
              <w:rPr>
                <w:rFonts w:cs="Arial"/>
                <w:color w:val="000000"/>
                <w:szCs w:val="14"/>
              </w:rPr>
              <w:t>125</w:t>
            </w:r>
            <w:r>
              <w:rPr>
                <w:rFonts w:cs="Arial"/>
                <w:color w:val="000000"/>
                <w:szCs w:val="14"/>
              </w:rPr>
              <w:t>,</w:t>
            </w:r>
            <w:r w:rsidRPr="00522098">
              <w:rPr>
                <w:rFonts w:cs="Arial"/>
                <w:color w:val="000000"/>
                <w:szCs w:val="14"/>
              </w:rPr>
              <w:t>031</w:t>
            </w:r>
          </w:p>
        </w:tc>
        <w:tc>
          <w:tcPr>
            <w:tcW w:w="1439" w:type="dxa"/>
            <w:tcBorders>
              <w:top w:val="nil"/>
              <w:left w:val="nil"/>
              <w:bottom w:val="nil"/>
              <w:right w:val="nil"/>
            </w:tcBorders>
            <w:shd w:val="clear" w:color="auto" w:fill="auto"/>
            <w:vAlign w:val="center"/>
          </w:tcPr>
          <w:p w14:paraId="2B901924"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522098">
              <w:rPr>
                <w:rFonts w:cs="Arial"/>
                <w:color w:val="000000"/>
                <w:szCs w:val="14"/>
              </w:rPr>
              <w:t>635</w:t>
            </w:r>
            <w:r>
              <w:rPr>
                <w:rFonts w:cs="Arial"/>
                <w:color w:val="000000"/>
                <w:szCs w:val="14"/>
              </w:rPr>
              <w:t>,</w:t>
            </w:r>
            <w:r w:rsidRPr="00522098">
              <w:rPr>
                <w:rFonts w:cs="Arial"/>
                <w:color w:val="000000"/>
                <w:szCs w:val="14"/>
              </w:rPr>
              <w:t>370</w:t>
            </w:r>
          </w:p>
        </w:tc>
      </w:tr>
      <w:tr w:rsidR="00991E72" w:rsidRPr="001D6BE8" w14:paraId="55038DE4"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60221822" w14:textId="77777777" w:rsidR="00991E72" w:rsidRPr="00C806B0" w:rsidRDefault="00991E72" w:rsidP="00991E72">
            <w:pPr>
              <w:pStyle w:val="08-Tabelageral"/>
              <w:ind w:left="113"/>
              <w:jc w:val="left"/>
              <w:rPr>
                <w:rFonts w:cs="Arial"/>
                <w:b w:val="0"/>
                <w:szCs w:val="14"/>
              </w:rPr>
            </w:pPr>
            <w:r w:rsidRPr="00C20080">
              <w:rPr>
                <w:rFonts w:cs="Arial"/>
                <w:b w:val="0"/>
                <w:szCs w:val="14"/>
              </w:rPr>
              <w:t>Net commissions income</w:t>
            </w:r>
          </w:p>
        </w:tc>
        <w:tc>
          <w:tcPr>
            <w:tcW w:w="743" w:type="dxa"/>
            <w:tcBorders>
              <w:top w:val="nil"/>
              <w:bottom w:val="nil"/>
            </w:tcBorders>
            <w:shd w:val="clear" w:color="auto" w:fill="auto"/>
            <w:vAlign w:val="center"/>
          </w:tcPr>
          <w:p w14:paraId="1704B548" w14:textId="77777777" w:rsidR="00991E72" w:rsidRPr="00C806B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[8]</w:t>
            </w:r>
          </w:p>
        </w:tc>
        <w:tc>
          <w:tcPr>
            <w:tcW w:w="1514" w:type="dxa"/>
            <w:tcBorders>
              <w:top w:val="nil"/>
              <w:left w:val="nil"/>
              <w:bottom w:val="nil"/>
              <w:right w:val="nil"/>
            </w:tcBorders>
            <w:shd w:val="clear" w:color="auto" w:fill="auto"/>
            <w:vAlign w:val="center"/>
          </w:tcPr>
          <w:p w14:paraId="2AAB5856"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1428" w:type="dxa"/>
            <w:tcBorders>
              <w:top w:val="nil"/>
              <w:left w:val="nil"/>
              <w:bottom w:val="nil"/>
              <w:right w:val="nil"/>
            </w:tcBorders>
            <w:shd w:val="clear" w:color="auto" w:fill="auto"/>
            <w:vAlign w:val="center"/>
          </w:tcPr>
          <w:p w14:paraId="0A68922B"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w:t>
            </w:r>
          </w:p>
        </w:tc>
        <w:tc>
          <w:tcPr>
            <w:tcW w:w="248" w:type="dxa"/>
            <w:tcBorders>
              <w:top w:val="nil"/>
              <w:bottom w:val="nil"/>
            </w:tcBorders>
            <w:shd w:val="clear" w:color="auto" w:fill="auto"/>
            <w:vAlign w:val="center"/>
          </w:tcPr>
          <w:p w14:paraId="68BC3490"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17397A51"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1,068,267</w:t>
            </w:r>
          </w:p>
        </w:tc>
        <w:tc>
          <w:tcPr>
            <w:tcW w:w="1439" w:type="dxa"/>
            <w:tcBorders>
              <w:top w:val="nil"/>
              <w:left w:val="nil"/>
              <w:bottom w:val="nil"/>
              <w:right w:val="nil"/>
            </w:tcBorders>
            <w:shd w:val="clear" w:color="auto" w:fill="auto"/>
            <w:vAlign w:val="center"/>
          </w:tcPr>
          <w:p w14:paraId="13162E86"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906</w:t>
            </w:r>
            <w:r>
              <w:rPr>
                <w:rFonts w:cs="Arial"/>
                <w:color w:val="000000"/>
                <w:szCs w:val="14"/>
              </w:rPr>
              <w:t>,</w:t>
            </w:r>
            <w:r w:rsidRPr="009027F2">
              <w:rPr>
                <w:rFonts w:cs="Arial"/>
                <w:color w:val="000000"/>
                <w:szCs w:val="14"/>
              </w:rPr>
              <w:t>025</w:t>
            </w:r>
          </w:p>
        </w:tc>
      </w:tr>
      <w:tr w:rsidR="00991E72" w:rsidRPr="003E7906" w14:paraId="07CE3D00"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04673B0C" w14:textId="77777777" w:rsidR="00991E72" w:rsidRPr="009C4D96" w:rsidRDefault="00991E72" w:rsidP="00991E72">
            <w:pPr>
              <w:pStyle w:val="08-Tabelageral"/>
              <w:jc w:val="left"/>
              <w:rPr>
                <w:rFonts w:cs="Arial"/>
                <w:bCs w:val="0"/>
                <w:szCs w:val="14"/>
              </w:rPr>
            </w:pPr>
            <w:r w:rsidRPr="009C4D96">
              <w:rPr>
                <w:rFonts w:cs="Arial"/>
                <w:szCs w:val="14"/>
              </w:rPr>
              <w:t xml:space="preserve">Cost </w:t>
            </w:r>
            <w:r>
              <w:rPr>
                <w:rFonts w:cs="Arial"/>
                <w:szCs w:val="14"/>
              </w:rPr>
              <w:t>o</w:t>
            </w:r>
            <w:r w:rsidRPr="009C4D96">
              <w:rPr>
                <w:rFonts w:cs="Arial"/>
                <w:szCs w:val="14"/>
              </w:rPr>
              <w:t>f Services Provided</w:t>
            </w:r>
          </w:p>
        </w:tc>
        <w:tc>
          <w:tcPr>
            <w:tcW w:w="743" w:type="dxa"/>
            <w:tcBorders>
              <w:top w:val="nil"/>
              <w:bottom w:val="nil"/>
            </w:tcBorders>
            <w:shd w:val="clear" w:color="auto" w:fill="auto"/>
            <w:vAlign w:val="center"/>
          </w:tcPr>
          <w:p w14:paraId="0750FF53"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[9]</w:t>
            </w:r>
          </w:p>
        </w:tc>
        <w:tc>
          <w:tcPr>
            <w:tcW w:w="1514" w:type="dxa"/>
            <w:tcBorders>
              <w:top w:val="nil"/>
              <w:left w:val="nil"/>
              <w:bottom w:val="nil"/>
              <w:right w:val="nil"/>
            </w:tcBorders>
            <w:shd w:val="clear" w:color="auto" w:fill="auto"/>
            <w:vAlign w:val="center"/>
          </w:tcPr>
          <w:p w14:paraId="495FBCF6"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428" w:type="dxa"/>
            <w:tcBorders>
              <w:top w:val="nil"/>
              <w:left w:val="nil"/>
              <w:bottom w:val="nil"/>
              <w:right w:val="nil"/>
            </w:tcBorders>
            <w:shd w:val="clear" w:color="auto" w:fill="auto"/>
            <w:vAlign w:val="center"/>
          </w:tcPr>
          <w:p w14:paraId="78E110D7"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9027F2">
              <w:rPr>
                <w:rFonts w:cs="Arial"/>
                <w:b/>
                <w:bCs/>
                <w:color w:val="000000"/>
                <w:szCs w:val="14"/>
              </w:rPr>
              <w:t>--</w:t>
            </w:r>
          </w:p>
        </w:tc>
        <w:tc>
          <w:tcPr>
            <w:tcW w:w="248" w:type="dxa"/>
            <w:tcBorders>
              <w:top w:val="nil"/>
              <w:bottom w:val="nil"/>
            </w:tcBorders>
            <w:shd w:val="clear" w:color="auto" w:fill="auto"/>
            <w:vAlign w:val="center"/>
          </w:tcPr>
          <w:p w14:paraId="6D500263"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31787A97"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(50,722)</w:t>
            </w:r>
          </w:p>
        </w:tc>
        <w:tc>
          <w:tcPr>
            <w:tcW w:w="1439" w:type="dxa"/>
            <w:tcBorders>
              <w:top w:val="nil"/>
              <w:left w:val="nil"/>
              <w:bottom w:val="nil"/>
              <w:right w:val="nil"/>
            </w:tcBorders>
            <w:shd w:val="clear" w:color="auto" w:fill="auto"/>
            <w:vAlign w:val="center"/>
          </w:tcPr>
          <w:p w14:paraId="7603B89C"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9027F2">
              <w:rPr>
                <w:rFonts w:cs="Arial"/>
                <w:b/>
                <w:bCs/>
                <w:color w:val="000000"/>
                <w:szCs w:val="14"/>
              </w:rPr>
              <w:t>(48</w:t>
            </w:r>
            <w:r>
              <w:rPr>
                <w:rFonts w:cs="Arial"/>
                <w:b/>
                <w:bCs/>
                <w:color w:val="000000"/>
                <w:szCs w:val="14"/>
              </w:rPr>
              <w:t>,</w:t>
            </w:r>
            <w:r w:rsidRPr="009027F2">
              <w:rPr>
                <w:rFonts w:cs="Arial"/>
                <w:b/>
                <w:bCs/>
                <w:color w:val="000000"/>
                <w:szCs w:val="14"/>
              </w:rPr>
              <w:t>037)</w:t>
            </w:r>
          </w:p>
        </w:tc>
      </w:tr>
      <w:tr w:rsidR="00991E72" w:rsidRPr="001D6BE8" w14:paraId="7CF4ABEA"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0E06D416" w14:textId="77777777" w:rsidR="00991E72" w:rsidRPr="007E526D" w:rsidRDefault="00991E72" w:rsidP="00991E72">
            <w:pPr>
              <w:pStyle w:val="08-Tabelageral"/>
              <w:jc w:val="left"/>
              <w:rPr>
                <w:rFonts w:cs="Arial"/>
                <w:szCs w:val="14"/>
              </w:rPr>
            </w:pPr>
            <w:r w:rsidRPr="00C20080">
              <w:rPr>
                <w:rFonts w:cs="Arial"/>
                <w:szCs w:val="14"/>
              </w:rPr>
              <w:t>Gross Profit</w:t>
            </w:r>
          </w:p>
        </w:tc>
        <w:tc>
          <w:tcPr>
            <w:tcW w:w="743" w:type="dxa"/>
            <w:tcBorders>
              <w:top w:val="nil"/>
              <w:bottom w:val="nil"/>
            </w:tcBorders>
            <w:shd w:val="clear" w:color="auto" w:fill="auto"/>
            <w:vAlign w:val="center"/>
          </w:tcPr>
          <w:p w14:paraId="3703147A"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514" w:type="dxa"/>
            <w:tcBorders>
              <w:top w:val="nil"/>
              <w:left w:val="nil"/>
              <w:bottom w:val="nil"/>
              <w:right w:val="nil"/>
            </w:tcBorders>
            <w:shd w:val="clear" w:color="auto" w:fill="auto"/>
            <w:vAlign w:val="center"/>
          </w:tcPr>
          <w:p w14:paraId="0C3566E9"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836</w:t>
            </w:r>
            <w:r>
              <w:rPr>
                <w:rFonts w:cs="Arial"/>
                <w:b/>
                <w:bCs/>
                <w:color w:val="000000"/>
                <w:szCs w:val="14"/>
              </w:rPr>
              <w:t>,</w:t>
            </w:r>
            <w:r w:rsidRPr="00522098">
              <w:rPr>
                <w:rFonts w:cs="Arial"/>
                <w:b/>
                <w:bCs/>
                <w:color w:val="000000"/>
                <w:szCs w:val="14"/>
              </w:rPr>
              <w:t>11</w:t>
            </w:r>
            <w:r>
              <w:rPr>
                <w:rFonts w:cs="Arial"/>
                <w:b/>
                <w:bCs/>
                <w:color w:val="000000"/>
                <w:szCs w:val="14"/>
              </w:rPr>
              <w:t>2</w:t>
            </w:r>
          </w:p>
        </w:tc>
        <w:tc>
          <w:tcPr>
            <w:tcW w:w="1428" w:type="dxa"/>
            <w:tcBorders>
              <w:top w:val="nil"/>
              <w:left w:val="nil"/>
              <w:bottom w:val="nil"/>
              <w:right w:val="nil"/>
            </w:tcBorders>
            <w:shd w:val="clear" w:color="auto" w:fill="auto"/>
            <w:vAlign w:val="center"/>
          </w:tcPr>
          <w:p w14:paraId="77B9C345"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209</w:t>
            </w:r>
            <w:r>
              <w:rPr>
                <w:rFonts w:cs="Arial"/>
                <w:b/>
                <w:bCs/>
                <w:color w:val="000000"/>
                <w:szCs w:val="14"/>
              </w:rPr>
              <w:t>,</w:t>
            </w:r>
            <w:r w:rsidRPr="00522098">
              <w:rPr>
                <w:rFonts w:cs="Arial"/>
                <w:b/>
                <w:bCs/>
                <w:color w:val="000000"/>
                <w:szCs w:val="14"/>
              </w:rPr>
              <w:t>170</w:t>
            </w:r>
          </w:p>
        </w:tc>
        <w:tc>
          <w:tcPr>
            <w:tcW w:w="248" w:type="dxa"/>
            <w:tcBorders>
              <w:top w:val="nil"/>
              <w:bottom w:val="nil"/>
            </w:tcBorders>
            <w:shd w:val="clear" w:color="auto" w:fill="auto"/>
            <w:vAlign w:val="center"/>
          </w:tcPr>
          <w:p w14:paraId="2C852AF9"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0BCE6482"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522098">
              <w:rPr>
                <w:rFonts w:cs="Arial"/>
                <w:b/>
                <w:bCs/>
                <w:color w:val="000000"/>
                <w:szCs w:val="14"/>
              </w:rPr>
              <w:t>2</w:t>
            </w:r>
            <w:r>
              <w:rPr>
                <w:rFonts w:cs="Arial"/>
                <w:b/>
                <w:bCs/>
                <w:color w:val="000000"/>
                <w:szCs w:val="14"/>
              </w:rPr>
              <w:t>,</w:t>
            </w:r>
            <w:r w:rsidRPr="00522098">
              <w:rPr>
                <w:rFonts w:cs="Arial"/>
                <w:b/>
                <w:bCs/>
                <w:color w:val="000000"/>
                <w:szCs w:val="14"/>
              </w:rPr>
              <w:t>142</w:t>
            </w:r>
            <w:r>
              <w:rPr>
                <w:rFonts w:cs="Arial"/>
                <w:b/>
                <w:bCs/>
                <w:color w:val="000000"/>
                <w:szCs w:val="14"/>
              </w:rPr>
              <w:t>,</w:t>
            </w:r>
            <w:r w:rsidRPr="00522098">
              <w:rPr>
                <w:rFonts w:cs="Arial"/>
                <w:b/>
                <w:bCs/>
                <w:color w:val="000000"/>
                <w:szCs w:val="14"/>
              </w:rPr>
              <w:t>576</w:t>
            </w:r>
          </w:p>
        </w:tc>
        <w:tc>
          <w:tcPr>
            <w:tcW w:w="1439" w:type="dxa"/>
            <w:tcBorders>
              <w:top w:val="nil"/>
              <w:left w:val="nil"/>
              <w:bottom w:val="nil"/>
              <w:right w:val="nil"/>
            </w:tcBorders>
            <w:shd w:val="clear" w:color="auto" w:fill="auto"/>
            <w:vAlign w:val="center"/>
          </w:tcPr>
          <w:p w14:paraId="07F27EBC"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493</w:t>
            </w:r>
            <w:r>
              <w:rPr>
                <w:rFonts w:cs="Arial"/>
                <w:b/>
                <w:bCs/>
                <w:color w:val="000000"/>
                <w:szCs w:val="14"/>
              </w:rPr>
              <w:t>,</w:t>
            </w:r>
            <w:r w:rsidRPr="00522098">
              <w:rPr>
                <w:rFonts w:cs="Arial"/>
                <w:b/>
                <w:bCs/>
                <w:color w:val="000000"/>
                <w:szCs w:val="14"/>
              </w:rPr>
              <w:t>358</w:t>
            </w:r>
          </w:p>
        </w:tc>
      </w:tr>
      <w:tr w:rsidR="00991E72" w:rsidRPr="001D6BE8" w14:paraId="669F601B"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517423FF" w14:textId="77777777" w:rsidR="00991E72" w:rsidRPr="00C806B0" w:rsidRDefault="00991E72" w:rsidP="00991E72">
            <w:pPr>
              <w:pStyle w:val="08-Tabelageral"/>
              <w:jc w:val="left"/>
              <w:rPr>
                <w:rFonts w:cs="Arial"/>
                <w:bCs w:val="0"/>
                <w:szCs w:val="14"/>
              </w:rPr>
            </w:pPr>
            <w:r w:rsidRPr="00C20080">
              <w:rPr>
                <w:rFonts w:cs="Arial"/>
                <w:szCs w:val="14"/>
              </w:rPr>
              <w:t xml:space="preserve">Other Income </w:t>
            </w:r>
            <w:r>
              <w:rPr>
                <w:rFonts w:cs="Arial"/>
                <w:szCs w:val="14"/>
              </w:rPr>
              <w:t>a</w:t>
            </w:r>
            <w:r w:rsidRPr="00C20080">
              <w:rPr>
                <w:rFonts w:cs="Arial"/>
                <w:szCs w:val="14"/>
              </w:rPr>
              <w:t>nd Expenses</w:t>
            </w:r>
          </w:p>
        </w:tc>
        <w:tc>
          <w:tcPr>
            <w:tcW w:w="743" w:type="dxa"/>
            <w:tcBorders>
              <w:top w:val="nil"/>
              <w:bottom w:val="nil"/>
            </w:tcBorders>
            <w:shd w:val="clear" w:color="auto" w:fill="auto"/>
            <w:vAlign w:val="center"/>
          </w:tcPr>
          <w:p w14:paraId="6F95CE5E"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514" w:type="dxa"/>
            <w:tcBorders>
              <w:top w:val="nil"/>
              <w:left w:val="nil"/>
              <w:bottom w:val="nil"/>
              <w:right w:val="nil"/>
            </w:tcBorders>
            <w:shd w:val="clear" w:color="auto" w:fill="auto"/>
            <w:vAlign w:val="center"/>
          </w:tcPr>
          <w:p w14:paraId="611AD918"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(5</w:t>
            </w:r>
            <w:r>
              <w:rPr>
                <w:rFonts w:cs="Arial"/>
                <w:b/>
                <w:bCs/>
                <w:color w:val="000000"/>
                <w:szCs w:val="14"/>
              </w:rPr>
              <w:t>,</w:t>
            </w:r>
            <w:r w:rsidRPr="00522098">
              <w:rPr>
                <w:rFonts w:cs="Arial"/>
                <w:b/>
                <w:bCs/>
                <w:color w:val="000000"/>
                <w:szCs w:val="14"/>
              </w:rPr>
              <w:t>46</w:t>
            </w:r>
            <w:r>
              <w:rPr>
                <w:rFonts w:cs="Arial"/>
                <w:b/>
                <w:bCs/>
                <w:color w:val="000000"/>
                <w:szCs w:val="14"/>
              </w:rPr>
              <w:t>5</w:t>
            </w:r>
            <w:r w:rsidRPr="00522098">
              <w:rPr>
                <w:rFonts w:cs="Arial"/>
                <w:b/>
                <w:bCs/>
                <w:color w:val="000000"/>
                <w:szCs w:val="14"/>
              </w:rPr>
              <w:t>)</w:t>
            </w:r>
          </w:p>
        </w:tc>
        <w:tc>
          <w:tcPr>
            <w:tcW w:w="1428" w:type="dxa"/>
            <w:tcBorders>
              <w:top w:val="nil"/>
              <w:left w:val="nil"/>
              <w:bottom w:val="nil"/>
              <w:right w:val="nil"/>
            </w:tcBorders>
            <w:shd w:val="clear" w:color="auto" w:fill="auto"/>
            <w:vAlign w:val="center"/>
          </w:tcPr>
          <w:p w14:paraId="5E074BC1"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9027F2">
              <w:rPr>
                <w:rFonts w:cs="Arial"/>
                <w:b/>
                <w:bCs/>
                <w:color w:val="000000"/>
                <w:szCs w:val="14"/>
              </w:rPr>
              <w:t>(3</w:t>
            </w:r>
            <w:r>
              <w:rPr>
                <w:rFonts w:cs="Arial"/>
                <w:b/>
                <w:bCs/>
                <w:color w:val="000000"/>
                <w:szCs w:val="14"/>
              </w:rPr>
              <w:t>,</w:t>
            </w:r>
            <w:r w:rsidRPr="009027F2">
              <w:rPr>
                <w:rFonts w:cs="Arial"/>
                <w:b/>
                <w:bCs/>
                <w:color w:val="000000"/>
                <w:szCs w:val="14"/>
              </w:rPr>
              <w:t>109)</w:t>
            </w:r>
          </w:p>
        </w:tc>
        <w:tc>
          <w:tcPr>
            <w:tcW w:w="248" w:type="dxa"/>
            <w:tcBorders>
              <w:top w:val="nil"/>
              <w:bottom w:val="nil"/>
            </w:tcBorders>
            <w:shd w:val="clear" w:color="auto" w:fill="auto"/>
            <w:vAlign w:val="center"/>
          </w:tcPr>
          <w:p w14:paraId="58F20361"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57787907"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(39,514)</w:t>
            </w:r>
          </w:p>
        </w:tc>
        <w:tc>
          <w:tcPr>
            <w:tcW w:w="1439" w:type="dxa"/>
            <w:tcBorders>
              <w:top w:val="nil"/>
              <w:left w:val="nil"/>
              <w:bottom w:val="nil"/>
              <w:right w:val="nil"/>
            </w:tcBorders>
            <w:shd w:val="clear" w:color="auto" w:fill="auto"/>
            <w:vAlign w:val="center"/>
          </w:tcPr>
          <w:p w14:paraId="43C7E4C0"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(42</w:t>
            </w:r>
            <w:r>
              <w:rPr>
                <w:rFonts w:cs="Arial"/>
                <w:b/>
                <w:bCs/>
                <w:color w:val="000000"/>
                <w:szCs w:val="14"/>
              </w:rPr>
              <w:t>,</w:t>
            </w:r>
            <w:r w:rsidRPr="00522098">
              <w:rPr>
                <w:rFonts w:cs="Arial"/>
                <w:b/>
                <w:bCs/>
                <w:color w:val="000000"/>
                <w:szCs w:val="14"/>
              </w:rPr>
              <w:t>663)</w:t>
            </w:r>
          </w:p>
        </w:tc>
      </w:tr>
      <w:tr w:rsidR="00991E72" w:rsidRPr="001D6BE8" w14:paraId="3BFF7AF4"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0B36DB28" w14:textId="77777777" w:rsidR="00991E72" w:rsidRPr="00C806B0" w:rsidRDefault="00991E72" w:rsidP="00991E72">
            <w:pPr>
              <w:pStyle w:val="08-Tabelageral"/>
              <w:ind w:left="113"/>
              <w:jc w:val="left"/>
              <w:rPr>
                <w:rFonts w:cs="Arial"/>
                <w:b w:val="0"/>
                <w:szCs w:val="14"/>
              </w:rPr>
            </w:pPr>
            <w:r w:rsidRPr="00C20080">
              <w:rPr>
                <w:b w:val="0"/>
              </w:rPr>
              <w:t>Personnel expenses</w:t>
            </w:r>
          </w:p>
        </w:tc>
        <w:tc>
          <w:tcPr>
            <w:tcW w:w="743" w:type="dxa"/>
            <w:tcBorders>
              <w:top w:val="nil"/>
              <w:bottom w:val="nil"/>
            </w:tcBorders>
            <w:shd w:val="clear" w:color="auto" w:fill="auto"/>
            <w:vAlign w:val="center"/>
          </w:tcPr>
          <w:p w14:paraId="52823DDC" w14:textId="77777777" w:rsidR="00991E72" w:rsidRPr="008121B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[10]</w:t>
            </w:r>
          </w:p>
        </w:tc>
        <w:tc>
          <w:tcPr>
            <w:tcW w:w="1514" w:type="dxa"/>
            <w:tcBorders>
              <w:top w:val="nil"/>
              <w:left w:val="nil"/>
              <w:bottom w:val="nil"/>
              <w:right w:val="nil"/>
            </w:tcBorders>
            <w:shd w:val="clear" w:color="auto" w:fill="auto"/>
            <w:vAlign w:val="center"/>
          </w:tcPr>
          <w:p w14:paraId="698C00D4"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(3,640)</w:t>
            </w:r>
          </w:p>
        </w:tc>
        <w:tc>
          <w:tcPr>
            <w:tcW w:w="1428" w:type="dxa"/>
            <w:tcBorders>
              <w:top w:val="nil"/>
              <w:left w:val="nil"/>
              <w:bottom w:val="nil"/>
              <w:right w:val="nil"/>
            </w:tcBorders>
            <w:shd w:val="clear" w:color="auto" w:fill="auto"/>
            <w:vAlign w:val="center"/>
          </w:tcPr>
          <w:p w14:paraId="3B08B209"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(3</w:t>
            </w:r>
            <w:r>
              <w:rPr>
                <w:rFonts w:cs="Arial"/>
                <w:color w:val="000000"/>
                <w:szCs w:val="14"/>
              </w:rPr>
              <w:t>,</w:t>
            </w:r>
            <w:r w:rsidRPr="009027F2">
              <w:rPr>
                <w:rFonts w:cs="Arial"/>
                <w:color w:val="000000"/>
                <w:szCs w:val="14"/>
              </w:rPr>
              <w:t>306)</w:t>
            </w:r>
          </w:p>
        </w:tc>
        <w:tc>
          <w:tcPr>
            <w:tcW w:w="248" w:type="dxa"/>
            <w:tcBorders>
              <w:top w:val="nil"/>
              <w:bottom w:val="nil"/>
            </w:tcBorders>
            <w:shd w:val="clear" w:color="auto" w:fill="auto"/>
            <w:vAlign w:val="center"/>
          </w:tcPr>
          <w:p w14:paraId="57A2E81F"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1FAFD9D6"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(19,562)</w:t>
            </w:r>
          </w:p>
        </w:tc>
        <w:tc>
          <w:tcPr>
            <w:tcW w:w="1439" w:type="dxa"/>
            <w:tcBorders>
              <w:top w:val="nil"/>
              <w:left w:val="nil"/>
              <w:bottom w:val="nil"/>
              <w:right w:val="nil"/>
            </w:tcBorders>
            <w:shd w:val="clear" w:color="auto" w:fill="auto"/>
            <w:vAlign w:val="center"/>
          </w:tcPr>
          <w:p w14:paraId="3844A1C9"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(16</w:t>
            </w:r>
            <w:r>
              <w:rPr>
                <w:rFonts w:cs="Arial"/>
                <w:color w:val="000000"/>
                <w:szCs w:val="14"/>
              </w:rPr>
              <w:t>,</w:t>
            </w:r>
            <w:r w:rsidRPr="009027F2">
              <w:rPr>
                <w:rFonts w:cs="Arial"/>
                <w:color w:val="000000"/>
                <w:szCs w:val="14"/>
              </w:rPr>
              <w:t>390)</w:t>
            </w:r>
          </w:p>
        </w:tc>
      </w:tr>
      <w:tr w:rsidR="00991E72" w:rsidRPr="001D6BE8" w14:paraId="3CE14821"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531CC1CC" w14:textId="77777777" w:rsidR="00991E72" w:rsidRPr="00C806B0" w:rsidRDefault="00991E72" w:rsidP="00991E72">
            <w:pPr>
              <w:pStyle w:val="08-Tabelageral"/>
              <w:ind w:left="113"/>
              <w:jc w:val="left"/>
              <w:rPr>
                <w:rFonts w:cs="Arial"/>
                <w:b w:val="0"/>
                <w:szCs w:val="14"/>
              </w:rPr>
            </w:pPr>
            <w:r w:rsidRPr="00BA0FFD">
              <w:rPr>
                <w:b w:val="0"/>
              </w:rPr>
              <w:t>Administrative</w:t>
            </w:r>
            <w:r>
              <w:rPr>
                <w:b w:val="0"/>
              </w:rPr>
              <w:t>s</w:t>
            </w:r>
            <w:r w:rsidRPr="00BA0FFD">
              <w:rPr>
                <w:b w:val="0"/>
              </w:rPr>
              <w:t xml:space="preserve"> </w:t>
            </w:r>
            <w:r>
              <w:rPr>
                <w:b w:val="0"/>
              </w:rPr>
              <w:t xml:space="preserve">and sales </w:t>
            </w:r>
            <w:r w:rsidRPr="00BA0FFD">
              <w:rPr>
                <w:b w:val="0"/>
              </w:rPr>
              <w:t>expenses</w:t>
            </w:r>
          </w:p>
        </w:tc>
        <w:tc>
          <w:tcPr>
            <w:tcW w:w="743" w:type="dxa"/>
            <w:tcBorders>
              <w:top w:val="nil"/>
              <w:bottom w:val="nil"/>
            </w:tcBorders>
            <w:shd w:val="clear" w:color="auto" w:fill="auto"/>
            <w:vAlign w:val="center"/>
          </w:tcPr>
          <w:p w14:paraId="1143A32D" w14:textId="77777777" w:rsidR="00991E72" w:rsidRPr="008121B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[11]</w:t>
            </w:r>
          </w:p>
        </w:tc>
        <w:tc>
          <w:tcPr>
            <w:tcW w:w="1514" w:type="dxa"/>
            <w:tcBorders>
              <w:top w:val="nil"/>
              <w:left w:val="nil"/>
              <w:bottom w:val="nil"/>
              <w:right w:val="nil"/>
            </w:tcBorders>
            <w:shd w:val="clear" w:color="auto" w:fill="auto"/>
            <w:vAlign w:val="center"/>
          </w:tcPr>
          <w:p w14:paraId="6AD7B6AF"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(721)</w:t>
            </w:r>
          </w:p>
        </w:tc>
        <w:tc>
          <w:tcPr>
            <w:tcW w:w="1428" w:type="dxa"/>
            <w:tcBorders>
              <w:top w:val="nil"/>
              <w:left w:val="nil"/>
              <w:bottom w:val="nil"/>
              <w:right w:val="nil"/>
            </w:tcBorders>
            <w:shd w:val="clear" w:color="auto" w:fill="auto"/>
            <w:vAlign w:val="center"/>
          </w:tcPr>
          <w:p w14:paraId="70884065"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027F2">
              <w:rPr>
                <w:rFonts w:cs="Arial"/>
                <w:color w:val="000000"/>
                <w:szCs w:val="14"/>
              </w:rPr>
              <w:t>(632)</w:t>
            </w:r>
          </w:p>
        </w:tc>
        <w:tc>
          <w:tcPr>
            <w:tcW w:w="248" w:type="dxa"/>
            <w:tcBorders>
              <w:top w:val="nil"/>
              <w:bottom w:val="nil"/>
            </w:tcBorders>
            <w:shd w:val="clear" w:color="auto" w:fill="auto"/>
            <w:vAlign w:val="center"/>
          </w:tcPr>
          <w:p w14:paraId="361B6764"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545A352D"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(9,029)</w:t>
            </w:r>
          </w:p>
        </w:tc>
        <w:tc>
          <w:tcPr>
            <w:tcW w:w="1439" w:type="dxa"/>
            <w:tcBorders>
              <w:top w:val="nil"/>
              <w:left w:val="nil"/>
              <w:bottom w:val="nil"/>
              <w:right w:val="nil"/>
            </w:tcBorders>
            <w:shd w:val="clear" w:color="auto" w:fill="auto"/>
            <w:vAlign w:val="center"/>
          </w:tcPr>
          <w:p w14:paraId="23B6F4FD"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027F2">
              <w:rPr>
                <w:rFonts w:cs="Arial"/>
                <w:color w:val="000000"/>
                <w:szCs w:val="14"/>
              </w:rPr>
              <w:t>(5</w:t>
            </w:r>
            <w:r>
              <w:rPr>
                <w:rFonts w:cs="Arial"/>
                <w:color w:val="000000"/>
                <w:szCs w:val="14"/>
              </w:rPr>
              <w:t>,</w:t>
            </w:r>
            <w:r w:rsidRPr="009027F2">
              <w:rPr>
                <w:rFonts w:cs="Arial"/>
                <w:color w:val="000000"/>
                <w:szCs w:val="14"/>
              </w:rPr>
              <w:t>878)</w:t>
            </w:r>
          </w:p>
        </w:tc>
      </w:tr>
      <w:tr w:rsidR="00991E72" w:rsidRPr="001D6BE8" w14:paraId="79C2B802"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2998F900" w14:textId="77777777" w:rsidR="00991E72" w:rsidRPr="00C806B0" w:rsidRDefault="00991E72" w:rsidP="00991E72">
            <w:pPr>
              <w:pStyle w:val="08-Tabelageral"/>
              <w:ind w:left="113"/>
              <w:jc w:val="left"/>
              <w:rPr>
                <w:rFonts w:cs="Arial"/>
                <w:b w:val="0"/>
                <w:szCs w:val="14"/>
              </w:rPr>
            </w:pPr>
            <w:r w:rsidRPr="00BA0FFD">
              <w:rPr>
                <w:b w:val="0"/>
              </w:rPr>
              <w:t>Tax expenses</w:t>
            </w:r>
          </w:p>
        </w:tc>
        <w:tc>
          <w:tcPr>
            <w:tcW w:w="743" w:type="dxa"/>
            <w:tcBorders>
              <w:top w:val="nil"/>
              <w:bottom w:val="nil"/>
            </w:tcBorders>
            <w:shd w:val="clear" w:color="auto" w:fill="auto"/>
            <w:vAlign w:val="center"/>
          </w:tcPr>
          <w:p w14:paraId="6C9534C3" w14:textId="77777777" w:rsidR="00991E72" w:rsidRPr="008121B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[12.c]</w:t>
            </w:r>
          </w:p>
        </w:tc>
        <w:tc>
          <w:tcPr>
            <w:tcW w:w="1514" w:type="dxa"/>
            <w:tcBorders>
              <w:top w:val="nil"/>
              <w:left w:val="nil"/>
              <w:bottom w:val="nil"/>
              <w:right w:val="nil"/>
            </w:tcBorders>
            <w:shd w:val="clear" w:color="auto" w:fill="auto"/>
            <w:vAlign w:val="center"/>
          </w:tcPr>
          <w:p w14:paraId="33160CC9"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(4,080)</w:t>
            </w:r>
          </w:p>
        </w:tc>
        <w:tc>
          <w:tcPr>
            <w:tcW w:w="1428" w:type="dxa"/>
            <w:tcBorders>
              <w:top w:val="nil"/>
              <w:left w:val="nil"/>
              <w:bottom w:val="nil"/>
              <w:right w:val="nil"/>
            </w:tcBorders>
            <w:shd w:val="clear" w:color="auto" w:fill="auto"/>
            <w:vAlign w:val="center"/>
          </w:tcPr>
          <w:p w14:paraId="6FF53CE1"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(1</w:t>
            </w:r>
            <w:r>
              <w:rPr>
                <w:rFonts w:cs="Arial"/>
                <w:color w:val="000000"/>
                <w:szCs w:val="14"/>
              </w:rPr>
              <w:t>,</w:t>
            </w:r>
            <w:r w:rsidRPr="009027F2">
              <w:rPr>
                <w:rFonts w:cs="Arial"/>
                <w:color w:val="000000"/>
                <w:szCs w:val="14"/>
              </w:rPr>
              <w:t>630)</w:t>
            </w:r>
          </w:p>
        </w:tc>
        <w:tc>
          <w:tcPr>
            <w:tcW w:w="248" w:type="dxa"/>
            <w:tcBorders>
              <w:top w:val="nil"/>
              <w:bottom w:val="nil"/>
            </w:tcBorders>
            <w:shd w:val="clear" w:color="auto" w:fill="auto"/>
            <w:vAlign w:val="center"/>
          </w:tcPr>
          <w:p w14:paraId="2E2D76FB"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213A3CC0"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(12,106)</w:t>
            </w:r>
          </w:p>
        </w:tc>
        <w:tc>
          <w:tcPr>
            <w:tcW w:w="1439" w:type="dxa"/>
            <w:tcBorders>
              <w:top w:val="nil"/>
              <w:left w:val="nil"/>
              <w:bottom w:val="nil"/>
              <w:right w:val="nil"/>
            </w:tcBorders>
            <w:shd w:val="clear" w:color="auto" w:fill="auto"/>
            <w:vAlign w:val="center"/>
          </w:tcPr>
          <w:p w14:paraId="523942C1"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(5</w:t>
            </w:r>
            <w:r>
              <w:rPr>
                <w:rFonts w:cs="Arial"/>
                <w:color w:val="000000"/>
                <w:szCs w:val="14"/>
              </w:rPr>
              <w:t>,</w:t>
            </w:r>
            <w:r w:rsidRPr="009027F2">
              <w:rPr>
                <w:rFonts w:cs="Arial"/>
                <w:color w:val="000000"/>
                <w:szCs w:val="14"/>
              </w:rPr>
              <w:t>317)</w:t>
            </w:r>
          </w:p>
        </w:tc>
      </w:tr>
      <w:tr w:rsidR="00991E72" w:rsidRPr="001D6BE8" w14:paraId="75AE0429"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3E1A1305" w14:textId="77777777" w:rsidR="00991E72" w:rsidRPr="00AB64D8" w:rsidRDefault="00991E72" w:rsidP="00991E72">
            <w:pPr>
              <w:pStyle w:val="08-Tabelageral"/>
              <w:ind w:left="113"/>
              <w:jc w:val="left"/>
              <w:rPr>
                <w:rFonts w:cs="Arial"/>
                <w:b w:val="0"/>
                <w:bCs w:val="0"/>
                <w:szCs w:val="14"/>
                <w:lang w:val="en-US"/>
              </w:rPr>
            </w:pPr>
            <w:r>
              <w:rPr>
                <w:rFonts w:cs="Arial"/>
                <w:b w:val="0"/>
                <w:bCs w:val="0"/>
                <w:szCs w:val="14"/>
                <w:lang w:val="en-US"/>
              </w:rPr>
              <w:t>P</w:t>
            </w:r>
            <w:r w:rsidRPr="00AB64D8">
              <w:rPr>
                <w:rFonts w:cs="Arial"/>
                <w:b w:val="0"/>
                <w:bCs w:val="0"/>
                <w:szCs w:val="14"/>
                <w:lang w:val="en-US"/>
              </w:rPr>
              <w:t>rovision for brokerage to</w:t>
            </w:r>
            <w:r w:rsidRPr="00CE5126">
              <w:rPr>
                <w:lang w:val="en-US"/>
              </w:rPr>
              <w:t xml:space="preserve"> </w:t>
            </w:r>
            <w:r w:rsidRPr="00AB64D8">
              <w:rPr>
                <w:rFonts w:cs="Arial"/>
                <w:b w:val="0"/>
                <w:bCs w:val="0"/>
                <w:szCs w:val="14"/>
                <w:lang w:val="en-US"/>
              </w:rPr>
              <w:t>returned</w:t>
            </w:r>
          </w:p>
          <w:p w14:paraId="09588F0C" w14:textId="77777777" w:rsidR="00991E72" w:rsidRPr="00AB64D8" w:rsidRDefault="00991E72" w:rsidP="00991E72">
            <w:pPr>
              <w:pStyle w:val="08-Tabelageral"/>
              <w:ind w:left="113"/>
              <w:jc w:val="left"/>
              <w:rPr>
                <w:highlight w:val="yellow"/>
                <w:lang w:val="en-US"/>
              </w:rPr>
            </w:pPr>
            <w:r w:rsidRPr="00AB64D8">
              <w:rPr>
                <w:rFonts w:cs="Arial"/>
                <w:b w:val="0"/>
                <w:bCs w:val="0"/>
                <w:szCs w:val="14"/>
                <w:lang w:val="en-US"/>
              </w:rPr>
              <w:t>returned</w:t>
            </w:r>
          </w:p>
        </w:tc>
        <w:tc>
          <w:tcPr>
            <w:tcW w:w="743" w:type="dxa"/>
            <w:tcBorders>
              <w:top w:val="nil"/>
              <w:bottom w:val="nil"/>
            </w:tcBorders>
            <w:shd w:val="clear" w:color="auto" w:fill="auto"/>
            <w:vAlign w:val="center"/>
          </w:tcPr>
          <w:p w14:paraId="257465E0" w14:textId="77777777" w:rsidR="00991E72" w:rsidRPr="00CE512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CE5126">
              <w:rPr>
                <w:rFonts w:cs="Arial"/>
                <w:szCs w:val="14"/>
              </w:rPr>
              <w:t>[13]</w:t>
            </w:r>
          </w:p>
        </w:tc>
        <w:tc>
          <w:tcPr>
            <w:tcW w:w="1514" w:type="dxa"/>
            <w:tcBorders>
              <w:top w:val="nil"/>
              <w:left w:val="nil"/>
              <w:bottom w:val="nil"/>
              <w:right w:val="nil"/>
            </w:tcBorders>
            <w:shd w:val="clear" w:color="auto" w:fill="auto"/>
            <w:vAlign w:val="center"/>
          </w:tcPr>
          <w:p w14:paraId="7D7503C9" w14:textId="77777777" w:rsidR="00991E72" w:rsidRPr="00CE512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1428" w:type="dxa"/>
            <w:tcBorders>
              <w:top w:val="nil"/>
              <w:left w:val="nil"/>
              <w:bottom w:val="nil"/>
              <w:right w:val="nil"/>
            </w:tcBorders>
            <w:shd w:val="clear" w:color="auto" w:fill="auto"/>
            <w:vAlign w:val="center"/>
          </w:tcPr>
          <w:p w14:paraId="0D1F25D1" w14:textId="77777777" w:rsidR="00991E72" w:rsidRPr="00CE512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EE3DE0">
              <w:rPr>
                <w:rFonts w:cs="Arial"/>
                <w:color w:val="000000"/>
                <w:szCs w:val="14"/>
              </w:rPr>
              <w:t>--</w:t>
            </w:r>
          </w:p>
        </w:tc>
        <w:tc>
          <w:tcPr>
            <w:tcW w:w="248" w:type="dxa"/>
            <w:tcBorders>
              <w:top w:val="nil"/>
              <w:bottom w:val="nil"/>
            </w:tcBorders>
            <w:shd w:val="clear" w:color="auto" w:fill="auto"/>
            <w:vAlign w:val="center"/>
          </w:tcPr>
          <w:p w14:paraId="7EFA76B3" w14:textId="77777777" w:rsidR="00991E72" w:rsidRPr="00CE5126"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69A89E92" w14:textId="77777777" w:rsidR="00991E72" w:rsidRPr="00CE5126"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t>--</w:t>
            </w:r>
          </w:p>
        </w:tc>
        <w:tc>
          <w:tcPr>
            <w:tcW w:w="1439" w:type="dxa"/>
            <w:tcBorders>
              <w:top w:val="nil"/>
              <w:left w:val="nil"/>
              <w:bottom w:val="nil"/>
              <w:right w:val="nil"/>
            </w:tcBorders>
            <w:shd w:val="clear" w:color="auto" w:fill="auto"/>
            <w:vAlign w:val="center"/>
          </w:tcPr>
          <w:p w14:paraId="04D83676" w14:textId="77777777" w:rsidR="00991E72" w:rsidRPr="00CE512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EE3DE0">
              <w:t>(9</w:t>
            </w:r>
            <w:r>
              <w:t>,</w:t>
            </w:r>
            <w:r w:rsidRPr="00EE3DE0">
              <w:t>824)</w:t>
            </w:r>
          </w:p>
        </w:tc>
      </w:tr>
      <w:tr w:rsidR="00991E72" w:rsidRPr="001D6BE8" w14:paraId="397E9765"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2FE29B0C" w14:textId="77777777" w:rsidR="00991E72" w:rsidRPr="00C806B0" w:rsidRDefault="00991E72" w:rsidP="00991E72">
            <w:pPr>
              <w:pStyle w:val="08-Tabelageral"/>
              <w:ind w:left="113"/>
              <w:jc w:val="left"/>
              <w:rPr>
                <w:rFonts w:cs="Arial"/>
                <w:b w:val="0"/>
                <w:szCs w:val="14"/>
              </w:rPr>
            </w:pPr>
            <w:r w:rsidRPr="00BA0FFD">
              <w:rPr>
                <w:b w:val="0"/>
              </w:rPr>
              <w:t>Other</w:t>
            </w:r>
          </w:p>
        </w:tc>
        <w:tc>
          <w:tcPr>
            <w:tcW w:w="743" w:type="dxa"/>
            <w:tcBorders>
              <w:top w:val="nil"/>
              <w:bottom w:val="nil"/>
            </w:tcBorders>
            <w:shd w:val="clear" w:color="auto" w:fill="auto"/>
            <w:vAlign w:val="center"/>
          </w:tcPr>
          <w:p w14:paraId="2362E278" w14:textId="77777777" w:rsidR="00991E72" w:rsidRPr="008121B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[13]</w:t>
            </w:r>
          </w:p>
        </w:tc>
        <w:tc>
          <w:tcPr>
            <w:tcW w:w="1514" w:type="dxa"/>
            <w:tcBorders>
              <w:top w:val="nil"/>
              <w:left w:val="nil"/>
              <w:bottom w:val="nil"/>
              <w:right w:val="nil"/>
            </w:tcBorders>
            <w:shd w:val="clear" w:color="auto" w:fill="auto"/>
            <w:vAlign w:val="center"/>
          </w:tcPr>
          <w:p w14:paraId="2396D788"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522098">
              <w:t>2</w:t>
            </w:r>
            <w:r>
              <w:t>,</w:t>
            </w:r>
            <w:r w:rsidRPr="00522098">
              <w:t>97</w:t>
            </w:r>
            <w:r>
              <w:t>6</w:t>
            </w:r>
          </w:p>
        </w:tc>
        <w:tc>
          <w:tcPr>
            <w:tcW w:w="1428" w:type="dxa"/>
            <w:tcBorders>
              <w:top w:val="nil"/>
              <w:left w:val="nil"/>
              <w:bottom w:val="nil"/>
              <w:right w:val="nil"/>
            </w:tcBorders>
            <w:shd w:val="clear" w:color="auto" w:fill="auto"/>
            <w:vAlign w:val="center"/>
          </w:tcPr>
          <w:p w14:paraId="6CD75040"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EE3DE0">
              <w:rPr>
                <w:rFonts w:cs="Arial"/>
                <w:color w:val="000000"/>
                <w:szCs w:val="14"/>
              </w:rPr>
              <w:t>2</w:t>
            </w:r>
            <w:r>
              <w:rPr>
                <w:rFonts w:cs="Arial"/>
                <w:color w:val="000000"/>
                <w:szCs w:val="14"/>
              </w:rPr>
              <w:t>,</w:t>
            </w:r>
            <w:r w:rsidRPr="00EE3DE0">
              <w:rPr>
                <w:rFonts w:cs="Arial"/>
                <w:color w:val="000000"/>
                <w:szCs w:val="14"/>
              </w:rPr>
              <w:t>459</w:t>
            </w:r>
          </w:p>
        </w:tc>
        <w:tc>
          <w:tcPr>
            <w:tcW w:w="248" w:type="dxa"/>
            <w:tcBorders>
              <w:top w:val="nil"/>
              <w:bottom w:val="nil"/>
            </w:tcBorders>
            <w:shd w:val="clear" w:color="auto" w:fill="auto"/>
            <w:vAlign w:val="center"/>
          </w:tcPr>
          <w:p w14:paraId="1B2E8AE8"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6393B03C"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12177F">
              <w:t>1</w:t>
            </w:r>
            <w:r>
              <w:t>,</w:t>
            </w:r>
            <w:r w:rsidRPr="0012177F">
              <w:t>183</w:t>
            </w:r>
          </w:p>
        </w:tc>
        <w:tc>
          <w:tcPr>
            <w:tcW w:w="1439" w:type="dxa"/>
            <w:tcBorders>
              <w:top w:val="nil"/>
              <w:left w:val="nil"/>
              <w:bottom w:val="nil"/>
              <w:right w:val="nil"/>
            </w:tcBorders>
            <w:shd w:val="clear" w:color="auto" w:fill="auto"/>
            <w:vAlign w:val="center"/>
          </w:tcPr>
          <w:p w14:paraId="33DCD25A"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r w:rsidRPr="00EE3DE0">
              <w:rPr>
                <w:rFonts w:cs="Arial"/>
                <w:color w:val="000000"/>
                <w:szCs w:val="14"/>
              </w:rPr>
              <w:t>5</w:t>
            </w:r>
            <w:r>
              <w:rPr>
                <w:rFonts w:cs="Arial"/>
                <w:color w:val="000000"/>
                <w:szCs w:val="14"/>
              </w:rPr>
              <w:t>,</w:t>
            </w:r>
            <w:r w:rsidRPr="00EE3DE0">
              <w:rPr>
                <w:rFonts w:cs="Arial"/>
                <w:color w:val="000000"/>
                <w:szCs w:val="14"/>
              </w:rPr>
              <w:t>25</w:t>
            </w:r>
            <w:r>
              <w:rPr>
                <w:rFonts w:cs="Arial"/>
                <w:color w:val="000000"/>
                <w:szCs w:val="14"/>
              </w:rPr>
              <w:t>4)</w:t>
            </w:r>
          </w:p>
        </w:tc>
      </w:tr>
      <w:tr w:rsidR="00991E72" w:rsidRPr="001D6BE8" w14:paraId="387FAF1F" w14:textId="77777777" w:rsidTr="00991E72">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4882C938" w14:textId="77777777" w:rsidR="00991E72" w:rsidRPr="0038283D" w:rsidRDefault="00991E72" w:rsidP="00991E72">
            <w:pPr>
              <w:pStyle w:val="08-Tabelageral"/>
              <w:jc w:val="left"/>
              <w:rPr>
                <w:rFonts w:cs="Arial"/>
                <w:szCs w:val="14"/>
                <w:lang w:val="en-US"/>
              </w:rPr>
            </w:pPr>
            <w:r w:rsidRPr="00BD6C7E">
              <w:rPr>
                <w:rFonts w:cs="Arial"/>
                <w:szCs w:val="14"/>
                <w:lang w:val="en-US"/>
              </w:rPr>
              <w:t xml:space="preserve">Income Before Financial Revenue </w:t>
            </w:r>
            <w:r>
              <w:rPr>
                <w:rFonts w:cs="Arial"/>
                <w:szCs w:val="14"/>
                <w:lang w:val="en-US"/>
              </w:rPr>
              <w:t>a</w:t>
            </w:r>
            <w:r w:rsidRPr="00BD6C7E">
              <w:rPr>
                <w:rFonts w:cs="Arial"/>
                <w:szCs w:val="14"/>
                <w:lang w:val="en-US"/>
              </w:rPr>
              <w:t>nd Expenses</w:t>
            </w:r>
          </w:p>
        </w:tc>
        <w:tc>
          <w:tcPr>
            <w:tcW w:w="743" w:type="dxa"/>
            <w:tcBorders>
              <w:top w:val="nil"/>
              <w:bottom w:val="nil"/>
            </w:tcBorders>
            <w:shd w:val="clear" w:color="auto" w:fill="auto"/>
            <w:vAlign w:val="center"/>
          </w:tcPr>
          <w:p w14:paraId="5C6E46C7" w14:textId="77777777" w:rsidR="00991E72" w:rsidRPr="0038283D"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514" w:type="dxa"/>
            <w:tcBorders>
              <w:top w:val="nil"/>
              <w:left w:val="nil"/>
              <w:bottom w:val="nil"/>
              <w:right w:val="nil"/>
            </w:tcBorders>
            <w:shd w:val="clear" w:color="auto" w:fill="auto"/>
            <w:vAlign w:val="center"/>
          </w:tcPr>
          <w:p w14:paraId="0D9E2D8B"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830</w:t>
            </w:r>
            <w:r>
              <w:rPr>
                <w:rFonts w:cs="Arial"/>
                <w:b/>
                <w:bCs/>
                <w:color w:val="000000"/>
                <w:szCs w:val="14"/>
              </w:rPr>
              <w:t>,</w:t>
            </w:r>
            <w:r w:rsidRPr="00522098">
              <w:rPr>
                <w:rFonts w:cs="Arial"/>
                <w:b/>
                <w:bCs/>
                <w:color w:val="000000"/>
                <w:szCs w:val="14"/>
              </w:rPr>
              <w:t>647</w:t>
            </w:r>
          </w:p>
        </w:tc>
        <w:tc>
          <w:tcPr>
            <w:tcW w:w="1428" w:type="dxa"/>
            <w:tcBorders>
              <w:top w:val="nil"/>
              <w:left w:val="nil"/>
              <w:bottom w:val="nil"/>
              <w:right w:val="nil"/>
            </w:tcBorders>
            <w:shd w:val="clear" w:color="auto" w:fill="auto"/>
            <w:vAlign w:val="center"/>
          </w:tcPr>
          <w:p w14:paraId="0845DA88"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206</w:t>
            </w:r>
            <w:r>
              <w:rPr>
                <w:rFonts w:cs="Arial"/>
                <w:b/>
                <w:bCs/>
                <w:color w:val="000000"/>
                <w:szCs w:val="14"/>
              </w:rPr>
              <w:t>,</w:t>
            </w:r>
            <w:r w:rsidRPr="00522098">
              <w:rPr>
                <w:rFonts w:cs="Arial"/>
                <w:b/>
                <w:bCs/>
                <w:color w:val="000000"/>
                <w:szCs w:val="14"/>
              </w:rPr>
              <w:t>061</w:t>
            </w:r>
          </w:p>
        </w:tc>
        <w:tc>
          <w:tcPr>
            <w:tcW w:w="248" w:type="dxa"/>
            <w:tcBorders>
              <w:top w:val="nil"/>
              <w:bottom w:val="nil"/>
            </w:tcBorders>
            <w:shd w:val="clear" w:color="auto" w:fill="auto"/>
            <w:vAlign w:val="center"/>
          </w:tcPr>
          <w:p w14:paraId="7ADD4D3F"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16E972C9"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522098">
              <w:rPr>
                <w:rFonts w:cs="Arial"/>
                <w:b/>
                <w:bCs/>
                <w:color w:val="000000"/>
                <w:szCs w:val="14"/>
              </w:rPr>
              <w:t>2</w:t>
            </w:r>
            <w:r>
              <w:rPr>
                <w:rFonts w:cs="Arial"/>
                <w:b/>
                <w:bCs/>
                <w:color w:val="000000"/>
                <w:szCs w:val="14"/>
              </w:rPr>
              <w:t>,</w:t>
            </w:r>
            <w:r w:rsidRPr="00522098">
              <w:rPr>
                <w:rFonts w:cs="Arial"/>
                <w:b/>
                <w:bCs/>
                <w:color w:val="000000"/>
                <w:szCs w:val="14"/>
              </w:rPr>
              <w:t>103</w:t>
            </w:r>
            <w:r>
              <w:rPr>
                <w:rFonts w:cs="Arial"/>
                <w:b/>
                <w:bCs/>
                <w:color w:val="000000"/>
                <w:szCs w:val="14"/>
              </w:rPr>
              <w:t>,</w:t>
            </w:r>
            <w:r w:rsidRPr="00522098">
              <w:rPr>
                <w:rFonts w:cs="Arial"/>
                <w:b/>
                <w:bCs/>
                <w:color w:val="000000"/>
                <w:szCs w:val="14"/>
              </w:rPr>
              <w:t>062</w:t>
            </w:r>
          </w:p>
        </w:tc>
        <w:tc>
          <w:tcPr>
            <w:tcW w:w="1439" w:type="dxa"/>
            <w:tcBorders>
              <w:top w:val="nil"/>
              <w:left w:val="nil"/>
              <w:bottom w:val="nil"/>
              <w:right w:val="nil"/>
            </w:tcBorders>
            <w:shd w:val="clear" w:color="auto" w:fill="auto"/>
            <w:vAlign w:val="center"/>
          </w:tcPr>
          <w:p w14:paraId="14E5371A"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450</w:t>
            </w:r>
            <w:r>
              <w:rPr>
                <w:rFonts w:cs="Arial"/>
                <w:b/>
                <w:bCs/>
                <w:color w:val="000000"/>
                <w:szCs w:val="14"/>
              </w:rPr>
              <w:t>,</w:t>
            </w:r>
            <w:r w:rsidRPr="00522098">
              <w:rPr>
                <w:rFonts w:cs="Arial"/>
                <w:b/>
                <w:bCs/>
                <w:color w:val="000000"/>
                <w:szCs w:val="14"/>
              </w:rPr>
              <w:t>695</w:t>
            </w:r>
          </w:p>
        </w:tc>
      </w:tr>
      <w:tr w:rsidR="00991E72" w:rsidRPr="001D6BE8" w14:paraId="27DBC476"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156E0777" w14:textId="77777777" w:rsidR="00991E72" w:rsidRPr="00C806B0" w:rsidRDefault="00991E72" w:rsidP="00991E72">
            <w:pPr>
              <w:pStyle w:val="08-Tabelageral"/>
              <w:jc w:val="left"/>
              <w:rPr>
                <w:rFonts w:cs="Arial"/>
                <w:szCs w:val="14"/>
              </w:rPr>
            </w:pPr>
            <w:r w:rsidRPr="00C87262">
              <w:rPr>
                <w:rFonts w:cs="Arial"/>
                <w:szCs w:val="14"/>
              </w:rPr>
              <w:t>Financial Result</w:t>
            </w:r>
          </w:p>
        </w:tc>
        <w:tc>
          <w:tcPr>
            <w:tcW w:w="743" w:type="dxa"/>
            <w:tcBorders>
              <w:top w:val="nil"/>
              <w:bottom w:val="nil"/>
            </w:tcBorders>
            <w:shd w:val="clear" w:color="auto" w:fill="auto"/>
            <w:vAlign w:val="center"/>
          </w:tcPr>
          <w:p w14:paraId="3921137B"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[14]</w:t>
            </w:r>
          </w:p>
        </w:tc>
        <w:tc>
          <w:tcPr>
            <w:tcW w:w="1514" w:type="dxa"/>
            <w:tcBorders>
              <w:top w:val="nil"/>
              <w:left w:val="nil"/>
              <w:bottom w:val="nil"/>
              <w:right w:val="nil"/>
            </w:tcBorders>
            <w:shd w:val="clear" w:color="auto" w:fill="auto"/>
            <w:vAlign w:val="center"/>
          </w:tcPr>
          <w:p w14:paraId="44F538D0"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2,312</w:t>
            </w:r>
          </w:p>
        </w:tc>
        <w:tc>
          <w:tcPr>
            <w:tcW w:w="1428" w:type="dxa"/>
            <w:tcBorders>
              <w:top w:val="nil"/>
              <w:left w:val="nil"/>
              <w:bottom w:val="nil"/>
              <w:right w:val="nil"/>
            </w:tcBorders>
            <w:shd w:val="clear" w:color="auto" w:fill="auto"/>
            <w:vAlign w:val="center"/>
          </w:tcPr>
          <w:p w14:paraId="0E916952"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9027F2">
              <w:rPr>
                <w:rFonts w:cs="Arial"/>
                <w:b/>
                <w:bCs/>
                <w:color w:val="000000"/>
                <w:szCs w:val="14"/>
              </w:rPr>
              <w:t>3</w:t>
            </w:r>
            <w:r>
              <w:rPr>
                <w:rFonts w:cs="Arial"/>
                <w:b/>
                <w:bCs/>
                <w:color w:val="000000"/>
                <w:szCs w:val="14"/>
              </w:rPr>
              <w:t>,</w:t>
            </w:r>
            <w:r w:rsidRPr="009027F2">
              <w:rPr>
                <w:rFonts w:cs="Arial"/>
                <w:b/>
                <w:bCs/>
                <w:color w:val="000000"/>
                <w:szCs w:val="14"/>
              </w:rPr>
              <w:t>642</w:t>
            </w:r>
          </w:p>
        </w:tc>
        <w:tc>
          <w:tcPr>
            <w:tcW w:w="248" w:type="dxa"/>
            <w:tcBorders>
              <w:top w:val="nil"/>
              <w:bottom w:val="nil"/>
            </w:tcBorders>
            <w:shd w:val="clear" w:color="auto" w:fill="auto"/>
            <w:vAlign w:val="center"/>
          </w:tcPr>
          <w:p w14:paraId="7B821586"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4880B25C"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96,198</w:t>
            </w:r>
          </w:p>
        </w:tc>
        <w:tc>
          <w:tcPr>
            <w:tcW w:w="1439" w:type="dxa"/>
            <w:tcBorders>
              <w:top w:val="nil"/>
              <w:left w:val="nil"/>
              <w:bottom w:val="nil"/>
              <w:right w:val="nil"/>
            </w:tcBorders>
            <w:shd w:val="clear" w:color="auto" w:fill="auto"/>
            <w:vAlign w:val="center"/>
          </w:tcPr>
          <w:p w14:paraId="0C4756DB"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9027F2">
              <w:rPr>
                <w:rFonts w:cs="Arial"/>
                <w:b/>
                <w:bCs/>
                <w:color w:val="000000"/>
                <w:szCs w:val="14"/>
              </w:rPr>
              <w:t>58</w:t>
            </w:r>
            <w:r>
              <w:rPr>
                <w:rFonts w:cs="Arial"/>
                <w:b/>
                <w:bCs/>
                <w:color w:val="000000"/>
                <w:szCs w:val="14"/>
              </w:rPr>
              <w:t>,</w:t>
            </w:r>
            <w:r w:rsidRPr="009027F2">
              <w:rPr>
                <w:rFonts w:cs="Arial"/>
                <w:b/>
                <w:bCs/>
                <w:color w:val="000000"/>
                <w:szCs w:val="14"/>
              </w:rPr>
              <w:t>142</w:t>
            </w:r>
          </w:p>
        </w:tc>
      </w:tr>
      <w:tr w:rsidR="00991E72" w:rsidRPr="001D6BE8" w14:paraId="1FD6133F"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350C9F7C" w14:textId="77777777" w:rsidR="00991E72" w:rsidRPr="00C806B0" w:rsidRDefault="00991E72" w:rsidP="00991E72">
            <w:pPr>
              <w:pStyle w:val="08-Tabelageral"/>
              <w:ind w:left="113"/>
              <w:jc w:val="left"/>
              <w:rPr>
                <w:rFonts w:cs="Arial"/>
                <w:b w:val="0"/>
                <w:szCs w:val="14"/>
              </w:rPr>
            </w:pPr>
            <w:r w:rsidRPr="00C87262">
              <w:rPr>
                <w:rFonts w:cs="Arial"/>
                <w:b w:val="0"/>
                <w:szCs w:val="14"/>
              </w:rPr>
              <w:t>Financial revenue</w:t>
            </w:r>
          </w:p>
        </w:tc>
        <w:tc>
          <w:tcPr>
            <w:tcW w:w="743" w:type="dxa"/>
            <w:tcBorders>
              <w:top w:val="nil"/>
              <w:bottom w:val="nil"/>
            </w:tcBorders>
            <w:shd w:val="clear" w:color="auto" w:fill="auto"/>
            <w:vAlign w:val="center"/>
          </w:tcPr>
          <w:p w14:paraId="404F2FDD" w14:textId="77777777" w:rsidR="00991E72" w:rsidRPr="008121B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514" w:type="dxa"/>
            <w:tcBorders>
              <w:top w:val="nil"/>
              <w:left w:val="nil"/>
              <w:bottom w:val="nil"/>
              <w:right w:val="nil"/>
            </w:tcBorders>
            <w:shd w:val="clear" w:color="auto" w:fill="auto"/>
            <w:vAlign w:val="center"/>
          </w:tcPr>
          <w:p w14:paraId="38EC06A1"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81,823</w:t>
            </w:r>
          </w:p>
        </w:tc>
        <w:tc>
          <w:tcPr>
            <w:tcW w:w="1428" w:type="dxa"/>
            <w:tcBorders>
              <w:top w:val="nil"/>
              <w:left w:val="nil"/>
              <w:bottom w:val="nil"/>
              <w:right w:val="nil"/>
            </w:tcBorders>
            <w:shd w:val="clear" w:color="auto" w:fill="auto"/>
            <w:vAlign w:val="center"/>
          </w:tcPr>
          <w:p w14:paraId="51C7240E"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027F2">
              <w:rPr>
                <w:rFonts w:cs="Arial"/>
                <w:color w:val="000000"/>
                <w:szCs w:val="14"/>
              </w:rPr>
              <w:t>30</w:t>
            </w:r>
            <w:r>
              <w:rPr>
                <w:rFonts w:cs="Arial"/>
                <w:color w:val="000000"/>
                <w:szCs w:val="14"/>
              </w:rPr>
              <w:t>,</w:t>
            </w:r>
            <w:r w:rsidRPr="009027F2">
              <w:rPr>
                <w:rFonts w:cs="Arial"/>
                <w:color w:val="000000"/>
                <w:szCs w:val="14"/>
              </w:rPr>
              <w:t>227</w:t>
            </w:r>
          </w:p>
        </w:tc>
        <w:tc>
          <w:tcPr>
            <w:tcW w:w="248" w:type="dxa"/>
            <w:tcBorders>
              <w:top w:val="nil"/>
              <w:bottom w:val="nil"/>
            </w:tcBorders>
            <w:shd w:val="clear" w:color="auto" w:fill="auto"/>
            <w:vAlign w:val="center"/>
          </w:tcPr>
          <w:p w14:paraId="5FBF178F"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40F7A70F"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175,795</w:t>
            </w:r>
          </w:p>
        </w:tc>
        <w:tc>
          <w:tcPr>
            <w:tcW w:w="1439" w:type="dxa"/>
            <w:tcBorders>
              <w:top w:val="nil"/>
              <w:left w:val="nil"/>
              <w:bottom w:val="nil"/>
              <w:right w:val="nil"/>
            </w:tcBorders>
            <w:shd w:val="clear" w:color="auto" w:fill="auto"/>
            <w:vAlign w:val="center"/>
          </w:tcPr>
          <w:p w14:paraId="77D0C9AE"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9027F2">
              <w:rPr>
                <w:rFonts w:cs="Arial"/>
                <w:color w:val="000000"/>
                <w:szCs w:val="14"/>
              </w:rPr>
              <w:t>85</w:t>
            </w:r>
            <w:r>
              <w:rPr>
                <w:rFonts w:cs="Arial"/>
                <w:color w:val="000000"/>
                <w:szCs w:val="14"/>
              </w:rPr>
              <w:t>,</w:t>
            </w:r>
            <w:r w:rsidRPr="009027F2">
              <w:rPr>
                <w:rFonts w:cs="Arial"/>
                <w:color w:val="000000"/>
                <w:szCs w:val="14"/>
              </w:rPr>
              <w:t>950</w:t>
            </w:r>
          </w:p>
        </w:tc>
      </w:tr>
      <w:tr w:rsidR="00991E72" w:rsidRPr="001D6BE8" w14:paraId="07A935F1"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72AD1540" w14:textId="77777777" w:rsidR="00991E72" w:rsidRPr="00C806B0" w:rsidRDefault="00991E72" w:rsidP="00991E72">
            <w:pPr>
              <w:pStyle w:val="08-Tabelageral"/>
              <w:ind w:left="113"/>
              <w:jc w:val="left"/>
              <w:rPr>
                <w:rFonts w:cs="Arial"/>
                <w:b w:val="0"/>
                <w:szCs w:val="14"/>
              </w:rPr>
            </w:pPr>
            <w:r w:rsidRPr="00C87262">
              <w:rPr>
                <w:rFonts w:cs="Arial"/>
                <w:b w:val="0"/>
                <w:szCs w:val="14"/>
              </w:rPr>
              <w:t>Financial expenses</w:t>
            </w:r>
          </w:p>
        </w:tc>
        <w:tc>
          <w:tcPr>
            <w:tcW w:w="743" w:type="dxa"/>
            <w:tcBorders>
              <w:top w:val="nil"/>
              <w:bottom w:val="nil"/>
            </w:tcBorders>
            <w:shd w:val="clear" w:color="auto" w:fill="auto"/>
            <w:vAlign w:val="center"/>
          </w:tcPr>
          <w:p w14:paraId="75152F62" w14:textId="77777777" w:rsidR="00991E72" w:rsidRPr="008121B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514" w:type="dxa"/>
            <w:tcBorders>
              <w:top w:val="nil"/>
              <w:left w:val="nil"/>
              <w:bottom w:val="nil"/>
              <w:right w:val="nil"/>
            </w:tcBorders>
            <w:shd w:val="clear" w:color="auto" w:fill="auto"/>
            <w:vAlign w:val="center"/>
          </w:tcPr>
          <w:p w14:paraId="48C7BB9C"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(79,511)</w:t>
            </w:r>
          </w:p>
        </w:tc>
        <w:tc>
          <w:tcPr>
            <w:tcW w:w="1428" w:type="dxa"/>
            <w:tcBorders>
              <w:top w:val="nil"/>
              <w:left w:val="nil"/>
              <w:bottom w:val="nil"/>
              <w:right w:val="nil"/>
            </w:tcBorders>
            <w:shd w:val="clear" w:color="auto" w:fill="auto"/>
            <w:vAlign w:val="center"/>
          </w:tcPr>
          <w:p w14:paraId="31753700"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(26</w:t>
            </w:r>
            <w:r>
              <w:rPr>
                <w:rFonts w:cs="Arial"/>
                <w:color w:val="000000"/>
                <w:szCs w:val="14"/>
              </w:rPr>
              <w:t>,</w:t>
            </w:r>
            <w:r w:rsidRPr="009027F2">
              <w:rPr>
                <w:rFonts w:cs="Arial"/>
                <w:color w:val="000000"/>
                <w:szCs w:val="14"/>
              </w:rPr>
              <w:t>585)</w:t>
            </w:r>
          </w:p>
        </w:tc>
        <w:tc>
          <w:tcPr>
            <w:tcW w:w="248" w:type="dxa"/>
            <w:tcBorders>
              <w:top w:val="nil"/>
              <w:bottom w:val="nil"/>
            </w:tcBorders>
            <w:shd w:val="clear" w:color="auto" w:fill="auto"/>
            <w:vAlign w:val="center"/>
          </w:tcPr>
          <w:p w14:paraId="78CBC0FB"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nil"/>
              <w:left w:val="nil"/>
              <w:bottom w:val="nil"/>
              <w:right w:val="nil"/>
            </w:tcBorders>
            <w:shd w:val="clear" w:color="auto" w:fill="auto"/>
            <w:vAlign w:val="center"/>
          </w:tcPr>
          <w:p w14:paraId="3BB7500D"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(79,597)</w:t>
            </w:r>
          </w:p>
        </w:tc>
        <w:tc>
          <w:tcPr>
            <w:tcW w:w="1439" w:type="dxa"/>
            <w:tcBorders>
              <w:top w:val="nil"/>
              <w:left w:val="nil"/>
              <w:bottom w:val="nil"/>
              <w:right w:val="nil"/>
            </w:tcBorders>
            <w:shd w:val="clear" w:color="auto" w:fill="auto"/>
            <w:vAlign w:val="center"/>
          </w:tcPr>
          <w:p w14:paraId="0286C7BC"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(27</w:t>
            </w:r>
            <w:r>
              <w:rPr>
                <w:rFonts w:cs="Arial"/>
                <w:color w:val="000000"/>
                <w:szCs w:val="14"/>
              </w:rPr>
              <w:t>,</w:t>
            </w:r>
            <w:r w:rsidRPr="009027F2">
              <w:rPr>
                <w:rFonts w:cs="Arial"/>
                <w:color w:val="000000"/>
                <w:szCs w:val="14"/>
              </w:rPr>
              <w:t>808)</w:t>
            </w:r>
          </w:p>
        </w:tc>
      </w:tr>
      <w:tr w:rsidR="00991E72" w:rsidRPr="001D6BE8" w14:paraId="5E55C53B" w14:textId="77777777" w:rsidTr="00991E72">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01870C57" w14:textId="77777777" w:rsidR="00991E72" w:rsidRPr="0038283D" w:rsidRDefault="00991E72" w:rsidP="00991E72">
            <w:pPr>
              <w:pStyle w:val="08-Tabelageral"/>
              <w:jc w:val="left"/>
              <w:rPr>
                <w:rFonts w:cs="Arial"/>
                <w:bCs w:val="0"/>
                <w:szCs w:val="14"/>
                <w:lang w:val="en-US"/>
              </w:rPr>
            </w:pPr>
            <w:r w:rsidRPr="00BD6C7E">
              <w:rPr>
                <w:rFonts w:cs="Arial"/>
                <w:szCs w:val="14"/>
                <w:lang w:val="en-US"/>
              </w:rPr>
              <w:t xml:space="preserve">Income Before Taxes </w:t>
            </w:r>
            <w:r>
              <w:rPr>
                <w:rFonts w:cs="Arial"/>
                <w:szCs w:val="14"/>
                <w:lang w:val="en-US"/>
              </w:rPr>
              <w:t>a</w:t>
            </w:r>
            <w:r w:rsidRPr="00BD6C7E">
              <w:rPr>
                <w:rFonts w:cs="Arial"/>
                <w:szCs w:val="14"/>
                <w:lang w:val="en-US"/>
              </w:rPr>
              <w:t>nd Equities</w:t>
            </w:r>
          </w:p>
        </w:tc>
        <w:tc>
          <w:tcPr>
            <w:tcW w:w="743" w:type="dxa"/>
            <w:tcBorders>
              <w:top w:val="nil"/>
              <w:bottom w:val="nil"/>
            </w:tcBorders>
            <w:shd w:val="clear" w:color="auto" w:fill="auto"/>
            <w:vAlign w:val="center"/>
          </w:tcPr>
          <w:p w14:paraId="34F1090A" w14:textId="77777777" w:rsidR="00991E72" w:rsidRPr="0038283D"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514" w:type="dxa"/>
            <w:tcBorders>
              <w:top w:val="nil"/>
              <w:left w:val="nil"/>
              <w:bottom w:val="nil"/>
              <w:right w:val="nil"/>
            </w:tcBorders>
            <w:shd w:val="clear" w:color="auto" w:fill="auto"/>
            <w:vAlign w:val="center"/>
          </w:tcPr>
          <w:p w14:paraId="1DF48BFF"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832</w:t>
            </w:r>
            <w:r>
              <w:rPr>
                <w:rFonts w:cs="Arial"/>
                <w:b/>
                <w:bCs/>
                <w:color w:val="000000"/>
                <w:szCs w:val="14"/>
              </w:rPr>
              <w:t>,</w:t>
            </w:r>
            <w:r w:rsidRPr="00522098">
              <w:rPr>
                <w:rFonts w:cs="Arial"/>
                <w:b/>
                <w:bCs/>
                <w:color w:val="000000"/>
                <w:szCs w:val="14"/>
              </w:rPr>
              <w:t>959</w:t>
            </w:r>
          </w:p>
        </w:tc>
        <w:tc>
          <w:tcPr>
            <w:tcW w:w="1428" w:type="dxa"/>
            <w:tcBorders>
              <w:top w:val="nil"/>
              <w:left w:val="nil"/>
              <w:bottom w:val="nil"/>
              <w:right w:val="nil"/>
            </w:tcBorders>
            <w:shd w:val="clear" w:color="auto" w:fill="auto"/>
            <w:vAlign w:val="center"/>
          </w:tcPr>
          <w:p w14:paraId="49AB7909" w14:textId="77777777" w:rsidR="00991E72" w:rsidRPr="009027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209</w:t>
            </w:r>
            <w:r>
              <w:rPr>
                <w:rFonts w:cs="Arial"/>
                <w:b/>
                <w:bCs/>
                <w:color w:val="000000"/>
                <w:szCs w:val="14"/>
              </w:rPr>
              <w:t>,</w:t>
            </w:r>
            <w:r w:rsidRPr="00522098">
              <w:rPr>
                <w:rFonts w:cs="Arial"/>
                <w:b/>
                <w:bCs/>
                <w:color w:val="000000"/>
                <w:szCs w:val="14"/>
              </w:rPr>
              <w:t>703</w:t>
            </w:r>
          </w:p>
        </w:tc>
        <w:tc>
          <w:tcPr>
            <w:tcW w:w="248" w:type="dxa"/>
            <w:tcBorders>
              <w:top w:val="nil"/>
              <w:bottom w:val="nil"/>
            </w:tcBorders>
            <w:shd w:val="clear" w:color="auto" w:fill="auto"/>
            <w:vAlign w:val="center"/>
          </w:tcPr>
          <w:p w14:paraId="524F23B9"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411A6372" w14:textId="77777777" w:rsidR="00991E72" w:rsidRPr="0052013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522098">
              <w:rPr>
                <w:rFonts w:cs="Arial"/>
                <w:b/>
                <w:bCs/>
                <w:color w:val="000000"/>
                <w:szCs w:val="14"/>
              </w:rPr>
              <w:t>2</w:t>
            </w:r>
            <w:r>
              <w:rPr>
                <w:rFonts w:cs="Arial"/>
                <w:b/>
                <w:bCs/>
                <w:color w:val="000000"/>
                <w:szCs w:val="14"/>
              </w:rPr>
              <w:t>,</w:t>
            </w:r>
            <w:r w:rsidRPr="00522098">
              <w:rPr>
                <w:rFonts w:cs="Arial"/>
                <w:b/>
                <w:bCs/>
                <w:color w:val="000000"/>
                <w:szCs w:val="14"/>
              </w:rPr>
              <w:t>199</w:t>
            </w:r>
            <w:r>
              <w:rPr>
                <w:rFonts w:cs="Arial"/>
                <w:b/>
                <w:bCs/>
                <w:color w:val="000000"/>
                <w:szCs w:val="14"/>
              </w:rPr>
              <w:t>,</w:t>
            </w:r>
            <w:r w:rsidRPr="00522098">
              <w:rPr>
                <w:rFonts w:cs="Arial"/>
                <w:b/>
                <w:bCs/>
                <w:color w:val="000000"/>
                <w:szCs w:val="14"/>
              </w:rPr>
              <w:t>260</w:t>
            </w:r>
          </w:p>
        </w:tc>
        <w:tc>
          <w:tcPr>
            <w:tcW w:w="1439" w:type="dxa"/>
            <w:tcBorders>
              <w:top w:val="nil"/>
              <w:left w:val="nil"/>
              <w:bottom w:val="nil"/>
              <w:right w:val="nil"/>
            </w:tcBorders>
            <w:shd w:val="clear" w:color="auto" w:fill="auto"/>
            <w:vAlign w:val="center"/>
          </w:tcPr>
          <w:p w14:paraId="2C65F431"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522098">
              <w:rPr>
                <w:rFonts w:cs="Arial"/>
                <w:b/>
                <w:bCs/>
                <w:color w:val="000000"/>
                <w:szCs w:val="14"/>
              </w:rPr>
              <w:t>1</w:t>
            </w:r>
            <w:r>
              <w:rPr>
                <w:rFonts w:cs="Arial"/>
                <w:b/>
                <w:bCs/>
                <w:color w:val="000000"/>
                <w:szCs w:val="14"/>
              </w:rPr>
              <w:t>,</w:t>
            </w:r>
            <w:r w:rsidRPr="00522098">
              <w:rPr>
                <w:rFonts w:cs="Arial"/>
                <w:b/>
                <w:bCs/>
                <w:color w:val="000000"/>
                <w:szCs w:val="14"/>
              </w:rPr>
              <w:t>508</w:t>
            </w:r>
            <w:r>
              <w:rPr>
                <w:rFonts w:cs="Arial"/>
                <w:b/>
                <w:bCs/>
                <w:color w:val="000000"/>
                <w:szCs w:val="14"/>
              </w:rPr>
              <w:t>,</w:t>
            </w:r>
            <w:r w:rsidRPr="00522098">
              <w:rPr>
                <w:rFonts w:cs="Arial"/>
                <w:b/>
                <w:bCs/>
                <w:color w:val="000000"/>
                <w:szCs w:val="14"/>
              </w:rPr>
              <w:t>837</w:t>
            </w:r>
          </w:p>
        </w:tc>
      </w:tr>
      <w:tr w:rsidR="00991E72" w:rsidRPr="001D6BE8" w14:paraId="78D3EAD7" w14:textId="77777777" w:rsidTr="00991E72">
        <w:trPr>
          <w:trHeight w:hRule="exact" w:val="356"/>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1B7C4293" w14:textId="77777777" w:rsidR="00991E72" w:rsidRPr="0038283D" w:rsidRDefault="00991E72" w:rsidP="00991E72">
            <w:pPr>
              <w:pStyle w:val="08-Tabelageral"/>
              <w:jc w:val="left"/>
              <w:rPr>
                <w:rFonts w:cs="Arial"/>
                <w:bCs w:val="0"/>
                <w:szCs w:val="14"/>
                <w:lang w:val="en-US"/>
              </w:rPr>
            </w:pPr>
            <w:r w:rsidRPr="009C4D96">
              <w:rPr>
                <w:rFonts w:cs="Arial"/>
                <w:szCs w:val="14"/>
                <w:lang w:val="en-US"/>
              </w:rPr>
              <w:t xml:space="preserve">Income Tax </w:t>
            </w:r>
            <w:r>
              <w:rPr>
                <w:rFonts w:cs="Arial"/>
                <w:szCs w:val="14"/>
                <w:lang w:val="en-US"/>
              </w:rPr>
              <w:t>a</w:t>
            </w:r>
            <w:r w:rsidRPr="009C4D96">
              <w:rPr>
                <w:rFonts w:cs="Arial"/>
                <w:szCs w:val="14"/>
                <w:lang w:val="en-US"/>
              </w:rPr>
              <w:t>nd Social Contribution</w:t>
            </w:r>
          </w:p>
        </w:tc>
        <w:tc>
          <w:tcPr>
            <w:tcW w:w="743" w:type="dxa"/>
            <w:tcBorders>
              <w:top w:val="nil"/>
              <w:bottom w:val="nil"/>
            </w:tcBorders>
            <w:shd w:val="clear" w:color="auto" w:fill="auto"/>
            <w:vAlign w:val="center"/>
          </w:tcPr>
          <w:p w14:paraId="0912C897" w14:textId="77777777" w:rsidR="00991E72" w:rsidRPr="0052013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[12.a]</w:t>
            </w:r>
          </w:p>
        </w:tc>
        <w:tc>
          <w:tcPr>
            <w:tcW w:w="1514" w:type="dxa"/>
            <w:tcBorders>
              <w:top w:val="nil"/>
              <w:left w:val="nil"/>
              <w:bottom w:val="nil"/>
              <w:right w:val="nil"/>
            </w:tcBorders>
            <w:shd w:val="clear" w:color="auto" w:fill="auto"/>
            <w:vAlign w:val="center"/>
          </w:tcPr>
          <w:p w14:paraId="30A5EB66"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Pr>
                <w:rFonts w:cs="Arial"/>
                <w:color w:val="000000"/>
                <w:szCs w:val="14"/>
              </w:rPr>
              <w:t>--</w:t>
            </w:r>
          </w:p>
        </w:tc>
        <w:tc>
          <w:tcPr>
            <w:tcW w:w="1428" w:type="dxa"/>
            <w:tcBorders>
              <w:top w:val="nil"/>
              <w:left w:val="nil"/>
              <w:bottom w:val="nil"/>
              <w:right w:val="nil"/>
            </w:tcBorders>
            <w:shd w:val="clear" w:color="auto" w:fill="auto"/>
            <w:vAlign w:val="center"/>
          </w:tcPr>
          <w:p w14:paraId="684477C7"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(186)</w:t>
            </w:r>
          </w:p>
        </w:tc>
        <w:tc>
          <w:tcPr>
            <w:tcW w:w="248" w:type="dxa"/>
            <w:tcBorders>
              <w:top w:val="nil"/>
              <w:bottom w:val="nil"/>
            </w:tcBorders>
            <w:shd w:val="clear" w:color="auto" w:fill="auto"/>
            <w:vAlign w:val="center"/>
          </w:tcPr>
          <w:p w14:paraId="25B3F153" w14:textId="77777777" w:rsidR="00991E72" w:rsidRPr="006B406F"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033DC370" w14:textId="77777777" w:rsidR="00991E72" w:rsidRPr="006B406F"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color w:val="000000"/>
                <w:szCs w:val="14"/>
              </w:rPr>
              <w:t>(366,301)</w:t>
            </w:r>
          </w:p>
        </w:tc>
        <w:tc>
          <w:tcPr>
            <w:tcW w:w="1439" w:type="dxa"/>
            <w:tcBorders>
              <w:top w:val="nil"/>
              <w:left w:val="nil"/>
              <w:bottom w:val="nil"/>
              <w:right w:val="nil"/>
            </w:tcBorders>
            <w:shd w:val="clear" w:color="auto" w:fill="auto"/>
            <w:vAlign w:val="center"/>
          </w:tcPr>
          <w:p w14:paraId="737F61B2"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9027F2">
              <w:rPr>
                <w:rFonts w:cs="Arial"/>
                <w:color w:val="000000"/>
                <w:szCs w:val="14"/>
              </w:rPr>
              <w:t>(299</w:t>
            </w:r>
            <w:r>
              <w:rPr>
                <w:rFonts w:cs="Arial"/>
                <w:color w:val="000000"/>
                <w:szCs w:val="14"/>
              </w:rPr>
              <w:t>,</w:t>
            </w:r>
            <w:r w:rsidRPr="009027F2">
              <w:rPr>
                <w:rFonts w:cs="Arial"/>
                <w:color w:val="000000"/>
                <w:szCs w:val="14"/>
              </w:rPr>
              <w:t>320)</w:t>
            </w:r>
          </w:p>
        </w:tc>
      </w:tr>
      <w:tr w:rsidR="00991E72" w:rsidRPr="001D6BE8" w14:paraId="37E0E3DE" w14:textId="77777777" w:rsidTr="00991E72">
        <w:trPr>
          <w:cnfStyle w:val="000000100000" w:firstRow="0" w:lastRow="0" w:firstColumn="0" w:lastColumn="0" w:oddVBand="0" w:evenVBand="0" w:oddHBand="1"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74E530B7" w14:textId="77777777" w:rsidR="00991E72" w:rsidRPr="00216889" w:rsidRDefault="00991E72" w:rsidP="00991E72">
            <w:pPr>
              <w:pStyle w:val="08-Tabelageral"/>
              <w:jc w:val="left"/>
              <w:rPr>
                <w:rFonts w:cs="Arial"/>
                <w:szCs w:val="14"/>
              </w:rPr>
            </w:pPr>
          </w:p>
        </w:tc>
        <w:tc>
          <w:tcPr>
            <w:tcW w:w="743" w:type="dxa"/>
            <w:tcBorders>
              <w:top w:val="nil"/>
              <w:bottom w:val="nil"/>
            </w:tcBorders>
            <w:shd w:val="clear" w:color="auto" w:fill="auto"/>
            <w:vAlign w:val="center"/>
          </w:tcPr>
          <w:p w14:paraId="178ACB01" w14:textId="77777777" w:rsidR="00991E72" w:rsidRPr="008121B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14" w:type="dxa"/>
            <w:tcBorders>
              <w:top w:val="nil"/>
              <w:bottom w:val="nil"/>
            </w:tcBorders>
            <w:shd w:val="clear" w:color="auto" w:fill="auto"/>
            <w:vAlign w:val="center"/>
          </w:tcPr>
          <w:p w14:paraId="429A95D8"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428" w:type="dxa"/>
            <w:tcBorders>
              <w:top w:val="nil"/>
              <w:bottom w:val="nil"/>
            </w:tcBorders>
            <w:shd w:val="clear" w:color="auto" w:fill="auto"/>
            <w:vAlign w:val="center"/>
          </w:tcPr>
          <w:p w14:paraId="3F7346F3"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48" w:type="dxa"/>
            <w:tcBorders>
              <w:top w:val="nil"/>
              <w:bottom w:val="nil"/>
            </w:tcBorders>
            <w:shd w:val="clear" w:color="auto" w:fill="auto"/>
            <w:vAlign w:val="center"/>
          </w:tcPr>
          <w:p w14:paraId="4475BD0E"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bottom w:val="nil"/>
            </w:tcBorders>
            <w:shd w:val="clear" w:color="auto" w:fill="auto"/>
            <w:vAlign w:val="center"/>
          </w:tcPr>
          <w:p w14:paraId="73E2A7B0"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439" w:type="dxa"/>
            <w:tcBorders>
              <w:top w:val="nil"/>
              <w:bottom w:val="nil"/>
            </w:tcBorders>
            <w:shd w:val="clear" w:color="auto" w:fill="auto"/>
            <w:vAlign w:val="center"/>
          </w:tcPr>
          <w:p w14:paraId="5947F077" w14:textId="77777777" w:rsidR="00991E72" w:rsidRPr="009C62A1"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Cs/>
              </w:rPr>
            </w:pPr>
          </w:p>
        </w:tc>
      </w:tr>
      <w:tr w:rsidR="00991E72" w:rsidRPr="009C4D96" w14:paraId="7DB68595"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49927EEF" w14:textId="77777777" w:rsidR="00991E72" w:rsidRPr="00C806B0" w:rsidRDefault="00991E72" w:rsidP="00991E72">
            <w:pPr>
              <w:pStyle w:val="08-Tabelageral"/>
              <w:jc w:val="left"/>
              <w:rPr>
                <w:rFonts w:cs="Arial"/>
                <w:bCs w:val="0"/>
                <w:szCs w:val="14"/>
              </w:rPr>
            </w:pPr>
            <w:r>
              <w:rPr>
                <w:rFonts w:cs="Arial"/>
                <w:szCs w:val="14"/>
              </w:rPr>
              <w:t>Net Income</w:t>
            </w:r>
          </w:p>
        </w:tc>
        <w:tc>
          <w:tcPr>
            <w:tcW w:w="743" w:type="dxa"/>
            <w:tcBorders>
              <w:top w:val="nil"/>
              <w:bottom w:val="nil"/>
            </w:tcBorders>
            <w:shd w:val="clear" w:color="auto" w:fill="auto"/>
            <w:vAlign w:val="center"/>
          </w:tcPr>
          <w:p w14:paraId="141C7503" w14:textId="77777777" w:rsidR="00991E72" w:rsidRPr="009C4D9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514" w:type="dxa"/>
            <w:tcBorders>
              <w:top w:val="nil"/>
              <w:left w:val="nil"/>
              <w:bottom w:val="nil"/>
              <w:right w:val="nil"/>
            </w:tcBorders>
            <w:shd w:val="clear" w:color="auto" w:fill="auto"/>
            <w:vAlign w:val="center"/>
          </w:tcPr>
          <w:p w14:paraId="22C1B3EE"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r w:rsidRPr="00522098">
              <w:rPr>
                <w:b/>
              </w:rPr>
              <w:t>1</w:t>
            </w:r>
            <w:r>
              <w:rPr>
                <w:b/>
              </w:rPr>
              <w:t>,</w:t>
            </w:r>
            <w:r w:rsidRPr="00522098">
              <w:rPr>
                <w:b/>
              </w:rPr>
              <w:t>832</w:t>
            </w:r>
            <w:r>
              <w:rPr>
                <w:b/>
              </w:rPr>
              <w:t>,</w:t>
            </w:r>
            <w:r w:rsidRPr="00522098">
              <w:rPr>
                <w:b/>
              </w:rPr>
              <w:t>959</w:t>
            </w:r>
          </w:p>
        </w:tc>
        <w:tc>
          <w:tcPr>
            <w:tcW w:w="1428" w:type="dxa"/>
            <w:tcBorders>
              <w:top w:val="nil"/>
              <w:left w:val="nil"/>
              <w:bottom w:val="nil"/>
              <w:right w:val="nil"/>
            </w:tcBorders>
            <w:shd w:val="clear" w:color="auto" w:fill="auto"/>
            <w:vAlign w:val="center"/>
          </w:tcPr>
          <w:p w14:paraId="7C208201" w14:textId="77777777" w:rsidR="00991E72" w:rsidRPr="009027F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r w:rsidRPr="00522098">
              <w:rPr>
                <w:b/>
              </w:rPr>
              <w:t>1</w:t>
            </w:r>
            <w:r>
              <w:rPr>
                <w:b/>
              </w:rPr>
              <w:t>,</w:t>
            </w:r>
            <w:r w:rsidRPr="00522098">
              <w:rPr>
                <w:b/>
              </w:rPr>
              <w:t>209</w:t>
            </w:r>
            <w:r>
              <w:rPr>
                <w:b/>
              </w:rPr>
              <w:t>,</w:t>
            </w:r>
            <w:r w:rsidRPr="00522098">
              <w:rPr>
                <w:b/>
              </w:rPr>
              <w:t>517</w:t>
            </w:r>
          </w:p>
        </w:tc>
        <w:tc>
          <w:tcPr>
            <w:tcW w:w="248" w:type="dxa"/>
            <w:tcBorders>
              <w:top w:val="nil"/>
              <w:bottom w:val="nil"/>
            </w:tcBorders>
            <w:shd w:val="clear" w:color="auto" w:fill="auto"/>
            <w:vAlign w:val="center"/>
          </w:tcPr>
          <w:p w14:paraId="06286AAF" w14:textId="77777777" w:rsidR="00991E72" w:rsidRPr="001563D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35" w:type="dxa"/>
            <w:tcBorders>
              <w:top w:val="nil"/>
              <w:left w:val="nil"/>
              <w:bottom w:val="nil"/>
              <w:right w:val="nil"/>
            </w:tcBorders>
            <w:shd w:val="clear" w:color="auto" w:fill="auto"/>
            <w:vAlign w:val="center"/>
          </w:tcPr>
          <w:p w14:paraId="57917B0A" w14:textId="77777777" w:rsidR="00991E72" w:rsidRPr="001563D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522098">
              <w:rPr>
                <w:b/>
                <w:bCs/>
              </w:rPr>
              <w:t>1</w:t>
            </w:r>
            <w:r>
              <w:rPr>
                <w:b/>
                <w:bCs/>
              </w:rPr>
              <w:t>,</w:t>
            </w:r>
            <w:r w:rsidRPr="00522098">
              <w:rPr>
                <w:b/>
                <w:bCs/>
              </w:rPr>
              <w:t>832</w:t>
            </w:r>
            <w:r>
              <w:rPr>
                <w:b/>
                <w:bCs/>
              </w:rPr>
              <w:t>,</w:t>
            </w:r>
            <w:r w:rsidRPr="00522098">
              <w:rPr>
                <w:b/>
                <w:bCs/>
              </w:rPr>
              <w:t>959</w:t>
            </w:r>
          </w:p>
        </w:tc>
        <w:tc>
          <w:tcPr>
            <w:tcW w:w="1439" w:type="dxa"/>
            <w:tcBorders>
              <w:top w:val="nil"/>
              <w:left w:val="nil"/>
              <w:bottom w:val="nil"/>
              <w:right w:val="nil"/>
            </w:tcBorders>
            <w:shd w:val="clear" w:color="auto" w:fill="auto"/>
            <w:vAlign w:val="center"/>
          </w:tcPr>
          <w:p w14:paraId="032A02B5"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522098">
              <w:rPr>
                <w:b/>
                <w:bCs/>
              </w:rPr>
              <w:t>1</w:t>
            </w:r>
            <w:r>
              <w:rPr>
                <w:b/>
                <w:bCs/>
              </w:rPr>
              <w:t>,</w:t>
            </w:r>
            <w:r w:rsidRPr="00522098">
              <w:rPr>
                <w:b/>
                <w:bCs/>
              </w:rPr>
              <w:t>209</w:t>
            </w:r>
            <w:r>
              <w:rPr>
                <w:b/>
                <w:bCs/>
              </w:rPr>
              <w:t>,</w:t>
            </w:r>
            <w:r w:rsidRPr="00522098">
              <w:rPr>
                <w:b/>
                <w:bCs/>
              </w:rPr>
              <w:t>517</w:t>
            </w:r>
          </w:p>
        </w:tc>
      </w:tr>
      <w:tr w:rsidR="00991E72" w:rsidRPr="007F63F2" w14:paraId="2379FEBA"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4E79" w:themeColor="accent1" w:themeShade="80"/>
            </w:tcBorders>
            <w:shd w:val="clear" w:color="auto" w:fill="auto"/>
            <w:vAlign w:val="center"/>
          </w:tcPr>
          <w:p w14:paraId="5E2FAF4C" w14:textId="77777777" w:rsidR="00991E72" w:rsidRPr="007F63F2" w:rsidRDefault="00991E72" w:rsidP="00991E72">
            <w:pPr>
              <w:pStyle w:val="08-Tabelageral"/>
              <w:jc w:val="left"/>
              <w:rPr>
                <w:rFonts w:cs="Arial"/>
                <w:bCs w:val="0"/>
                <w:szCs w:val="14"/>
              </w:rPr>
            </w:pPr>
          </w:p>
        </w:tc>
        <w:tc>
          <w:tcPr>
            <w:tcW w:w="743" w:type="dxa"/>
            <w:tcBorders>
              <w:top w:val="nil"/>
              <w:bottom w:val="single" w:sz="2" w:space="0" w:color="1F4E79" w:themeColor="accent1" w:themeShade="80"/>
            </w:tcBorders>
            <w:shd w:val="clear" w:color="auto" w:fill="auto"/>
            <w:vAlign w:val="center"/>
          </w:tcPr>
          <w:p w14:paraId="6664E56D" w14:textId="77777777" w:rsidR="00991E72" w:rsidRPr="007F63F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14" w:type="dxa"/>
            <w:tcBorders>
              <w:top w:val="nil"/>
              <w:bottom w:val="single" w:sz="2" w:space="0" w:color="1F4E79" w:themeColor="accent1" w:themeShade="80"/>
            </w:tcBorders>
            <w:shd w:val="clear" w:color="auto" w:fill="auto"/>
            <w:vAlign w:val="center"/>
          </w:tcPr>
          <w:p w14:paraId="47C2793D" w14:textId="77777777" w:rsidR="00991E72" w:rsidRPr="007F63F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428" w:type="dxa"/>
            <w:tcBorders>
              <w:top w:val="nil"/>
              <w:bottom w:val="single" w:sz="2" w:space="0" w:color="1F4E79" w:themeColor="accent1" w:themeShade="80"/>
            </w:tcBorders>
            <w:shd w:val="clear" w:color="auto" w:fill="auto"/>
            <w:vAlign w:val="center"/>
          </w:tcPr>
          <w:p w14:paraId="0AB1EF8E" w14:textId="77777777" w:rsidR="00991E72" w:rsidRPr="007F63F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48" w:type="dxa"/>
            <w:tcBorders>
              <w:top w:val="nil"/>
              <w:bottom w:val="single" w:sz="2" w:space="0" w:color="1F4E79" w:themeColor="accent1" w:themeShade="80"/>
            </w:tcBorders>
            <w:shd w:val="clear" w:color="auto" w:fill="auto"/>
            <w:vAlign w:val="center"/>
          </w:tcPr>
          <w:p w14:paraId="673FDE9E" w14:textId="77777777" w:rsidR="00991E72" w:rsidRPr="007F63F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bottom w:val="single" w:sz="2" w:space="0" w:color="1F4E79" w:themeColor="accent1" w:themeShade="80"/>
            </w:tcBorders>
            <w:shd w:val="clear" w:color="auto" w:fill="auto"/>
            <w:vAlign w:val="center"/>
          </w:tcPr>
          <w:p w14:paraId="184C50E8" w14:textId="77777777" w:rsidR="00991E72" w:rsidRPr="007F63F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439" w:type="dxa"/>
            <w:tcBorders>
              <w:top w:val="nil"/>
              <w:bottom w:val="single" w:sz="2" w:space="0" w:color="1F4E79" w:themeColor="accent1" w:themeShade="80"/>
            </w:tcBorders>
            <w:shd w:val="clear" w:color="auto" w:fill="auto"/>
            <w:vAlign w:val="center"/>
          </w:tcPr>
          <w:p w14:paraId="42C89146" w14:textId="77777777" w:rsidR="00991E72" w:rsidRPr="007F63F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1D6BE8" w14:paraId="0AC5ED85"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4E79" w:themeColor="accent1" w:themeShade="80"/>
              <w:bottom w:val="nil"/>
            </w:tcBorders>
            <w:shd w:val="clear" w:color="auto" w:fill="auto"/>
            <w:vAlign w:val="center"/>
          </w:tcPr>
          <w:p w14:paraId="1A2DE650" w14:textId="77777777" w:rsidR="00991E72" w:rsidRPr="00C806B0" w:rsidRDefault="00991E72" w:rsidP="00991E72">
            <w:pPr>
              <w:pStyle w:val="08-Tabelageral"/>
              <w:jc w:val="left"/>
              <w:rPr>
                <w:rFonts w:cs="Arial"/>
                <w:b w:val="0"/>
                <w:szCs w:val="14"/>
              </w:rPr>
            </w:pPr>
            <w:r w:rsidRPr="00C87262">
              <w:rPr>
                <w:rFonts w:cs="Arial"/>
                <w:b w:val="0"/>
                <w:szCs w:val="14"/>
              </w:rPr>
              <w:t>Number of shares</w:t>
            </w:r>
          </w:p>
        </w:tc>
        <w:tc>
          <w:tcPr>
            <w:tcW w:w="743" w:type="dxa"/>
            <w:tcBorders>
              <w:top w:val="single" w:sz="2" w:space="0" w:color="1F4E79" w:themeColor="accent1" w:themeShade="80"/>
              <w:bottom w:val="nil"/>
            </w:tcBorders>
            <w:shd w:val="clear" w:color="auto" w:fill="auto"/>
            <w:vAlign w:val="center"/>
          </w:tcPr>
          <w:p w14:paraId="6DE93C23"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[25.a]</w:t>
            </w:r>
          </w:p>
        </w:tc>
        <w:tc>
          <w:tcPr>
            <w:tcW w:w="1514" w:type="dxa"/>
            <w:tcBorders>
              <w:top w:val="single" w:sz="2" w:space="0" w:color="1F4E79" w:themeColor="accent1" w:themeShade="80"/>
              <w:bottom w:val="nil"/>
            </w:tcBorders>
            <w:shd w:val="clear" w:color="auto" w:fill="auto"/>
            <w:vAlign w:val="center"/>
          </w:tcPr>
          <w:p w14:paraId="27B509F2" w14:textId="77777777" w:rsidR="00991E72" w:rsidRPr="002B160B"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45C5B">
              <w:t>2</w:t>
            </w:r>
            <w:r>
              <w:t>,</w:t>
            </w:r>
            <w:r w:rsidRPr="00F45C5B">
              <w:t>000</w:t>
            </w:r>
            <w:r>
              <w:t>,</w:t>
            </w:r>
            <w:r w:rsidRPr="00F45C5B">
              <w:t>000</w:t>
            </w:r>
            <w:r>
              <w:t>,</w:t>
            </w:r>
            <w:r w:rsidRPr="00F45C5B">
              <w:t>000</w:t>
            </w:r>
          </w:p>
        </w:tc>
        <w:tc>
          <w:tcPr>
            <w:tcW w:w="1428" w:type="dxa"/>
            <w:tcBorders>
              <w:top w:val="single" w:sz="2" w:space="0" w:color="1F4E79" w:themeColor="accent1" w:themeShade="80"/>
              <w:bottom w:val="nil"/>
            </w:tcBorders>
            <w:shd w:val="clear" w:color="auto" w:fill="auto"/>
            <w:vAlign w:val="center"/>
          </w:tcPr>
          <w:p w14:paraId="674B4CDF" w14:textId="77777777" w:rsidR="00991E72" w:rsidRPr="002B160B"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2B160B">
              <w:t>2</w:t>
            </w:r>
            <w:r>
              <w:t>,</w:t>
            </w:r>
            <w:r w:rsidRPr="002B160B">
              <w:t>000</w:t>
            </w:r>
            <w:r>
              <w:t>,</w:t>
            </w:r>
            <w:r w:rsidRPr="002B160B">
              <w:t>000</w:t>
            </w:r>
            <w:r>
              <w:t>,</w:t>
            </w:r>
            <w:r w:rsidRPr="002B160B">
              <w:t>000</w:t>
            </w:r>
          </w:p>
        </w:tc>
        <w:tc>
          <w:tcPr>
            <w:tcW w:w="248" w:type="dxa"/>
            <w:tcBorders>
              <w:top w:val="single" w:sz="2" w:space="0" w:color="1F4E79" w:themeColor="accent1" w:themeShade="80"/>
              <w:bottom w:val="nil"/>
            </w:tcBorders>
            <w:shd w:val="clear" w:color="auto" w:fill="auto"/>
            <w:vAlign w:val="center"/>
          </w:tcPr>
          <w:p w14:paraId="4ED0FD8C"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single" w:sz="2" w:space="0" w:color="1F4E79" w:themeColor="accent1" w:themeShade="80"/>
              <w:bottom w:val="nil"/>
            </w:tcBorders>
            <w:shd w:val="clear" w:color="auto" w:fill="auto"/>
            <w:vAlign w:val="center"/>
          </w:tcPr>
          <w:p w14:paraId="429BCB56"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45C5B">
              <w:t>2</w:t>
            </w:r>
            <w:r>
              <w:t>,</w:t>
            </w:r>
            <w:r w:rsidRPr="00F45C5B">
              <w:t>000</w:t>
            </w:r>
            <w:r>
              <w:t>,</w:t>
            </w:r>
            <w:r w:rsidRPr="00F45C5B">
              <w:t>000</w:t>
            </w:r>
            <w:r>
              <w:t>,</w:t>
            </w:r>
            <w:r w:rsidRPr="00F45C5B">
              <w:t>000</w:t>
            </w:r>
          </w:p>
        </w:tc>
        <w:tc>
          <w:tcPr>
            <w:tcW w:w="1439" w:type="dxa"/>
            <w:tcBorders>
              <w:top w:val="single" w:sz="2" w:space="0" w:color="1F4E79" w:themeColor="accent1" w:themeShade="80"/>
              <w:bottom w:val="nil"/>
            </w:tcBorders>
            <w:shd w:val="clear" w:color="auto" w:fill="auto"/>
            <w:vAlign w:val="center"/>
          </w:tcPr>
          <w:p w14:paraId="6DD47629" w14:textId="77777777" w:rsidR="00991E72" w:rsidRPr="006201C4"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8A0CD7">
              <w:t>2</w:t>
            </w:r>
            <w:r>
              <w:t>,</w:t>
            </w:r>
            <w:r w:rsidRPr="008A0CD7">
              <w:t>000</w:t>
            </w:r>
            <w:r>
              <w:t>,</w:t>
            </w:r>
            <w:r w:rsidRPr="008A0CD7">
              <w:t>000</w:t>
            </w:r>
            <w:r>
              <w:t>,</w:t>
            </w:r>
            <w:r w:rsidRPr="008A0CD7">
              <w:t>000</w:t>
            </w:r>
          </w:p>
        </w:tc>
      </w:tr>
      <w:tr w:rsidR="00991E72" w:rsidRPr="001D6BE8" w14:paraId="32B46056" w14:textId="77777777" w:rsidTr="00991E72">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6635CD13" w14:textId="77777777" w:rsidR="00991E72" w:rsidRPr="0038283D" w:rsidRDefault="00991E72" w:rsidP="00991E72">
            <w:pPr>
              <w:pStyle w:val="08-Tabelageral"/>
              <w:jc w:val="left"/>
              <w:rPr>
                <w:rFonts w:cs="Arial"/>
                <w:b w:val="0"/>
                <w:szCs w:val="14"/>
                <w:lang w:val="en-US"/>
              </w:rPr>
            </w:pPr>
            <w:r w:rsidRPr="00BD6C7E">
              <w:rPr>
                <w:rFonts w:cs="Arial"/>
                <w:b w:val="0"/>
                <w:szCs w:val="14"/>
                <w:lang w:val="en-US"/>
              </w:rPr>
              <w:t>Weighted average number of shares - basic and diluted</w:t>
            </w:r>
          </w:p>
        </w:tc>
        <w:tc>
          <w:tcPr>
            <w:tcW w:w="743" w:type="dxa"/>
            <w:tcBorders>
              <w:top w:val="nil"/>
              <w:bottom w:val="nil"/>
            </w:tcBorders>
            <w:shd w:val="clear" w:color="auto" w:fill="auto"/>
            <w:vAlign w:val="center"/>
          </w:tcPr>
          <w:p w14:paraId="39092FDD"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448AA">
              <w:t>[25.c]</w:t>
            </w:r>
          </w:p>
        </w:tc>
        <w:tc>
          <w:tcPr>
            <w:tcW w:w="1514" w:type="dxa"/>
            <w:tcBorders>
              <w:top w:val="nil"/>
              <w:bottom w:val="nil"/>
            </w:tcBorders>
            <w:shd w:val="clear" w:color="auto" w:fill="auto"/>
            <w:vAlign w:val="center"/>
          </w:tcPr>
          <w:p w14:paraId="307E0295" w14:textId="77777777" w:rsidR="00991E72" w:rsidRPr="002B160B"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F45C5B">
              <w:t>1</w:t>
            </w:r>
            <w:r>
              <w:t>,</w:t>
            </w:r>
            <w:r w:rsidRPr="00F45C5B">
              <w:t>996</w:t>
            </w:r>
            <w:r>
              <w:t>,</w:t>
            </w:r>
            <w:r w:rsidRPr="00F45C5B">
              <w:t>734</w:t>
            </w:r>
            <w:r>
              <w:t>,</w:t>
            </w:r>
            <w:r w:rsidRPr="00F45C5B">
              <w:t>226</w:t>
            </w:r>
          </w:p>
        </w:tc>
        <w:tc>
          <w:tcPr>
            <w:tcW w:w="1428" w:type="dxa"/>
            <w:tcBorders>
              <w:top w:val="nil"/>
              <w:bottom w:val="nil"/>
            </w:tcBorders>
            <w:shd w:val="clear" w:color="auto" w:fill="auto"/>
            <w:vAlign w:val="center"/>
          </w:tcPr>
          <w:p w14:paraId="6D35EB0A" w14:textId="77777777" w:rsidR="00991E72" w:rsidRPr="002B160B"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F45C5B">
              <w:t>1</w:t>
            </w:r>
            <w:r>
              <w:t>,</w:t>
            </w:r>
            <w:r w:rsidRPr="00F45C5B">
              <w:t>996</w:t>
            </w:r>
            <w:r>
              <w:t>,</w:t>
            </w:r>
            <w:r w:rsidRPr="00F45C5B">
              <w:t>686</w:t>
            </w:r>
            <w:r>
              <w:t>,</w:t>
            </w:r>
            <w:r w:rsidRPr="00F45C5B">
              <w:t>529</w:t>
            </w:r>
          </w:p>
        </w:tc>
        <w:tc>
          <w:tcPr>
            <w:tcW w:w="248" w:type="dxa"/>
            <w:tcBorders>
              <w:top w:val="nil"/>
              <w:bottom w:val="nil"/>
            </w:tcBorders>
            <w:shd w:val="clear" w:color="auto" w:fill="auto"/>
            <w:vAlign w:val="center"/>
          </w:tcPr>
          <w:p w14:paraId="4886C177"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335" w:type="dxa"/>
            <w:tcBorders>
              <w:top w:val="nil"/>
              <w:bottom w:val="nil"/>
            </w:tcBorders>
            <w:shd w:val="clear" w:color="auto" w:fill="auto"/>
            <w:vAlign w:val="center"/>
          </w:tcPr>
          <w:p w14:paraId="74B8BC2F" w14:textId="77777777" w:rsidR="00991E72" w:rsidRPr="00C806B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F45C5B">
              <w:t>1</w:t>
            </w:r>
            <w:r>
              <w:t>,</w:t>
            </w:r>
            <w:r w:rsidRPr="00F45C5B">
              <w:t>996</w:t>
            </w:r>
            <w:r>
              <w:t>,</w:t>
            </w:r>
            <w:r w:rsidRPr="00F45C5B">
              <w:t>734</w:t>
            </w:r>
            <w:r>
              <w:t>,</w:t>
            </w:r>
            <w:r w:rsidRPr="00F45C5B">
              <w:t>226</w:t>
            </w:r>
          </w:p>
        </w:tc>
        <w:tc>
          <w:tcPr>
            <w:tcW w:w="1439" w:type="dxa"/>
            <w:tcBorders>
              <w:top w:val="nil"/>
              <w:bottom w:val="nil"/>
            </w:tcBorders>
            <w:shd w:val="clear" w:color="auto" w:fill="auto"/>
            <w:vAlign w:val="center"/>
          </w:tcPr>
          <w:p w14:paraId="6E183BA0" w14:textId="77777777" w:rsidR="00991E72" w:rsidRPr="006201C4"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F45C5B">
              <w:t>1</w:t>
            </w:r>
            <w:r>
              <w:t>,</w:t>
            </w:r>
            <w:r w:rsidRPr="00F45C5B">
              <w:t>996</w:t>
            </w:r>
            <w:r>
              <w:t>,</w:t>
            </w:r>
            <w:r w:rsidRPr="00F45C5B">
              <w:t>686</w:t>
            </w:r>
            <w:r>
              <w:t>,</w:t>
            </w:r>
            <w:r w:rsidRPr="00F45C5B">
              <w:t>529</w:t>
            </w:r>
          </w:p>
        </w:tc>
      </w:tr>
      <w:tr w:rsidR="00991E72" w:rsidRPr="003E7906" w14:paraId="3417D783"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4E79" w:themeColor="accent1" w:themeShade="80"/>
            </w:tcBorders>
            <w:shd w:val="clear" w:color="auto" w:fill="auto"/>
            <w:vAlign w:val="center"/>
          </w:tcPr>
          <w:p w14:paraId="4CE09CC8" w14:textId="77777777" w:rsidR="00991E72" w:rsidRPr="0038283D" w:rsidRDefault="00991E72" w:rsidP="00991E72">
            <w:pPr>
              <w:pStyle w:val="08-Tabelageral"/>
              <w:jc w:val="left"/>
              <w:rPr>
                <w:rFonts w:cs="Arial"/>
                <w:b w:val="0"/>
                <w:bCs w:val="0"/>
                <w:szCs w:val="14"/>
                <w:lang w:val="en-US"/>
              </w:rPr>
            </w:pPr>
            <w:r w:rsidRPr="00BD6C7E">
              <w:rPr>
                <w:rFonts w:cs="Arial"/>
                <w:b w:val="0"/>
                <w:lang w:val="en-US"/>
              </w:rPr>
              <w:t>Basic and diluted earnings per share (R$)</w:t>
            </w:r>
          </w:p>
        </w:tc>
        <w:tc>
          <w:tcPr>
            <w:tcW w:w="743" w:type="dxa"/>
            <w:tcBorders>
              <w:top w:val="nil"/>
              <w:bottom w:val="single" w:sz="2" w:space="0" w:color="1F4E79" w:themeColor="accent1" w:themeShade="80"/>
            </w:tcBorders>
            <w:shd w:val="clear" w:color="auto" w:fill="auto"/>
            <w:vAlign w:val="center"/>
          </w:tcPr>
          <w:p w14:paraId="5FEB80D1" w14:textId="77777777" w:rsidR="00991E72" w:rsidRPr="003E790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[25.c]</w:t>
            </w:r>
          </w:p>
        </w:tc>
        <w:tc>
          <w:tcPr>
            <w:tcW w:w="1514" w:type="dxa"/>
            <w:tcBorders>
              <w:top w:val="nil"/>
              <w:bottom w:val="single" w:sz="2" w:space="0" w:color="1F4E79" w:themeColor="accent1" w:themeShade="80"/>
            </w:tcBorders>
            <w:shd w:val="clear" w:color="auto" w:fill="auto"/>
          </w:tcPr>
          <w:p w14:paraId="68B9BBCC" w14:textId="77777777" w:rsidR="00991E72" w:rsidRPr="002B160B"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45C5B">
              <w:t>0</w:t>
            </w:r>
            <w:r>
              <w:t>.</w:t>
            </w:r>
            <w:r w:rsidRPr="00F45C5B">
              <w:t>92</w:t>
            </w:r>
          </w:p>
        </w:tc>
        <w:tc>
          <w:tcPr>
            <w:tcW w:w="1428" w:type="dxa"/>
            <w:tcBorders>
              <w:top w:val="nil"/>
              <w:bottom w:val="single" w:sz="2" w:space="0" w:color="1F4E79" w:themeColor="accent1" w:themeShade="80"/>
            </w:tcBorders>
            <w:shd w:val="clear" w:color="auto" w:fill="auto"/>
          </w:tcPr>
          <w:p w14:paraId="38667433" w14:textId="77777777" w:rsidR="00991E72" w:rsidRPr="002B160B"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45C5B">
              <w:t>0</w:t>
            </w:r>
            <w:r>
              <w:t>.</w:t>
            </w:r>
            <w:r w:rsidRPr="00F45C5B">
              <w:t>59</w:t>
            </w:r>
          </w:p>
        </w:tc>
        <w:tc>
          <w:tcPr>
            <w:tcW w:w="248" w:type="dxa"/>
            <w:tcBorders>
              <w:top w:val="nil"/>
              <w:bottom w:val="single" w:sz="2" w:space="0" w:color="1F4E79" w:themeColor="accent1" w:themeShade="80"/>
            </w:tcBorders>
            <w:shd w:val="clear" w:color="auto" w:fill="auto"/>
            <w:vAlign w:val="center"/>
          </w:tcPr>
          <w:p w14:paraId="4D84A25E" w14:textId="77777777" w:rsidR="00991E72" w:rsidRPr="003E7906"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335" w:type="dxa"/>
            <w:tcBorders>
              <w:top w:val="nil"/>
              <w:bottom w:val="single" w:sz="2" w:space="0" w:color="1F4E79" w:themeColor="accent1" w:themeShade="80"/>
            </w:tcBorders>
            <w:shd w:val="clear" w:color="auto" w:fill="auto"/>
            <w:vAlign w:val="center"/>
          </w:tcPr>
          <w:p w14:paraId="7455C1D1" w14:textId="77777777" w:rsidR="00991E72" w:rsidRPr="003E790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F45C5B">
              <w:t>0</w:t>
            </w:r>
            <w:r>
              <w:t>.</w:t>
            </w:r>
            <w:r w:rsidRPr="00F45C5B">
              <w:t>92</w:t>
            </w:r>
          </w:p>
        </w:tc>
        <w:tc>
          <w:tcPr>
            <w:tcW w:w="1439" w:type="dxa"/>
            <w:tcBorders>
              <w:top w:val="nil"/>
              <w:bottom w:val="single" w:sz="2" w:space="0" w:color="1F4E79" w:themeColor="accent1" w:themeShade="80"/>
            </w:tcBorders>
            <w:shd w:val="clear" w:color="auto" w:fill="auto"/>
            <w:vAlign w:val="center"/>
          </w:tcPr>
          <w:p w14:paraId="18F96EAE" w14:textId="77777777" w:rsidR="00991E72" w:rsidRPr="006201C4"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45C5B">
              <w:t>0</w:t>
            </w:r>
            <w:r>
              <w:t>.</w:t>
            </w:r>
            <w:r w:rsidRPr="00F45C5B">
              <w:t>59</w:t>
            </w:r>
          </w:p>
        </w:tc>
      </w:tr>
    </w:tbl>
    <w:p w14:paraId="11B38F50" w14:textId="77777777" w:rsidR="00991E72" w:rsidRDefault="00991E72" w:rsidP="00991E72">
      <w:pPr>
        <w:rPr>
          <w:rFonts w:cs="Arial"/>
          <w:sz w:val="14"/>
          <w:szCs w:val="14"/>
          <w:lang w:val="en-US"/>
        </w:rPr>
      </w:pPr>
      <w:r w:rsidRPr="00C929DB">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308DB7EC" w14:textId="77777777" w:rsidR="00991E72" w:rsidRPr="00BA4C93" w:rsidRDefault="00991E72" w:rsidP="00991E72">
      <w:pPr>
        <w:pStyle w:val="Ttulo1"/>
        <w:rPr>
          <w:b w:val="0"/>
          <w:bCs w:val="0"/>
        </w:rPr>
      </w:pPr>
      <w:bookmarkStart w:id="7" w:name="_Toc134823557"/>
      <w:r w:rsidRPr="00BA4C93">
        <w:t>STATEMENT OF COMPREHENSIVE INCOME</w:t>
      </w:r>
      <w:bookmarkEnd w:id="7"/>
    </w:p>
    <w:p w14:paraId="47D593A1" w14:textId="77777777" w:rsidR="00991E72" w:rsidRPr="000A5535" w:rsidRDefault="00991E72" w:rsidP="00991E72">
      <w:pPr>
        <w:pStyle w:val="01-TtulodeNota"/>
        <w:spacing w:after="0"/>
        <w:jc w:val="right"/>
        <w:rPr>
          <w:sz w:val="14"/>
          <w:szCs w:val="14"/>
          <w:lang w:val="en-US"/>
        </w:rPr>
      </w:pPr>
    </w:p>
    <w:p w14:paraId="678D587C" w14:textId="77777777" w:rsidR="00991E72" w:rsidRPr="000A5535" w:rsidRDefault="00991E72" w:rsidP="00991E72">
      <w:pPr>
        <w:pStyle w:val="01-TtulodeNota"/>
        <w:spacing w:before="0" w:after="0"/>
        <w:jc w:val="right"/>
        <w:rPr>
          <w:sz w:val="14"/>
          <w:szCs w:val="14"/>
          <w:lang w:val="en-US"/>
        </w:rPr>
      </w:pPr>
      <w:r w:rsidRPr="000A5535">
        <w:rPr>
          <w:sz w:val="14"/>
          <w:szCs w:val="14"/>
          <w:lang w:val="en-US"/>
        </w:rPr>
        <w:t>R$ thousand</w:t>
      </w:r>
    </w:p>
    <w:tbl>
      <w:tblPr>
        <w:tblStyle w:val="TabeladeLista6Colorida-nfase5"/>
        <w:tblW w:w="9639" w:type="dxa"/>
        <w:jc w:val="center"/>
        <w:tblLayout w:type="fixed"/>
        <w:tblLook w:val="04A0" w:firstRow="1" w:lastRow="0" w:firstColumn="1" w:lastColumn="0" w:noHBand="0" w:noVBand="1"/>
      </w:tblPr>
      <w:tblGrid>
        <w:gridCol w:w="3119"/>
        <w:gridCol w:w="567"/>
        <w:gridCol w:w="1423"/>
        <w:gridCol w:w="1185"/>
        <w:gridCol w:w="374"/>
        <w:gridCol w:w="210"/>
        <w:gridCol w:w="31"/>
        <w:gridCol w:w="1313"/>
        <w:gridCol w:w="1417"/>
      </w:tblGrid>
      <w:tr w:rsidR="00991E72" w14:paraId="4958EAE0" w14:textId="77777777" w:rsidTr="00991E7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34887473" w14:textId="77777777" w:rsidR="00991E72" w:rsidRPr="0038283D" w:rsidRDefault="00991E72" w:rsidP="00991E72">
            <w:pPr>
              <w:jc w:val="center"/>
              <w:rPr>
                <w:rFonts w:cs="Arial"/>
                <w:b w:val="0"/>
                <w:szCs w:val="18"/>
                <w:lang w:val="en-US"/>
              </w:rPr>
            </w:pPr>
          </w:p>
        </w:tc>
        <w:tc>
          <w:tcPr>
            <w:tcW w:w="567" w:type="dxa"/>
            <w:tcBorders>
              <w:top w:val="single" w:sz="2" w:space="0" w:color="1F4E79" w:themeColor="accent1" w:themeShade="80"/>
              <w:bottom w:val="nil"/>
            </w:tcBorders>
            <w:shd w:val="clear" w:color="auto" w:fill="auto"/>
            <w:vAlign w:val="center"/>
          </w:tcPr>
          <w:p w14:paraId="71E82CBA" w14:textId="77777777" w:rsidR="00991E72" w:rsidRPr="0038283D"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608" w:type="dxa"/>
            <w:gridSpan w:val="2"/>
            <w:tcBorders>
              <w:top w:val="single" w:sz="2" w:space="0" w:color="1F4E79" w:themeColor="accent1" w:themeShade="80"/>
              <w:bottom w:val="single" w:sz="2" w:space="0" w:color="1F4E79" w:themeColor="accent1" w:themeShade="80"/>
            </w:tcBorders>
            <w:shd w:val="clear" w:color="auto" w:fill="auto"/>
            <w:vAlign w:val="center"/>
          </w:tcPr>
          <w:p w14:paraId="7308CA50"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9768B6">
              <w:rPr>
                <w:rFonts w:cs="Arial"/>
                <w:sz w:val="14"/>
                <w:szCs w:val="18"/>
              </w:rPr>
              <w:t>Parent</w:t>
            </w:r>
          </w:p>
        </w:tc>
        <w:tc>
          <w:tcPr>
            <w:tcW w:w="584" w:type="dxa"/>
            <w:gridSpan w:val="2"/>
            <w:tcBorders>
              <w:top w:val="single" w:sz="2" w:space="0" w:color="1F4E79" w:themeColor="accent1" w:themeShade="80"/>
              <w:bottom w:val="nil"/>
            </w:tcBorders>
            <w:shd w:val="clear" w:color="auto" w:fill="auto"/>
            <w:vAlign w:val="center"/>
          </w:tcPr>
          <w:p w14:paraId="33464AE3"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61" w:type="dxa"/>
            <w:gridSpan w:val="3"/>
            <w:tcBorders>
              <w:top w:val="single" w:sz="2" w:space="0" w:color="1F4E79" w:themeColor="accent1" w:themeShade="80"/>
              <w:bottom w:val="single" w:sz="2" w:space="0" w:color="1F4E79" w:themeColor="accent1" w:themeShade="80"/>
            </w:tcBorders>
            <w:vAlign w:val="center"/>
          </w:tcPr>
          <w:p w14:paraId="2AB3A8A1"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Consolidated</w:t>
            </w:r>
          </w:p>
        </w:tc>
      </w:tr>
      <w:tr w:rsidR="00991E72" w:rsidRPr="001D6BE8" w14:paraId="6F73285D" w14:textId="77777777" w:rsidTr="00991E72">
        <w:trPr>
          <w:cnfStyle w:val="000000100000" w:firstRow="0" w:lastRow="0" w:firstColumn="0" w:lastColumn="0" w:oddVBand="0" w:evenVBand="0" w:oddHBand="1" w:evenHBand="0" w:firstRowFirstColumn="0" w:firstRowLastColumn="0" w:lastRowFirstColumn="0" w:lastRowLastColumn="0"/>
          <w:trHeight w:hRule="exact" w:val="562"/>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73376AAA" w14:textId="77777777" w:rsidR="00991E72" w:rsidRPr="001D6BE8" w:rsidRDefault="00991E72" w:rsidP="00991E72">
            <w:pPr>
              <w:pStyle w:val="08-Tabelageral"/>
              <w:jc w:val="left"/>
              <w:rPr>
                <w:rFonts w:cs="Arial"/>
                <w:b w:val="0"/>
              </w:rPr>
            </w:pPr>
          </w:p>
        </w:tc>
        <w:tc>
          <w:tcPr>
            <w:tcW w:w="567" w:type="dxa"/>
            <w:tcBorders>
              <w:top w:val="nil"/>
              <w:bottom w:val="single" w:sz="2" w:space="0" w:color="1F4E79" w:themeColor="accent1" w:themeShade="80"/>
            </w:tcBorders>
            <w:shd w:val="clear" w:color="auto" w:fill="auto"/>
            <w:vAlign w:val="center"/>
          </w:tcPr>
          <w:p w14:paraId="3003ED0D"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23" w:type="dxa"/>
            <w:tcBorders>
              <w:top w:val="single" w:sz="2" w:space="0" w:color="1F4E79" w:themeColor="accent1" w:themeShade="80"/>
              <w:bottom w:val="single" w:sz="2" w:space="0" w:color="1F4E79" w:themeColor="accent1" w:themeShade="80"/>
            </w:tcBorders>
            <w:shd w:val="clear" w:color="auto" w:fill="auto"/>
          </w:tcPr>
          <w:p w14:paraId="21A9D7C7"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w:t>
            </w:r>
            <w:r>
              <w:rPr>
                <w:rFonts w:cs="Arial"/>
                <w:b/>
                <w:bCs/>
                <w:szCs w:val="14"/>
              </w:rPr>
              <w:t>3</w:t>
            </w:r>
          </w:p>
        </w:tc>
        <w:tc>
          <w:tcPr>
            <w:tcW w:w="1559" w:type="dxa"/>
            <w:gridSpan w:val="2"/>
            <w:tcBorders>
              <w:top w:val="single" w:sz="2" w:space="0" w:color="1F4E79" w:themeColor="accent1" w:themeShade="80"/>
              <w:bottom w:val="single" w:sz="2" w:space="0" w:color="1F4E79" w:themeColor="accent1" w:themeShade="80"/>
            </w:tcBorders>
            <w:shd w:val="clear" w:color="auto" w:fill="auto"/>
          </w:tcPr>
          <w:p w14:paraId="0BC7AEC9" w14:textId="77777777" w:rsidR="00991E72"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2</w:t>
            </w:r>
          </w:p>
          <w:p w14:paraId="0688FF0F"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c>
          <w:tcPr>
            <w:tcW w:w="241" w:type="dxa"/>
            <w:gridSpan w:val="2"/>
            <w:tcBorders>
              <w:top w:val="nil"/>
              <w:bottom w:val="single" w:sz="2" w:space="0" w:color="1F4E79" w:themeColor="accent1" w:themeShade="80"/>
            </w:tcBorders>
            <w:shd w:val="clear" w:color="auto" w:fill="auto"/>
          </w:tcPr>
          <w:p w14:paraId="50AD921A"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313" w:type="dxa"/>
            <w:tcBorders>
              <w:top w:val="single" w:sz="2" w:space="0" w:color="1F4E79" w:themeColor="accent1" w:themeShade="80"/>
              <w:bottom w:val="single" w:sz="2" w:space="0" w:color="1F4E79" w:themeColor="accent1" w:themeShade="80"/>
            </w:tcBorders>
            <w:shd w:val="clear" w:color="auto" w:fill="auto"/>
          </w:tcPr>
          <w:p w14:paraId="2DCADD5E"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w:t>
            </w:r>
            <w:r>
              <w:rPr>
                <w:rFonts w:cs="Arial"/>
                <w:b/>
                <w:bCs/>
                <w:szCs w:val="14"/>
              </w:rPr>
              <w:t>3</w:t>
            </w:r>
          </w:p>
        </w:tc>
        <w:tc>
          <w:tcPr>
            <w:tcW w:w="1417" w:type="dxa"/>
            <w:tcBorders>
              <w:top w:val="single" w:sz="2" w:space="0" w:color="1F4E79" w:themeColor="accent1" w:themeShade="80"/>
              <w:bottom w:val="single" w:sz="2" w:space="0" w:color="1F4E79" w:themeColor="accent1" w:themeShade="80"/>
            </w:tcBorders>
            <w:shd w:val="clear" w:color="auto" w:fill="auto"/>
          </w:tcPr>
          <w:p w14:paraId="5A9B2488" w14:textId="77777777" w:rsidR="00991E72"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2</w:t>
            </w:r>
          </w:p>
          <w:p w14:paraId="0CD556E4"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r>
      <w:tr w:rsidR="00991E72" w:rsidRPr="001D6BE8" w14:paraId="5B292543"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2FE07930" w14:textId="77777777" w:rsidR="00991E72" w:rsidRPr="00C806B0" w:rsidRDefault="00991E72" w:rsidP="00991E72">
            <w:pPr>
              <w:pStyle w:val="08-Tabelageral"/>
              <w:jc w:val="left"/>
              <w:rPr>
                <w:rFonts w:cs="Arial"/>
                <w:bCs w:val="0"/>
                <w:szCs w:val="14"/>
              </w:rPr>
            </w:pPr>
            <w:r>
              <w:rPr>
                <w:rFonts w:cs="Arial"/>
                <w:szCs w:val="14"/>
              </w:rPr>
              <w:t>Net Income</w:t>
            </w:r>
          </w:p>
        </w:tc>
        <w:tc>
          <w:tcPr>
            <w:tcW w:w="567" w:type="dxa"/>
            <w:tcBorders>
              <w:top w:val="single" w:sz="2" w:space="0" w:color="1F4E79" w:themeColor="accent1" w:themeShade="80"/>
              <w:bottom w:val="nil"/>
            </w:tcBorders>
            <w:shd w:val="clear" w:color="auto" w:fill="auto"/>
            <w:vAlign w:val="center"/>
          </w:tcPr>
          <w:p w14:paraId="5195F496" w14:textId="77777777" w:rsidR="00991E72" w:rsidRPr="00C806B0"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23" w:type="dxa"/>
            <w:tcBorders>
              <w:top w:val="single" w:sz="2" w:space="0" w:color="1F4E79" w:themeColor="accent1" w:themeShade="80"/>
              <w:bottom w:val="nil"/>
            </w:tcBorders>
            <w:shd w:val="clear" w:color="auto" w:fill="auto"/>
            <w:vAlign w:val="center"/>
          </w:tcPr>
          <w:p w14:paraId="00D509A5"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504C3">
              <w:rPr>
                <w:b/>
                <w:bCs/>
              </w:rPr>
              <w:t>1</w:t>
            </w:r>
            <w:r>
              <w:rPr>
                <w:b/>
                <w:bCs/>
              </w:rPr>
              <w:t>,</w:t>
            </w:r>
            <w:r w:rsidRPr="003504C3">
              <w:rPr>
                <w:b/>
                <w:bCs/>
              </w:rPr>
              <w:t>832</w:t>
            </w:r>
            <w:r>
              <w:rPr>
                <w:b/>
                <w:bCs/>
              </w:rPr>
              <w:t>,</w:t>
            </w:r>
            <w:r w:rsidRPr="003504C3">
              <w:rPr>
                <w:b/>
                <w:bCs/>
              </w:rPr>
              <w:t>959</w:t>
            </w:r>
          </w:p>
        </w:tc>
        <w:tc>
          <w:tcPr>
            <w:tcW w:w="1559" w:type="dxa"/>
            <w:gridSpan w:val="2"/>
            <w:tcBorders>
              <w:top w:val="single" w:sz="2" w:space="0" w:color="1F4E79" w:themeColor="accent1" w:themeShade="80"/>
              <w:bottom w:val="nil"/>
            </w:tcBorders>
            <w:shd w:val="clear" w:color="auto" w:fill="auto"/>
            <w:vAlign w:val="center"/>
          </w:tcPr>
          <w:p w14:paraId="07DFA8AE"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504C3">
              <w:rPr>
                <w:b/>
                <w:bCs/>
              </w:rPr>
              <w:t>1</w:t>
            </w:r>
            <w:r>
              <w:rPr>
                <w:b/>
                <w:bCs/>
              </w:rPr>
              <w:t>,</w:t>
            </w:r>
            <w:r w:rsidRPr="003504C3">
              <w:rPr>
                <w:b/>
                <w:bCs/>
              </w:rPr>
              <w:t>209</w:t>
            </w:r>
            <w:r>
              <w:rPr>
                <w:b/>
                <w:bCs/>
              </w:rPr>
              <w:t>,</w:t>
            </w:r>
            <w:r w:rsidRPr="003504C3">
              <w:rPr>
                <w:b/>
                <w:bCs/>
              </w:rPr>
              <w:t>517</w:t>
            </w:r>
          </w:p>
        </w:tc>
        <w:tc>
          <w:tcPr>
            <w:tcW w:w="241" w:type="dxa"/>
            <w:gridSpan w:val="2"/>
            <w:tcBorders>
              <w:top w:val="nil"/>
              <w:bottom w:val="nil"/>
            </w:tcBorders>
            <w:shd w:val="clear" w:color="auto" w:fill="auto"/>
            <w:vAlign w:val="center"/>
          </w:tcPr>
          <w:p w14:paraId="2A56D55C"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13" w:type="dxa"/>
            <w:tcBorders>
              <w:top w:val="single" w:sz="2" w:space="0" w:color="1F4E79" w:themeColor="accent1" w:themeShade="80"/>
              <w:bottom w:val="nil"/>
            </w:tcBorders>
            <w:shd w:val="clear" w:color="auto" w:fill="auto"/>
            <w:vAlign w:val="center"/>
          </w:tcPr>
          <w:p w14:paraId="6043E799"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504C3">
              <w:rPr>
                <w:b/>
                <w:bCs/>
              </w:rPr>
              <w:t>1</w:t>
            </w:r>
            <w:r>
              <w:rPr>
                <w:b/>
                <w:bCs/>
              </w:rPr>
              <w:t>,</w:t>
            </w:r>
            <w:r w:rsidRPr="003504C3">
              <w:rPr>
                <w:b/>
                <w:bCs/>
              </w:rPr>
              <w:t>832</w:t>
            </w:r>
            <w:r>
              <w:rPr>
                <w:b/>
                <w:bCs/>
              </w:rPr>
              <w:t>,</w:t>
            </w:r>
            <w:r w:rsidRPr="003504C3">
              <w:rPr>
                <w:b/>
                <w:bCs/>
              </w:rPr>
              <w:t>959</w:t>
            </w:r>
          </w:p>
        </w:tc>
        <w:tc>
          <w:tcPr>
            <w:tcW w:w="1417" w:type="dxa"/>
            <w:tcBorders>
              <w:top w:val="single" w:sz="2" w:space="0" w:color="1F4E79" w:themeColor="accent1" w:themeShade="80"/>
              <w:bottom w:val="nil"/>
            </w:tcBorders>
            <w:shd w:val="clear" w:color="auto" w:fill="auto"/>
            <w:vAlign w:val="center"/>
          </w:tcPr>
          <w:p w14:paraId="2818D17B" w14:textId="77777777" w:rsidR="00991E72" w:rsidRPr="00C806B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504C3">
              <w:rPr>
                <w:b/>
                <w:bCs/>
              </w:rPr>
              <w:t>1</w:t>
            </w:r>
            <w:r>
              <w:rPr>
                <w:b/>
                <w:bCs/>
              </w:rPr>
              <w:t>,</w:t>
            </w:r>
            <w:r w:rsidRPr="003504C3">
              <w:rPr>
                <w:b/>
                <w:bCs/>
              </w:rPr>
              <w:t>209</w:t>
            </w:r>
            <w:r>
              <w:rPr>
                <w:b/>
                <w:bCs/>
              </w:rPr>
              <w:t>,</w:t>
            </w:r>
            <w:r w:rsidRPr="003504C3">
              <w:rPr>
                <w:b/>
                <w:bCs/>
              </w:rPr>
              <w:t>517</w:t>
            </w:r>
          </w:p>
        </w:tc>
      </w:tr>
      <w:tr w:rsidR="00991E72" w:rsidRPr="001D6BE8" w14:paraId="36F5B392" w14:textId="77777777" w:rsidTr="00991E72">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487636A" w14:textId="77777777" w:rsidR="00991E72" w:rsidRPr="0038283D" w:rsidRDefault="00991E72" w:rsidP="00991E72">
            <w:pPr>
              <w:pStyle w:val="08-Tabelageral"/>
              <w:ind w:left="113"/>
              <w:jc w:val="left"/>
              <w:rPr>
                <w:rFonts w:cs="Arial"/>
                <w:b w:val="0"/>
                <w:szCs w:val="14"/>
                <w:lang w:val="en-US"/>
              </w:rPr>
            </w:pPr>
            <w:r w:rsidRPr="007560DA">
              <w:rPr>
                <w:rFonts w:cs="Arial"/>
                <w:szCs w:val="14"/>
                <w:lang w:val="en-US"/>
              </w:rPr>
              <w:t>Share of comprehensive income Investments in Equity Holdings</w:t>
            </w:r>
          </w:p>
        </w:tc>
        <w:tc>
          <w:tcPr>
            <w:tcW w:w="567" w:type="dxa"/>
            <w:tcBorders>
              <w:top w:val="nil"/>
              <w:bottom w:val="nil"/>
            </w:tcBorders>
            <w:shd w:val="clear" w:color="auto" w:fill="auto"/>
            <w:vAlign w:val="center"/>
          </w:tcPr>
          <w:p w14:paraId="68FDBECF" w14:textId="77777777" w:rsidR="00991E72" w:rsidRPr="00C806B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szCs w:val="14"/>
              </w:rPr>
              <w:t>[09.a]</w:t>
            </w:r>
          </w:p>
        </w:tc>
        <w:tc>
          <w:tcPr>
            <w:tcW w:w="1423" w:type="dxa"/>
            <w:tcBorders>
              <w:top w:val="nil"/>
              <w:bottom w:val="nil"/>
            </w:tcBorders>
            <w:shd w:val="clear" w:color="auto" w:fill="auto"/>
            <w:vAlign w:val="center"/>
          </w:tcPr>
          <w:p w14:paraId="698DFB37" w14:textId="77777777" w:rsidR="00991E7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504C3">
              <w:rPr>
                <w:b/>
              </w:rPr>
              <w:t>185</w:t>
            </w:r>
            <w:r>
              <w:rPr>
                <w:b/>
              </w:rPr>
              <w:t>,</w:t>
            </w:r>
            <w:r w:rsidRPr="003504C3">
              <w:rPr>
                <w:b/>
              </w:rPr>
              <w:t>388</w:t>
            </w:r>
          </w:p>
        </w:tc>
        <w:tc>
          <w:tcPr>
            <w:tcW w:w="1559" w:type="dxa"/>
            <w:gridSpan w:val="2"/>
            <w:tcBorders>
              <w:top w:val="nil"/>
              <w:bottom w:val="nil"/>
            </w:tcBorders>
            <w:shd w:val="clear" w:color="auto" w:fill="auto"/>
            <w:vAlign w:val="center"/>
          </w:tcPr>
          <w:p w14:paraId="06EB5C07" w14:textId="77777777" w:rsidR="00991E7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b/>
              </w:rPr>
              <w:t>(</w:t>
            </w:r>
            <w:r w:rsidRPr="00181096">
              <w:rPr>
                <w:b/>
              </w:rPr>
              <w:t>21</w:t>
            </w:r>
            <w:r>
              <w:rPr>
                <w:b/>
              </w:rPr>
              <w:t>,</w:t>
            </w:r>
            <w:r w:rsidRPr="00181096">
              <w:rPr>
                <w:b/>
              </w:rPr>
              <w:t>932</w:t>
            </w:r>
            <w:r>
              <w:rPr>
                <w:b/>
              </w:rPr>
              <w:t>)</w:t>
            </w:r>
          </w:p>
        </w:tc>
        <w:tc>
          <w:tcPr>
            <w:tcW w:w="241" w:type="dxa"/>
            <w:gridSpan w:val="2"/>
            <w:tcBorders>
              <w:top w:val="nil"/>
              <w:bottom w:val="nil"/>
            </w:tcBorders>
            <w:shd w:val="clear" w:color="auto" w:fill="auto"/>
            <w:vAlign w:val="center"/>
          </w:tcPr>
          <w:p w14:paraId="0E36335D" w14:textId="77777777" w:rsidR="00991E7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13" w:type="dxa"/>
            <w:tcBorders>
              <w:top w:val="nil"/>
              <w:bottom w:val="nil"/>
            </w:tcBorders>
            <w:shd w:val="clear" w:color="auto" w:fill="auto"/>
            <w:vAlign w:val="center"/>
          </w:tcPr>
          <w:p w14:paraId="505D40D0" w14:textId="77777777" w:rsidR="00991E7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504C3">
              <w:rPr>
                <w:b/>
              </w:rPr>
              <w:t>185</w:t>
            </w:r>
            <w:r>
              <w:rPr>
                <w:b/>
              </w:rPr>
              <w:t>,</w:t>
            </w:r>
            <w:r w:rsidRPr="003504C3">
              <w:rPr>
                <w:b/>
              </w:rPr>
              <w:t>388</w:t>
            </w:r>
          </w:p>
        </w:tc>
        <w:tc>
          <w:tcPr>
            <w:tcW w:w="1417" w:type="dxa"/>
            <w:tcBorders>
              <w:top w:val="nil"/>
              <w:bottom w:val="nil"/>
            </w:tcBorders>
            <w:shd w:val="clear" w:color="auto" w:fill="auto"/>
            <w:vAlign w:val="center"/>
          </w:tcPr>
          <w:p w14:paraId="248C5716" w14:textId="77777777" w:rsidR="00991E7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b/>
              </w:rPr>
              <w:t>(</w:t>
            </w:r>
            <w:r w:rsidRPr="00181096">
              <w:rPr>
                <w:b/>
              </w:rPr>
              <w:t>21</w:t>
            </w:r>
            <w:r>
              <w:rPr>
                <w:b/>
              </w:rPr>
              <w:t>,</w:t>
            </w:r>
            <w:r w:rsidRPr="00181096">
              <w:rPr>
                <w:b/>
              </w:rPr>
              <w:t>932</w:t>
            </w:r>
            <w:r>
              <w:rPr>
                <w:b/>
              </w:rPr>
              <w:t>)</w:t>
            </w:r>
          </w:p>
        </w:tc>
      </w:tr>
      <w:tr w:rsidR="00991E72" w:rsidRPr="001D6BE8" w14:paraId="561EE02A" w14:textId="77777777" w:rsidTr="00991E72">
        <w:trPr>
          <w:trHeight w:hRule="exact" w:val="429"/>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AF6B3F2" w14:textId="77777777" w:rsidR="00991E72" w:rsidRPr="0038283D" w:rsidRDefault="00991E72" w:rsidP="00991E72">
            <w:pPr>
              <w:pStyle w:val="08-Tabelageral"/>
              <w:ind w:left="113"/>
              <w:jc w:val="left"/>
              <w:rPr>
                <w:rFonts w:cs="Arial"/>
                <w:b w:val="0"/>
                <w:szCs w:val="14"/>
                <w:lang w:val="en-US"/>
              </w:rPr>
            </w:pPr>
            <w:r w:rsidRPr="00BD6C7E">
              <w:rPr>
                <w:rFonts w:cs="Arial"/>
                <w:b w:val="0"/>
                <w:szCs w:val="14"/>
                <w:lang w:val="en-US"/>
              </w:rPr>
              <w:t>Gains/(losses) on financial assets available for sale</w:t>
            </w:r>
          </w:p>
        </w:tc>
        <w:tc>
          <w:tcPr>
            <w:tcW w:w="567" w:type="dxa"/>
            <w:tcBorders>
              <w:top w:val="nil"/>
              <w:bottom w:val="nil"/>
            </w:tcBorders>
            <w:shd w:val="clear" w:color="auto" w:fill="auto"/>
            <w:vAlign w:val="center"/>
          </w:tcPr>
          <w:p w14:paraId="3561FE77" w14:textId="77777777" w:rsidR="00991E72" w:rsidRPr="0038283D"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423" w:type="dxa"/>
            <w:tcBorders>
              <w:top w:val="nil"/>
              <w:bottom w:val="nil"/>
            </w:tcBorders>
            <w:shd w:val="clear" w:color="auto" w:fill="auto"/>
            <w:vAlign w:val="center"/>
          </w:tcPr>
          <w:p w14:paraId="0B6BF3E0"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651E77">
              <w:t>46</w:t>
            </w:r>
            <w:r>
              <w:t>,</w:t>
            </w:r>
            <w:r w:rsidRPr="00651E77">
              <w:t>955</w:t>
            </w:r>
          </w:p>
        </w:tc>
        <w:tc>
          <w:tcPr>
            <w:tcW w:w="1559" w:type="dxa"/>
            <w:gridSpan w:val="2"/>
            <w:tcBorders>
              <w:top w:val="nil"/>
              <w:bottom w:val="nil"/>
            </w:tcBorders>
            <w:shd w:val="clear" w:color="auto" w:fill="auto"/>
            <w:vAlign w:val="center"/>
          </w:tcPr>
          <w:p w14:paraId="47778748"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061AD">
              <w:t>(26</w:t>
            </w:r>
            <w:r>
              <w:t>,</w:t>
            </w:r>
            <w:r w:rsidRPr="00A061AD">
              <w:t>386)</w:t>
            </w:r>
          </w:p>
        </w:tc>
        <w:tc>
          <w:tcPr>
            <w:tcW w:w="241" w:type="dxa"/>
            <w:gridSpan w:val="2"/>
            <w:tcBorders>
              <w:top w:val="nil"/>
              <w:bottom w:val="nil"/>
            </w:tcBorders>
            <w:shd w:val="clear" w:color="auto" w:fill="auto"/>
            <w:vAlign w:val="center"/>
          </w:tcPr>
          <w:p w14:paraId="4F8DA3C1"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13" w:type="dxa"/>
            <w:tcBorders>
              <w:top w:val="nil"/>
              <w:bottom w:val="nil"/>
            </w:tcBorders>
            <w:shd w:val="clear" w:color="auto" w:fill="auto"/>
            <w:vAlign w:val="center"/>
          </w:tcPr>
          <w:p w14:paraId="07D011B6"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651E77">
              <w:t>46</w:t>
            </w:r>
            <w:r>
              <w:t>,</w:t>
            </w:r>
            <w:r w:rsidRPr="00651E77">
              <w:t>955</w:t>
            </w:r>
          </w:p>
        </w:tc>
        <w:tc>
          <w:tcPr>
            <w:tcW w:w="1417" w:type="dxa"/>
            <w:tcBorders>
              <w:top w:val="nil"/>
              <w:bottom w:val="nil"/>
            </w:tcBorders>
            <w:shd w:val="clear" w:color="auto" w:fill="auto"/>
            <w:vAlign w:val="center"/>
          </w:tcPr>
          <w:p w14:paraId="54442A7D"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061AD">
              <w:t>(26</w:t>
            </w:r>
            <w:r>
              <w:t>,</w:t>
            </w:r>
            <w:r w:rsidRPr="00A061AD">
              <w:t>386)</w:t>
            </w:r>
          </w:p>
        </w:tc>
      </w:tr>
      <w:tr w:rsidR="00991E72" w:rsidRPr="001D6BE8" w14:paraId="73C63F60" w14:textId="77777777" w:rsidTr="00991E72">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98A9487" w14:textId="77777777" w:rsidR="00991E72" w:rsidRPr="00D35F50" w:rsidRDefault="00991E72" w:rsidP="00991E72">
            <w:pPr>
              <w:pStyle w:val="08-Tabelageral"/>
              <w:ind w:left="113"/>
              <w:jc w:val="left"/>
              <w:rPr>
                <w:rFonts w:cs="Arial"/>
                <w:b w:val="0"/>
                <w:bCs w:val="0"/>
                <w:szCs w:val="14"/>
                <w:lang w:val="en-US"/>
              </w:rPr>
            </w:pPr>
            <w:r w:rsidRPr="00A43DA5">
              <w:rPr>
                <w:rFonts w:cs="Arial"/>
                <w:b w:val="0"/>
                <w:bCs w:val="0"/>
                <w:szCs w:val="14"/>
                <w:lang w:val="en-US"/>
              </w:rPr>
              <w:t>Other comprehensive results</w:t>
            </w:r>
          </w:p>
        </w:tc>
        <w:tc>
          <w:tcPr>
            <w:tcW w:w="567" w:type="dxa"/>
            <w:tcBorders>
              <w:top w:val="nil"/>
              <w:bottom w:val="nil"/>
            </w:tcBorders>
            <w:shd w:val="clear" w:color="auto" w:fill="auto"/>
            <w:vAlign w:val="center"/>
          </w:tcPr>
          <w:p w14:paraId="5471071D" w14:textId="77777777" w:rsidR="00991E72" w:rsidRPr="0038283D"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423" w:type="dxa"/>
            <w:tcBorders>
              <w:top w:val="nil"/>
              <w:bottom w:val="nil"/>
            </w:tcBorders>
            <w:shd w:val="clear" w:color="auto" w:fill="auto"/>
            <w:vAlign w:val="center"/>
          </w:tcPr>
          <w:p w14:paraId="0F2AB7FC" w14:textId="77777777" w:rsidR="00991E72" w:rsidRPr="00823355"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3504C3">
              <w:t>262</w:t>
            </w:r>
            <w:r>
              <w:t>,</w:t>
            </w:r>
            <w:r w:rsidRPr="003504C3">
              <w:t>015</w:t>
            </w:r>
          </w:p>
        </w:tc>
        <w:tc>
          <w:tcPr>
            <w:tcW w:w="1559" w:type="dxa"/>
            <w:gridSpan w:val="2"/>
            <w:tcBorders>
              <w:top w:val="nil"/>
              <w:bottom w:val="nil"/>
            </w:tcBorders>
            <w:shd w:val="clear" w:color="auto" w:fill="auto"/>
            <w:vAlign w:val="center"/>
          </w:tcPr>
          <w:p w14:paraId="74E0E6DB" w14:textId="77777777" w:rsidR="00991E72" w:rsidRPr="00823355"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181096">
              <w:t>10</w:t>
            </w:r>
            <w:r>
              <w:t>,</w:t>
            </w:r>
            <w:r w:rsidRPr="00181096">
              <w:t>167</w:t>
            </w:r>
            <w:r>
              <w:t>)</w:t>
            </w:r>
          </w:p>
        </w:tc>
        <w:tc>
          <w:tcPr>
            <w:tcW w:w="241" w:type="dxa"/>
            <w:gridSpan w:val="2"/>
            <w:tcBorders>
              <w:top w:val="nil"/>
              <w:bottom w:val="nil"/>
            </w:tcBorders>
            <w:shd w:val="clear" w:color="auto" w:fill="auto"/>
            <w:vAlign w:val="center"/>
          </w:tcPr>
          <w:p w14:paraId="7305551E" w14:textId="77777777" w:rsidR="00991E72" w:rsidRPr="00823355"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13" w:type="dxa"/>
            <w:tcBorders>
              <w:top w:val="nil"/>
              <w:bottom w:val="nil"/>
            </w:tcBorders>
            <w:shd w:val="clear" w:color="auto" w:fill="auto"/>
            <w:vAlign w:val="center"/>
          </w:tcPr>
          <w:p w14:paraId="2E9F5FF4" w14:textId="77777777" w:rsidR="00991E72" w:rsidRPr="00D13221"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3504C3">
              <w:t>262</w:t>
            </w:r>
            <w:r>
              <w:t>,</w:t>
            </w:r>
            <w:r w:rsidRPr="003504C3">
              <w:t>015</w:t>
            </w:r>
          </w:p>
        </w:tc>
        <w:tc>
          <w:tcPr>
            <w:tcW w:w="1417" w:type="dxa"/>
            <w:tcBorders>
              <w:top w:val="nil"/>
              <w:bottom w:val="nil"/>
            </w:tcBorders>
            <w:shd w:val="clear" w:color="auto" w:fill="auto"/>
            <w:vAlign w:val="center"/>
          </w:tcPr>
          <w:p w14:paraId="3330D774" w14:textId="77777777" w:rsidR="00991E72" w:rsidRPr="00D13221"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181096">
              <w:t>10</w:t>
            </w:r>
            <w:r>
              <w:t>,</w:t>
            </w:r>
            <w:r w:rsidRPr="00181096">
              <w:t>167</w:t>
            </w:r>
            <w:r>
              <w:t>)</w:t>
            </w:r>
          </w:p>
        </w:tc>
      </w:tr>
      <w:tr w:rsidR="00991E72" w:rsidRPr="001D6BE8" w14:paraId="3D808E52" w14:textId="77777777" w:rsidTr="00991E72">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Pr>
          <w:p w14:paraId="177A3599" w14:textId="77777777" w:rsidR="00991E72" w:rsidRPr="00F74007" w:rsidRDefault="00991E72" w:rsidP="00991E72">
            <w:pPr>
              <w:pStyle w:val="08-Tabelageral"/>
              <w:ind w:left="113"/>
              <w:jc w:val="left"/>
              <w:rPr>
                <w:rFonts w:cs="Arial"/>
                <w:szCs w:val="14"/>
                <w:highlight w:val="yellow"/>
              </w:rPr>
            </w:pPr>
            <w:r>
              <w:rPr>
                <w:rFonts w:cs="Arial"/>
                <w:b w:val="0"/>
                <w:bCs w:val="0"/>
                <w:szCs w:val="14"/>
              </w:rPr>
              <w:t xml:space="preserve">    </w:t>
            </w:r>
            <w:r w:rsidRPr="00750F31">
              <w:rPr>
                <w:rFonts w:cs="Arial"/>
                <w:b w:val="0"/>
                <w:bCs w:val="0"/>
                <w:szCs w:val="14"/>
              </w:rPr>
              <w:t xml:space="preserve">Effects </w:t>
            </w:r>
            <w:r w:rsidRPr="00C929DB">
              <w:rPr>
                <w:rFonts w:cs="Arial"/>
                <w:b w:val="0"/>
                <w:bCs w:val="0"/>
                <w:szCs w:val="14"/>
              </w:rPr>
              <w:t>CPC 48 and 50</w:t>
            </w:r>
          </w:p>
        </w:tc>
        <w:tc>
          <w:tcPr>
            <w:tcW w:w="567" w:type="dxa"/>
            <w:tcBorders>
              <w:top w:val="nil"/>
              <w:bottom w:val="nil"/>
            </w:tcBorders>
            <w:shd w:val="clear" w:color="auto" w:fill="auto"/>
            <w:vAlign w:val="center"/>
          </w:tcPr>
          <w:p w14:paraId="4666DB77"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3" w:type="dxa"/>
          </w:tcPr>
          <w:p w14:paraId="72FE3680" w14:textId="77777777" w:rsidR="00991E72" w:rsidRPr="001F2C88"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bCs/>
              </w:rPr>
            </w:pPr>
            <w:r w:rsidRPr="003504C3">
              <w:t>261</w:t>
            </w:r>
            <w:r>
              <w:t>,</w:t>
            </w:r>
            <w:r w:rsidRPr="003504C3">
              <w:t>936</w:t>
            </w:r>
          </w:p>
        </w:tc>
        <w:tc>
          <w:tcPr>
            <w:tcW w:w="1559" w:type="dxa"/>
            <w:gridSpan w:val="2"/>
          </w:tcPr>
          <w:p w14:paraId="1D7DB746" w14:textId="77777777" w:rsidR="00991E72" w:rsidRPr="007315B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Cs/>
              </w:rPr>
            </w:pPr>
            <w:r w:rsidRPr="00181096">
              <w:t>(10</w:t>
            </w:r>
            <w:r>
              <w:t>,</w:t>
            </w:r>
            <w:r w:rsidRPr="00181096">
              <w:t>167)</w:t>
            </w:r>
          </w:p>
        </w:tc>
        <w:tc>
          <w:tcPr>
            <w:tcW w:w="241" w:type="dxa"/>
            <w:gridSpan w:val="2"/>
          </w:tcPr>
          <w:p w14:paraId="7AECCC1F" w14:textId="77777777" w:rsidR="00991E72" w:rsidRPr="00F25D2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13" w:type="dxa"/>
          </w:tcPr>
          <w:p w14:paraId="695FBD57" w14:textId="77777777" w:rsidR="00991E72" w:rsidRPr="001F2C88"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bCs/>
              </w:rPr>
            </w:pPr>
            <w:r w:rsidRPr="003504C3">
              <w:t>261</w:t>
            </w:r>
            <w:r>
              <w:t>,</w:t>
            </w:r>
            <w:r w:rsidRPr="003504C3">
              <w:t>936</w:t>
            </w:r>
          </w:p>
        </w:tc>
        <w:tc>
          <w:tcPr>
            <w:tcW w:w="1417" w:type="dxa"/>
          </w:tcPr>
          <w:p w14:paraId="18EFAB05" w14:textId="77777777" w:rsidR="00991E72" w:rsidRPr="007315B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Cs/>
              </w:rPr>
            </w:pPr>
            <w:r w:rsidRPr="00181096">
              <w:t>(10</w:t>
            </w:r>
            <w:r>
              <w:t>,</w:t>
            </w:r>
            <w:r w:rsidRPr="00181096">
              <w:t>167)</w:t>
            </w:r>
          </w:p>
        </w:tc>
      </w:tr>
      <w:tr w:rsidR="00991E72" w:rsidRPr="001D6BE8" w14:paraId="7D2D7A61" w14:textId="77777777" w:rsidTr="00991E72">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7E0BFC7" w14:textId="77777777" w:rsidR="00991E72" w:rsidRPr="00C929DB" w:rsidRDefault="00991E72" w:rsidP="00991E72">
            <w:pPr>
              <w:pStyle w:val="08-Tabelageral"/>
              <w:ind w:left="113"/>
              <w:jc w:val="left"/>
              <w:rPr>
                <w:rFonts w:cs="Arial"/>
                <w:b w:val="0"/>
                <w:bCs w:val="0"/>
                <w:szCs w:val="14"/>
              </w:rPr>
            </w:pPr>
            <w:r>
              <w:rPr>
                <w:rFonts w:cs="Arial"/>
                <w:b w:val="0"/>
                <w:bCs w:val="0"/>
                <w:szCs w:val="14"/>
              </w:rPr>
              <w:t xml:space="preserve">    </w:t>
            </w:r>
            <w:r w:rsidRPr="0085549B">
              <w:rPr>
                <w:rFonts w:cs="Arial"/>
                <w:b w:val="0"/>
                <w:bCs w:val="0"/>
                <w:szCs w:val="14"/>
              </w:rPr>
              <w:t>other</w:t>
            </w:r>
          </w:p>
        </w:tc>
        <w:tc>
          <w:tcPr>
            <w:tcW w:w="567" w:type="dxa"/>
            <w:tcBorders>
              <w:top w:val="nil"/>
              <w:bottom w:val="nil"/>
            </w:tcBorders>
            <w:shd w:val="clear" w:color="auto" w:fill="auto"/>
            <w:vAlign w:val="center"/>
          </w:tcPr>
          <w:p w14:paraId="5429DC8E" w14:textId="77777777" w:rsidR="00991E72" w:rsidRPr="00823355"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3" w:type="dxa"/>
            <w:tcBorders>
              <w:top w:val="nil"/>
              <w:bottom w:val="nil"/>
            </w:tcBorders>
            <w:shd w:val="clear" w:color="auto" w:fill="auto"/>
            <w:vAlign w:val="center"/>
          </w:tcPr>
          <w:p w14:paraId="64FF1451" w14:textId="77777777" w:rsidR="00991E72" w:rsidRPr="001F2C88"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D71B18">
              <w:t>79</w:t>
            </w:r>
          </w:p>
        </w:tc>
        <w:tc>
          <w:tcPr>
            <w:tcW w:w="1559" w:type="dxa"/>
            <w:gridSpan w:val="2"/>
            <w:tcBorders>
              <w:top w:val="nil"/>
              <w:bottom w:val="nil"/>
            </w:tcBorders>
            <w:shd w:val="clear" w:color="auto" w:fill="auto"/>
            <w:vAlign w:val="center"/>
          </w:tcPr>
          <w:p w14:paraId="28BB5460" w14:textId="77777777" w:rsidR="00991E72" w:rsidRPr="007315B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Cs/>
              </w:rPr>
            </w:pPr>
            <w:r w:rsidRPr="00D71B18">
              <w:t>--</w:t>
            </w:r>
          </w:p>
        </w:tc>
        <w:tc>
          <w:tcPr>
            <w:tcW w:w="241" w:type="dxa"/>
            <w:gridSpan w:val="2"/>
            <w:tcBorders>
              <w:top w:val="nil"/>
              <w:bottom w:val="nil"/>
            </w:tcBorders>
            <w:shd w:val="clear" w:color="auto" w:fill="auto"/>
            <w:vAlign w:val="center"/>
          </w:tcPr>
          <w:p w14:paraId="35A09E66" w14:textId="77777777" w:rsidR="00991E72" w:rsidRPr="00F25D2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13" w:type="dxa"/>
            <w:tcBorders>
              <w:top w:val="nil"/>
              <w:bottom w:val="nil"/>
            </w:tcBorders>
            <w:shd w:val="clear" w:color="auto" w:fill="auto"/>
            <w:vAlign w:val="center"/>
          </w:tcPr>
          <w:p w14:paraId="6DE97962" w14:textId="77777777" w:rsidR="00991E72" w:rsidRPr="001F2C88"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D71B18">
              <w:t>79</w:t>
            </w:r>
          </w:p>
        </w:tc>
        <w:tc>
          <w:tcPr>
            <w:tcW w:w="1417" w:type="dxa"/>
            <w:tcBorders>
              <w:top w:val="nil"/>
              <w:bottom w:val="nil"/>
            </w:tcBorders>
            <w:shd w:val="clear" w:color="auto" w:fill="auto"/>
            <w:vAlign w:val="center"/>
          </w:tcPr>
          <w:p w14:paraId="30E285A3" w14:textId="77777777" w:rsidR="00991E72" w:rsidRPr="007315B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Cs/>
              </w:rPr>
            </w:pPr>
            <w:r w:rsidRPr="00D71B18">
              <w:t>--</w:t>
            </w:r>
          </w:p>
        </w:tc>
      </w:tr>
      <w:tr w:rsidR="00991E72" w:rsidRPr="001D6BE8" w14:paraId="0298EC57" w14:textId="77777777" w:rsidTr="00991E72">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4BCD5F8" w14:textId="77777777" w:rsidR="00991E72" w:rsidRPr="00C20080" w:rsidRDefault="00991E72" w:rsidP="00991E72">
            <w:pPr>
              <w:pStyle w:val="08-Tabelageral"/>
              <w:ind w:left="113"/>
              <w:jc w:val="left"/>
              <w:rPr>
                <w:rFonts w:cs="Arial"/>
                <w:b w:val="0"/>
                <w:szCs w:val="14"/>
              </w:rPr>
            </w:pPr>
            <w:r w:rsidRPr="0095260E">
              <w:rPr>
                <w:rFonts w:cs="Arial"/>
                <w:b w:val="0"/>
                <w:szCs w:val="14"/>
              </w:rPr>
              <w:t>Tax effect</w:t>
            </w:r>
          </w:p>
        </w:tc>
        <w:tc>
          <w:tcPr>
            <w:tcW w:w="567" w:type="dxa"/>
            <w:tcBorders>
              <w:top w:val="nil"/>
              <w:bottom w:val="nil"/>
            </w:tcBorders>
            <w:shd w:val="clear" w:color="auto" w:fill="auto"/>
            <w:vAlign w:val="center"/>
          </w:tcPr>
          <w:p w14:paraId="6B697950" w14:textId="77777777" w:rsidR="00991E72" w:rsidRPr="00823355"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3" w:type="dxa"/>
            <w:tcBorders>
              <w:top w:val="nil"/>
              <w:bottom w:val="nil"/>
            </w:tcBorders>
            <w:shd w:val="clear" w:color="auto" w:fill="auto"/>
            <w:vAlign w:val="center"/>
          </w:tcPr>
          <w:p w14:paraId="485FD352" w14:textId="77777777" w:rsidR="00991E72" w:rsidRPr="00F25D2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3504C3">
              <w:t>123</w:t>
            </w:r>
            <w:r>
              <w:t>,</w:t>
            </w:r>
            <w:r w:rsidRPr="003504C3">
              <w:t>582</w:t>
            </w:r>
            <w:r>
              <w:t>)</w:t>
            </w:r>
          </w:p>
        </w:tc>
        <w:tc>
          <w:tcPr>
            <w:tcW w:w="1559" w:type="dxa"/>
            <w:gridSpan w:val="2"/>
            <w:tcBorders>
              <w:top w:val="nil"/>
              <w:bottom w:val="nil"/>
            </w:tcBorders>
            <w:shd w:val="clear" w:color="auto" w:fill="auto"/>
            <w:vAlign w:val="center"/>
          </w:tcPr>
          <w:p w14:paraId="1F3AC1F0" w14:textId="77777777" w:rsidR="00991E72" w:rsidRPr="00F25D2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181096">
              <w:t>14</w:t>
            </w:r>
            <w:r>
              <w:t>,</w:t>
            </w:r>
            <w:r w:rsidRPr="00181096">
              <w:t>621</w:t>
            </w:r>
          </w:p>
        </w:tc>
        <w:tc>
          <w:tcPr>
            <w:tcW w:w="241" w:type="dxa"/>
            <w:gridSpan w:val="2"/>
            <w:tcBorders>
              <w:top w:val="nil"/>
              <w:bottom w:val="nil"/>
            </w:tcBorders>
            <w:shd w:val="clear" w:color="auto" w:fill="auto"/>
            <w:vAlign w:val="center"/>
          </w:tcPr>
          <w:p w14:paraId="2C2EE32A" w14:textId="77777777" w:rsidR="00991E72" w:rsidRPr="00F25D2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13" w:type="dxa"/>
            <w:tcBorders>
              <w:top w:val="nil"/>
              <w:bottom w:val="nil"/>
            </w:tcBorders>
            <w:shd w:val="clear" w:color="auto" w:fill="auto"/>
            <w:vAlign w:val="center"/>
          </w:tcPr>
          <w:p w14:paraId="1DCD86F8" w14:textId="77777777" w:rsidR="00991E72" w:rsidRPr="00F25D2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3504C3">
              <w:t>123</w:t>
            </w:r>
            <w:r>
              <w:t>,</w:t>
            </w:r>
            <w:r w:rsidRPr="003504C3">
              <w:t>582</w:t>
            </w:r>
            <w:r>
              <w:t>)</w:t>
            </w:r>
          </w:p>
        </w:tc>
        <w:tc>
          <w:tcPr>
            <w:tcW w:w="1417" w:type="dxa"/>
            <w:tcBorders>
              <w:top w:val="nil"/>
              <w:bottom w:val="nil"/>
            </w:tcBorders>
            <w:shd w:val="clear" w:color="auto" w:fill="auto"/>
            <w:vAlign w:val="center"/>
          </w:tcPr>
          <w:p w14:paraId="70BFA139" w14:textId="77777777" w:rsidR="00991E72" w:rsidRPr="00F25D2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181096">
              <w:t>14</w:t>
            </w:r>
            <w:r>
              <w:t>,</w:t>
            </w:r>
            <w:r w:rsidRPr="00181096">
              <w:t>621</w:t>
            </w:r>
          </w:p>
        </w:tc>
      </w:tr>
      <w:tr w:rsidR="00991E72" w:rsidRPr="003E7906" w14:paraId="3E1DE98F"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8EAADB" w:themeColor="accent5" w:themeTint="99"/>
            </w:tcBorders>
            <w:shd w:val="clear" w:color="auto" w:fill="auto"/>
            <w:vAlign w:val="center"/>
          </w:tcPr>
          <w:p w14:paraId="3FAF76FC" w14:textId="77777777" w:rsidR="00991E72" w:rsidRPr="003E7906" w:rsidRDefault="00991E72" w:rsidP="00991E72">
            <w:pPr>
              <w:pStyle w:val="08-Tabelageral"/>
              <w:jc w:val="left"/>
              <w:rPr>
                <w:rFonts w:cs="Arial"/>
                <w:b w:val="0"/>
                <w:bCs w:val="0"/>
                <w:szCs w:val="14"/>
              </w:rPr>
            </w:pPr>
            <w:r w:rsidRPr="0095260E">
              <w:rPr>
                <w:rFonts w:cs="Arial"/>
                <w:szCs w:val="14"/>
              </w:rPr>
              <w:t>Total Comprehensive Income</w:t>
            </w:r>
          </w:p>
        </w:tc>
        <w:tc>
          <w:tcPr>
            <w:tcW w:w="567" w:type="dxa"/>
            <w:tcBorders>
              <w:top w:val="nil"/>
              <w:bottom w:val="single" w:sz="2" w:space="0" w:color="1F4E79" w:themeColor="accent1" w:themeShade="80"/>
            </w:tcBorders>
            <w:shd w:val="clear" w:color="auto" w:fill="auto"/>
            <w:vAlign w:val="center"/>
          </w:tcPr>
          <w:p w14:paraId="49746FED" w14:textId="77777777" w:rsidR="00991E72" w:rsidRPr="003E790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3" w:type="dxa"/>
            <w:tcBorders>
              <w:top w:val="nil"/>
              <w:bottom w:val="single" w:sz="2" w:space="0" w:color="1F4E79" w:themeColor="accent1" w:themeShade="80"/>
            </w:tcBorders>
            <w:shd w:val="clear" w:color="auto" w:fill="auto"/>
            <w:vAlign w:val="center"/>
          </w:tcPr>
          <w:p w14:paraId="12F6A16E" w14:textId="77777777" w:rsidR="00991E72" w:rsidRPr="003E790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504C3">
              <w:rPr>
                <w:b/>
              </w:rPr>
              <w:t>2</w:t>
            </w:r>
            <w:r>
              <w:rPr>
                <w:b/>
              </w:rPr>
              <w:t>,</w:t>
            </w:r>
            <w:r w:rsidRPr="003504C3">
              <w:rPr>
                <w:b/>
              </w:rPr>
              <w:t>018</w:t>
            </w:r>
            <w:r>
              <w:rPr>
                <w:b/>
              </w:rPr>
              <w:t>,</w:t>
            </w:r>
            <w:r w:rsidRPr="003504C3">
              <w:rPr>
                <w:b/>
              </w:rPr>
              <w:t>347</w:t>
            </w:r>
          </w:p>
        </w:tc>
        <w:tc>
          <w:tcPr>
            <w:tcW w:w="1559" w:type="dxa"/>
            <w:gridSpan w:val="2"/>
            <w:tcBorders>
              <w:top w:val="nil"/>
              <w:bottom w:val="single" w:sz="2" w:space="0" w:color="1F4E79" w:themeColor="accent1" w:themeShade="80"/>
            </w:tcBorders>
            <w:shd w:val="clear" w:color="auto" w:fill="auto"/>
            <w:vAlign w:val="center"/>
          </w:tcPr>
          <w:p w14:paraId="1A9BB3A2" w14:textId="77777777" w:rsidR="00991E72" w:rsidRPr="003E790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81096">
              <w:rPr>
                <w:b/>
                <w:bCs/>
              </w:rPr>
              <w:t>1</w:t>
            </w:r>
            <w:r>
              <w:rPr>
                <w:b/>
                <w:bCs/>
              </w:rPr>
              <w:t>,</w:t>
            </w:r>
            <w:r w:rsidRPr="00181096">
              <w:rPr>
                <w:b/>
                <w:bCs/>
              </w:rPr>
              <w:t>187</w:t>
            </w:r>
            <w:r>
              <w:rPr>
                <w:b/>
                <w:bCs/>
              </w:rPr>
              <w:t>,</w:t>
            </w:r>
            <w:r w:rsidRPr="00181096">
              <w:rPr>
                <w:b/>
                <w:bCs/>
              </w:rPr>
              <w:t>585</w:t>
            </w:r>
          </w:p>
        </w:tc>
        <w:tc>
          <w:tcPr>
            <w:tcW w:w="241" w:type="dxa"/>
            <w:gridSpan w:val="2"/>
            <w:tcBorders>
              <w:top w:val="nil"/>
              <w:bottom w:val="single" w:sz="2" w:space="0" w:color="1F4E79" w:themeColor="accent1" w:themeShade="80"/>
            </w:tcBorders>
            <w:shd w:val="clear" w:color="auto" w:fill="auto"/>
            <w:vAlign w:val="center"/>
          </w:tcPr>
          <w:p w14:paraId="624709F1" w14:textId="77777777" w:rsidR="00991E72" w:rsidRPr="003E790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3" w:type="dxa"/>
            <w:tcBorders>
              <w:top w:val="nil"/>
              <w:bottom w:val="single" w:sz="2" w:space="0" w:color="1F4E79" w:themeColor="accent1" w:themeShade="80"/>
            </w:tcBorders>
            <w:shd w:val="clear" w:color="auto" w:fill="auto"/>
            <w:vAlign w:val="center"/>
          </w:tcPr>
          <w:p w14:paraId="5A555650" w14:textId="77777777" w:rsidR="00991E72" w:rsidRPr="003E790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504C3">
              <w:rPr>
                <w:b/>
              </w:rPr>
              <w:t>2</w:t>
            </w:r>
            <w:r>
              <w:rPr>
                <w:b/>
              </w:rPr>
              <w:t>,</w:t>
            </w:r>
            <w:r w:rsidRPr="003504C3">
              <w:rPr>
                <w:b/>
              </w:rPr>
              <w:t>018</w:t>
            </w:r>
            <w:r>
              <w:rPr>
                <w:b/>
              </w:rPr>
              <w:t>,</w:t>
            </w:r>
            <w:r w:rsidRPr="003504C3">
              <w:rPr>
                <w:b/>
              </w:rPr>
              <w:t>347</w:t>
            </w:r>
          </w:p>
        </w:tc>
        <w:tc>
          <w:tcPr>
            <w:tcW w:w="1417" w:type="dxa"/>
            <w:tcBorders>
              <w:top w:val="nil"/>
              <w:bottom w:val="single" w:sz="2" w:space="0" w:color="1F4E79" w:themeColor="accent1" w:themeShade="80"/>
            </w:tcBorders>
            <w:shd w:val="clear" w:color="auto" w:fill="auto"/>
            <w:vAlign w:val="center"/>
          </w:tcPr>
          <w:p w14:paraId="16DD2D42" w14:textId="77777777" w:rsidR="00991E72" w:rsidRPr="003E7906"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81096">
              <w:rPr>
                <w:b/>
                <w:bCs/>
              </w:rPr>
              <w:t>1</w:t>
            </w:r>
            <w:r>
              <w:rPr>
                <w:b/>
                <w:bCs/>
              </w:rPr>
              <w:t>,</w:t>
            </w:r>
            <w:r w:rsidRPr="00181096">
              <w:rPr>
                <w:b/>
                <w:bCs/>
              </w:rPr>
              <w:t>187</w:t>
            </w:r>
            <w:r>
              <w:rPr>
                <w:b/>
                <w:bCs/>
              </w:rPr>
              <w:t>,</w:t>
            </w:r>
            <w:r w:rsidRPr="00181096">
              <w:rPr>
                <w:b/>
                <w:bCs/>
              </w:rPr>
              <w:t>585</w:t>
            </w:r>
          </w:p>
        </w:tc>
      </w:tr>
    </w:tbl>
    <w:p w14:paraId="1C95EFB7" w14:textId="77777777" w:rsidR="00991E72" w:rsidRPr="00C929DB" w:rsidRDefault="00991E72" w:rsidP="00991E72">
      <w:pPr>
        <w:rPr>
          <w:rFonts w:cs="Arial"/>
          <w:sz w:val="14"/>
          <w:szCs w:val="14"/>
          <w:lang w:val="en-US"/>
        </w:rPr>
      </w:pPr>
      <w:r w:rsidRPr="00C929DB">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3F19EE03" w14:textId="77777777" w:rsidR="00991E72" w:rsidRPr="00C929DB" w:rsidRDefault="00991E72" w:rsidP="00991E72">
      <w:pPr>
        <w:rPr>
          <w:rFonts w:cs="Arial"/>
          <w:sz w:val="14"/>
          <w:szCs w:val="14"/>
          <w:lang w:val="en-US"/>
        </w:rPr>
      </w:pPr>
    </w:p>
    <w:p w14:paraId="60CCBB36" w14:textId="77777777" w:rsidR="00991E72" w:rsidRPr="00C929DB" w:rsidRDefault="00991E72" w:rsidP="00991E72">
      <w:pPr>
        <w:rPr>
          <w:rFonts w:cs="Arial"/>
          <w:sz w:val="14"/>
          <w:szCs w:val="14"/>
          <w:lang w:val="en-US"/>
        </w:rPr>
        <w:sectPr w:rsidR="00991E72" w:rsidRPr="00C929DB" w:rsidSect="00112673">
          <w:headerReference w:type="even" r:id="rId18"/>
          <w:footerReference w:type="even" r:id="rId19"/>
          <w:footerReference w:type="default" r:id="rId20"/>
          <w:headerReference w:type="first" r:id="rId21"/>
          <w:footerReference w:type="first" r:id="rId22"/>
          <w:type w:val="continuous"/>
          <w:pgSz w:w="11906" w:h="16838" w:code="9"/>
          <w:pgMar w:top="1134" w:right="1134" w:bottom="851" w:left="1134" w:header="851" w:footer="284" w:gutter="0"/>
          <w:cols w:space="708"/>
          <w:docGrid w:linePitch="360"/>
        </w:sectPr>
      </w:pPr>
    </w:p>
    <w:p w14:paraId="2936E374" w14:textId="77777777" w:rsidR="00991E72" w:rsidRPr="00BA4C93" w:rsidRDefault="00991E72" w:rsidP="00991E72">
      <w:pPr>
        <w:pStyle w:val="Ttulo1"/>
        <w:rPr>
          <w:b w:val="0"/>
          <w:bCs w:val="0"/>
        </w:rPr>
      </w:pPr>
      <w:bookmarkStart w:id="8" w:name="_Toc28866214"/>
      <w:bookmarkStart w:id="9" w:name="_Toc134823558"/>
      <w:r w:rsidRPr="00BA4C93">
        <w:lastRenderedPageBreak/>
        <w:t>BALANCE SHEET</w:t>
      </w:r>
      <w:bookmarkEnd w:id="8"/>
      <w:bookmarkEnd w:id="9"/>
    </w:p>
    <w:p w14:paraId="39C0B501" w14:textId="77777777" w:rsidR="00991E72" w:rsidRPr="0004323A" w:rsidRDefault="00991E72" w:rsidP="00991E72">
      <w:pPr>
        <w:pStyle w:val="01-TtulodeNota"/>
        <w:spacing w:before="0" w:after="0"/>
        <w:jc w:val="right"/>
        <w:rPr>
          <w:sz w:val="12"/>
          <w:szCs w:val="12"/>
        </w:rPr>
      </w:pPr>
      <w:r w:rsidRPr="00433D91">
        <w:rPr>
          <w:sz w:val="14"/>
          <w:szCs w:val="12"/>
        </w:rPr>
        <w:t>R$</w:t>
      </w:r>
      <w:r w:rsidRPr="00C27294">
        <w:rPr>
          <w:sz w:val="12"/>
          <w:szCs w:val="12"/>
        </w:rPr>
        <w:t xml:space="preserve"> </w:t>
      </w:r>
      <w:r w:rsidRPr="00433D91">
        <w:rPr>
          <w:sz w:val="14"/>
          <w:szCs w:val="12"/>
        </w:rPr>
        <w:t>thousand</w:t>
      </w:r>
    </w:p>
    <w:tbl>
      <w:tblPr>
        <w:tblStyle w:val="TabeladeLista6Colorida-nfase5"/>
        <w:tblW w:w="9639" w:type="dxa"/>
        <w:jc w:val="center"/>
        <w:tblLayout w:type="fixed"/>
        <w:tblLook w:val="04A0" w:firstRow="1" w:lastRow="0" w:firstColumn="1" w:lastColumn="0" w:noHBand="0" w:noVBand="1"/>
      </w:tblPr>
      <w:tblGrid>
        <w:gridCol w:w="2119"/>
        <w:gridCol w:w="700"/>
        <w:gridCol w:w="1120"/>
        <w:gridCol w:w="1169"/>
        <w:gridCol w:w="842"/>
        <w:gridCol w:w="151"/>
        <w:gridCol w:w="46"/>
        <w:gridCol w:w="240"/>
        <w:gridCol w:w="277"/>
        <w:gridCol w:w="840"/>
        <w:gridCol w:w="156"/>
        <w:gridCol w:w="940"/>
        <w:gridCol w:w="49"/>
        <w:gridCol w:w="990"/>
      </w:tblGrid>
      <w:tr w:rsidR="00991E72" w14:paraId="5CA7B6ED" w14:textId="77777777" w:rsidTr="00991E7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1F4E79" w:themeColor="accent1" w:themeShade="80"/>
              <w:bottom w:val="nil"/>
            </w:tcBorders>
            <w:shd w:val="clear" w:color="auto" w:fill="auto"/>
            <w:vAlign w:val="center"/>
          </w:tcPr>
          <w:p w14:paraId="30ECB55D" w14:textId="77777777" w:rsidR="00991E72" w:rsidRPr="001D6BE8" w:rsidRDefault="00991E72" w:rsidP="00991E72">
            <w:pPr>
              <w:jc w:val="center"/>
              <w:rPr>
                <w:rFonts w:cs="Arial"/>
                <w:b w:val="0"/>
                <w:szCs w:val="18"/>
              </w:rPr>
            </w:pPr>
          </w:p>
        </w:tc>
        <w:tc>
          <w:tcPr>
            <w:tcW w:w="702" w:type="dxa"/>
            <w:tcBorders>
              <w:top w:val="single" w:sz="2" w:space="0" w:color="1F4E79" w:themeColor="accent1" w:themeShade="80"/>
              <w:bottom w:val="nil"/>
            </w:tcBorders>
            <w:shd w:val="clear" w:color="auto" w:fill="auto"/>
            <w:vAlign w:val="center"/>
          </w:tcPr>
          <w:p w14:paraId="03F68E00"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3139" w:type="dxa"/>
            <w:gridSpan w:val="3"/>
            <w:tcBorders>
              <w:top w:val="single" w:sz="2" w:space="0" w:color="1F4E79" w:themeColor="accent1" w:themeShade="80"/>
              <w:bottom w:val="single" w:sz="2" w:space="0" w:color="1F4E79" w:themeColor="accent1" w:themeShade="80"/>
            </w:tcBorders>
            <w:shd w:val="clear" w:color="auto" w:fill="auto"/>
            <w:vAlign w:val="center"/>
          </w:tcPr>
          <w:p w14:paraId="24B247FB"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C27294">
              <w:rPr>
                <w:rFonts w:cs="Arial"/>
                <w:sz w:val="14"/>
                <w:szCs w:val="18"/>
              </w:rPr>
              <w:t>Parent</w:t>
            </w:r>
          </w:p>
        </w:tc>
        <w:tc>
          <w:tcPr>
            <w:tcW w:w="715" w:type="dxa"/>
            <w:gridSpan w:val="4"/>
            <w:tcBorders>
              <w:top w:val="single" w:sz="2" w:space="0" w:color="1F4E79" w:themeColor="accent1" w:themeShade="80"/>
              <w:bottom w:val="nil"/>
            </w:tcBorders>
            <w:shd w:val="clear" w:color="auto" w:fill="auto"/>
            <w:vAlign w:val="center"/>
          </w:tcPr>
          <w:p w14:paraId="66802194"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983" w:type="dxa"/>
            <w:gridSpan w:val="5"/>
            <w:tcBorders>
              <w:top w:val="single" w:sz="2" w:space="0" w:color="1F4E79" w:themeColor="accent1" w:themeShade="80"/>
              <w:bottom w:val="single" w:sz="2" w:space="0" w:color="1F4E79" w:themeColor="accent1" w:themeShade="80"/>
            </w:tcBorders>
            <w:vAlign w:val="center"/>
          </w:tcPr>
          <w:p w14:paraId="5C9509D9"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C27294">
              <w:rPr>
                <w:rFonts w:cs="Arial"/>
                <w:sz w:val="14"/>
                <w:szCs w:val="18"/>
              </w:rPr>
              <w:t>Consolidated</w:t>
            </w:r>
          </w:p>
        </w:tc>
      </w:tr>
      <w:tr w:rsidR="00991E72" w:rsidRPr="001D6BE8" w14:paraId="325DC942" w14:textId="77777777" w:rsidTr="00991E72">
        <w:trPr>
          <w:cnfStyle w:val="000000100000" w:firstRow="0" w:lastRow="0" w:firstColumn="0" w:lastColumn="0" w:oddVBand="0" w:evenVBand="0" w:oddHBand="1" w:evenHBand="0" w:firstRowFirstColumn="0" w:firstRowLastColumn="0" w:lastRowFirstColumn="0" w:lastRowLastColumn="0"/>
          <w:trHeight w:hRule="exact" w:val="681"/>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2" w:space="0" w:color="1F4E79" w:themeColor="accent1" w:themeShade="80"/>
            </w:tcBorders>
            <w:shd w:val="clear" w:color="auto" w:fill="auto"/>
            <w:vAlign w:val="center"/>
          </w:tcPr>
          <w:p w14:paraId="29218DEC" w14:textId="77777777" w:rsidR="00991E72" w:rsidRPr="001D6BE8" w:rsidRDefault="00991E72" w:rsidP="00991E72">
            <w:pPr>
              <w:pStyle w:val="08-Tabelageral"/>
              <w:jc w:val="left"/>
              <w:rPr>
                <w:rFonts w:cs="Arial"/>
                <w:b w:val="0"/>
              </w:rPr>
            </w:pPr>
          </w:p>
        </w:tc>
        <w:tc>
          <w:tcPr>
            <w:tcW w:w="702" w:type="dxa"/>
            <w:tcBorders>
              <w:top w:val="nil"/>
              <w:bottom w:val="single" w:sz="2" w:space="0" w:color="1F4E79" w:themeColor="accent1" w:themeShade="80"/>
            </w:tcBorders>
            <w:shd w:val="clear" w:color="auto" w:fill="auto"/>
            <w:vAlign w:val="center"/>
          </w:tcPr>
          <w:p w14:paraId="074E58D3" w14:textId="77777777" w:rsidR="00991E72" w:rsidRPr="001D6BE8"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123" w:type="dxa"/>
            <w:tcBorders>
              <w:top w:val="single" w:sz="2" w:space="0" w:color="1F4E79" w:themeColor="accent1" w:themeShade="80"/>
              <w:bottom w:val="single" w:sz="2" w:space="0" w:color="1F4E79" w:themeColor="accent1" w:themeShade="80"/>
            </w:tcBorders>
            <w:shd w:val="clear" w:color="auto" w:fill="auto"/>
            <w:vAlign w:val="center"/>
          </w:tcPr>
          <w:p w14:paraId="63B25212"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0437F">
              <w:rPr>
                <w:rFonts w:cs="Arial"/>
                <w:b/>
              </w:rPr>
              <w:t>Mar 31, 202</w:t>
            </w:r>
            <w:r>
              <w:rPr>
                <w:rFonts w:cs="Arial"/>
                <w:b/>
              </w:rPr>
              <w:t>3</w:t>
            </w:r>
          </w:p>
        </w:tc>
        <w:tc>
          <w:tcPr>
            <w:tcW w:w="1172" w:type="dxa"/>
            <w:tcBorders>
              <w:top w:val="single" w:sz="2" w:space="0" w:color="1F4E79" w:themeColor="accent1" w:themeShade="80"/>
              <w:bottom w:val="single" w:sz="2" w:space="0" w:color="1F4E79" w:themeColor="accent1" w:themeShade="80"/>
            </w:tcBorders>
            <w:shd w:val="clear" w:color="auto" w:fill="auto"/>
            <w:vAlign w:val="center"/>
          </w:tcPr>
          <w:p w14:paraId="4B0357F4"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0437F">
              <w:rPr>
                <w:rFonts w:cs="Arial"/>
                <w:b/>
              </w:rPr>
              <w:t>Dec 31, 202</w:t>
            </w:r>
            <w:r>
              <w:rPr>
                <w:rFonts w:cs="Arial"/>
                <w:b/>
              </w:rPr>
              <w:t>2</w:t>
            </w:r>
          </w:p>
          <w:p w14:paraId="5A51F631"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c>
          <w:tcPr>
            <w:tcW w:w="1041" w:type="dxa"/>
            <w:gridSpan w:val="3"/>
            <w:tcBorders>
              <w:top w:val="single" w:sz="2" w:space="0" w:color="1F4E79" w:themeColor="accent1" w:themeShade="80"/>
              <w:bottom w:val="single" w:sz="2" w:space="0" w:color="1F4E79" w:themeColor="accent1" w:themeShade="80"/>
            </w:tcBorders>
            <w:shd w:val="clear" w:color="auto" w:fill="auto"/>
            <w:vAlign w:val="center"/>
          </w:tcPr>
          <w:p w14:paraId="155EABBE"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Jan</w:t>
            </w:r>
            <w:r w:rsidRPr="00B50260">
              <w:rPr>
                <w:rFonts w:cs="Arial"/>
                <w:b/>
              </w:rPr>
              <w:t xml:space="preserve"> </w:t>
            </w:r>
            <w:r>
              <w:rPr>
                <w:rFonts w:cs="Arial"/>
                <w:b/>
              </w:rPr>
              <w:t>0</w:t>
            </w:r>
            <w:r w:rsidRPr="00B50260">
              <w:rPr>
                <w:rFonts w:cs="Arial"/>
                <w:b/>
              </w:rPr>
              <w:t>1, 2022</w:t>
            </w:r>
            <w:r w:rsidRPr="00B50260">
              <w:rPr>
                <w:rFonts w:cs="Arial"/>
                <w:b/>
                <w:highlight w:val="yellow"/>
              </w:rPr>
              <w:t xml:space="preserve"> </w:t>
            </w:r>
            <w:r w:rsidRPr="0035405F">
              <w:rPr>
                <w:rFonts w:cs="Arial"/>
                <w:b/>
              </w:rPr>
              <w:t>(opening balance)</w:t>
            </w:r>
          </w:p>
        </w:tc>
        <w:tc>
          <w:tcPr>
            <w:tcW w:w="240" w:type="dxa"/>
            <w:tcBorders>
              <w:top w:val="nil"/>
              <w:bottom w:val="nil"/>
            </w:tcBorders>
            <w:shd w:val="clear" w:color="auto" w:fill="auto"/>
            <w:vAlign w:val="center"/>
          </w:tcPr>
          <w:p w14:paraId="6BEF47C0"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20" w:type="dxa"/>
            <w:gridSpan w:val="2"/>
            <w:tcBorders>
              <w:top w:val="single" w:sz="2" w:space="0" w:color="1F4E79" w:themeColor="accent1" w:themeShade="80"/>
              <w:bottom w:val="single" w:sz="2" w:space="0" w:color="1F4E79" w:themeColor="accent1" w:themeShade="80"/>
            </w:tcBorders>
            <w:shd w:val="clear" w:color="auto" w:fill="auto"/>
            <w:vAlign w:val="center"/>
          </w:tcPr>
          <w:p w14:paraId="55A085A3"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0437F">
              <w:rPr>
                <w:rFonts w:cs="Arial"/>
                <w:b/>
              </w:rPr>
              <w:t>Mar 31, 202</w:t>
            </w:r>
            <w:r>
              <w:rPr>
                <w:rFonts w:cs="Arial"/>
                <w:b/>
              </w:rPr>
              <w:t>3</w:t>
            </w:r>
          </w:p>
        </w:tc>
        <w:tc>
          <w:tcPr>
            <w:tcW w:w="1099" w:type="dxa"/>
            <w:gridSpan w:val="2"/>
            <w:tcBorders>
              <w:top w:val="single" w:sz="2" w:space="0" w:color="1F4E79" w:themeColor="accent1" w:themeShade="80"/>
              <w:bottom w:val="single" w:sz="2" w:space="0" w:color="1F4E79" w:themeColor="accent1" w:themeShade="80"/>
            </w:tcBorders>
            <w:shd w:val="clear" w:color="auto" w:fill="auto"/>
            <w:vAlign w:val="center"/>
          </w:tcPr>
          <w:p w14:paraId="0A33A5D8"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0437F">
              <w:rPr>
                <w:rFonts w:cs="Arial"/>
                <w:b/>
              </w:rPr>
              <w:t>Dec 31, 202</w:t>
            </w:r>
            <w:r>
              <w:rPr>
                <w:rFonts w:cs="Arial"/>
                <w:b/>
              </w:rPr>
              <w:t>2</w:t>
            </w:r>
            <w:r w:rsidRPr="0040437F">
              <w:rPr>
                <w:rFonts w:cs="Arial"/>
                <w:b/>
              </w:rPr>
              <w:t xml:space="preserve"> </w:t>
            </w:r>
          </w:p>
          <w:p w14:paraId="7A6E0AF5"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c>
          <w:tcPr>
            <w:tcW w:w="1042" w:type="dxa"/>
            <w:gridSpan w:val="2"/>
            <w:tcBorders>
              <w:top w:val="single" w:sz="2" w:space="0" w:color="1F4E79" w:themeColor="accent1" w:themeShade="80"/>
              <w:bottom w:val="single" w:sz="2" w:space="0" w:color="1F4E79" w:themeColor="accent1" w:themeShade="80"/>
            </w:tcBorders>
            <w:shd w:val="clear" w:color="auto" w:fill="auto"/>
            <w:vAlign w:val="center"/>
          </w:tcPr>
          <w:p w14:paraId="6AA761BF"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Jan</w:t>
            </w:r>
            <w:r w:rsidRPr="00B50260">
              <w:rPr>
                <w:rFonts w:cs="Arial"/>
                <w:b/>
              </w:rPr>
              <w:t xml:space="preserve"> 01, 2022 (opening </w:t>
            </w:r>
            <w:r>
              <w:rPr>
                <w:rFonts w:cs="Arial"/>
                <w:b/>
              </w:rPr>
              <w:t>balance</w:t>
            </w:r>
            <w:r w:rsidRPr="00B50260">
              <w:rPr>
                <w:rFonts w:cs="Arial"/>
                <w:b/>
              </w:rPr>
              <w:t>)</w:t>
            </w:r>
          </w:p>
        </w:tc>
      </w:tr>
      <w:tr w:rsidR="00991E72" w:rsidRPr="001D6BE8" w14:paraId="066E6630"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2" w:space="0" w:color="1F4E79" w:themeColor="accent1" w:themeShade="80"/>
              <w:bottom w:val="nil"/>
            </w:tcBorders>
            <w:shd w:val="clear" w:color="auto" w:fill="auto"/>
            <w:vAlign w:val="center"/>
          </w:tcPr>
          <w:p w14:paraId="52FEBFE4" w14:textId="77777777" w:rsidR="00991E72" w:rsidRPr="00CD3714" w:rsidRDefault="00991E72" w:rsidP="00991E72">
            <w:pPr>
              <w:pStyle w:val="08-Tabelageral"/>
              <w:jc w:val="left"/>
              <w:rPr>
                <w:rFonts w:cs="Arial"/>
                <w:szCs w:val="14"/>
              </w:rPr>
            </w:pPr>
            <w:r w:rsidRPr="00C27294">
              <w:rPr>
                <w:rFonts w:cs="Arial"/>
                <w:szCs w:val="14"/>
              </w:rPr>
              <w:t>Current Assets</w:t>
            </w:r>
          </w:p>
        </w:tc>
        <w:tc>
          <w:tcPr>
            <w:tcW w:w="702" w:type="dxa"/>
            <w:tcBorders>
              <w:top w:val="single" w:sz="2" w:space="0" w:color="1F4E79" w:themeColor="accent1" w:themeShade="80"/>
              <w:bottom w:val="nil"/>
            </w:tcBorders>
            <w:shd w:val="clear" w:color="auto" w:fill="auto"/>
            <w:vAlign w:val="center"/>
          </w:tcPr>
          <w:p w14:paraId="121482A5" w14:textId="77777777" w:rsidR="00991E72" w:rsidRPr="006B5975"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23" w:type="dxa"/>
            <w:tcBorders>
              <w:top w:val="nil"/>
              <w:left w:val="nil"/>
              <w:bottom w:val="nil"/>
              <w:right w:val="nil"/>
            </w:tcBorders>
            <w:shd w:val="clear" w:color="auto" w:fill="auto"/>
            <w:vAlign w:val="center"/>
          </w:tcPr>
          <w:p w14:paraId="37E4AE3D" w14:textId="77777777" w:rsidR="00991E72" w:rsidRPr="005808D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77,959</w:t>
            </w:r>
          </w:p>
        </w:tc>
        <w:tc>
          <w:tcPr>
            <w:tcW w:w="1172" w:type="dxa"/>
            <w:tcBorders>
              <w:top w:val="nil"/>
              <w:left w:val="nil"/>
              <w:bottom w:val="nil"/>
              <w:right w:val="nil"/>
            </w:tcBorders>
            <w:shd w:val="clear" w:color="auto" w:fill="auto"/>
            <w:vAlign w:val="center"/>
          </w:tcPr>
          <w:p w14:paraId="5AFD19C6" w14:textId="77777777" w:rsidR="00991E72" w:rsidRPr="005904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AA591E">
              <w:rPr>
                <w:rFonts w:cs="Arial"/>
                <w:b/>
                <w:szCs w:val="14"/>
              </w:rPr>
              <w:t>3</w:t>
            </w:r>
            <w:r>
              <w:rPr>
                <w:rFonts w:cs="Arial"/>
                <w:b/>
                <w:szCs w:val="14"/>
              </w:rPr>
              <w:t>,</w:t>
            </w:r>
            <w:r w:rsidRPr="00AA591E">
              <w:rPr>
                <w:rFonts w:cs="Arial"/>
                <w:b/>
                <w:szCs w:val="14"/>
              </w:rPr>
              <w:t>768</w:t>
            </w:r>
            <w:r>
              <w:rPr>
                <w:rFonts w:cs="Arial"/>
                <w:b/>
                <w:szCs w:val="14"/>
              </w:rPr>
              <w:t>,</w:t>
            </w:r>
            <w:r w:rsidRPr="00AA591E">
              <w:rPr>
                <w:rFonts w:cs="Arial"/>
                <w:b/>
                <w:szCs w:val="14"/>
              </w:rPr>
              <w:t>306</w:t>
            </w:r>
          </w:p>
        </w:tc>
        <w:tc>
          <w:tcPr>
            <w:tcW w:w="995" w:type="dxa"/>
            <w:gridSpan w:val="2"/>
            <w:tcBorders>
              <w:top w:val="single" w:sz="2" w:space="0" w:color="1F4E79" w:themeColor="accent1" w:themeShade="80"/>
              <w:bottom w:val="nil"/>
            </w:tcBorders>
            <w:shd w:val="clear" w:color="auto" w:fill="auto"/>
            <w:vAlign w:val="center"/>
          </w:tcPr>
          <w:p w14:paraId="3AD2A2F0" w14:textId="77777777" w:rsidR="00991E72" w:rsidRPr="005808D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szCs w:val="14"/>
              </w:rPr>
              <w:t>1</w:t>
            </w:r>
            <w:r>
              <w:rPr>
                <w:rFonts w:cs="Arial"/>
                <w:b/>
                <w:szCs w:val="14"/>
              </w:rPr>
              <w:t>,</w:t>
            </w:r>
            <w:r w:rsidRPr="00590483">
              <w:rPr>
                <w:rFonts w:cs="Arial"/>
                <w:b/>
                <w:szCs w:val="14"/>
              </w:rPr>
              <w:t>956</w:t>
            </w:r>
            <w:r>
              <w:rPr>
                <w:rFonts w:cs="Arial"/>
                <w:b/>
                <w:szCs w:val="14"/>
              </w:rPr>
              <w:t>,</w:t>
            </w:r>
            <w:r w:rsidRPr="00590483">
              <w:rPr>
                <w:rFonts w:cs="Arial"/>
                <w:b/>
                <w:szCs w:val="14"/>
              </w:rPr>
              <w:t>417</w:t>
            </w:r>
          </w:p>
        </w:tc>
        <w:tc>
          <w:tcPr>
            <w:tcW w:w="286" w:type="dxa"/>
            <w:gridSpan w:val="2"/>
            <w:tcBorders>
              <w:top w:val="nil"/>
              <w:bottom w:val="nil"/>
            </w:tcBorders>
            <w:shd w:val="clear" w:color="auto" w:fill="auto"/>
            <w:vAlign w:val="center"/>
          </w:tcPr>
          <w:p w14:paraId="3DC19B24" w14:textId="77777777" w:rsidR="00991E72" w:rsidRPr="005808D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6" w:type="dxa"/>
            <w:gridSpan w:val="3"/>
            <w:tcBorders>
              <w:top w:val="nil"/>
              <w:left w:val="nil"/>
              <w:bottom w:val="nil"/>
              <w:right w:val="nil"/>
            </w:tcBorders>
            <w:shd w:val="clear" w:color="auto" w:fill="auto"/>
            <w:vAlign w:val="center"/>
          </w:tcPr>
          <w:p w14:paraId="476998A2" w14:textId="77777777" w:rsidR="00991E72" w:rsidRPr="005808D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3,915,032</w:t>
            </w:r>
          </w:p>
        </w:tc>
        <w:tc>
          <w:tcPr>
            <w:tcW w:w="992" w:type="dxa"/>
            <w:gridSpan w:val="2"/>
            <w:tcBorders>
              <w:top w:val="nil"/>
              <w:left w:val="nil"/>
              <w:bottom w:val="nil"/>
              <w:right w:val="nil"/>
            </w:tcBorders>
            <w:shd w:val="clear" w:color="auto" w:fill="auto"/>
            <w:vAlign w:val="center"/>
          </w:tcPr>
          <w:p w14:paraId="39114F8D" w14:textId="77777777" w:rsidR="00991E72" w:rsidRPr="005904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B63432">
              <w:rPr>
                <w:rFonts w:cs="Arial"/>
                <w:b/>
                <w:bCs/>
                <w:color w:val="000000"/>
                <w:szCs w:val="14"/>
              </w:rPr>
              <w:t>7</w:t>
            </w:r>
            <w:r>
              <w:rPr>
                <w:rFonts w:cs="Arial"/>
                <w:b/>
                <w:bCs/>
                <w:color w:val="000000"/>
                <w:szCs w:val="14"/>
              </w:rPr>
              <w:t>,</w:t>
            </w:r>
            <w:r w:rsidRPr="00B63432">
              <w:rPr>
                <w:rFonts w:cs="Arial"/>
                <w:b/>
                <w:bCs/>
                <w:color w:val="000000"/>
                <w:szCs w:val="14"/>
              </w:rPr>
              <w:t>221</w:t>
            </w:r>
            <w:r>
              <w:rPr>
                <w:rFonts w:cs="Arial"/>
                <w:b/>
                <w:bCs/>
                <w:color w:val="000000"/>
                <w:szCs w:val="14"/>
              </w:rPr>
              <w:t>,</w:t>
            </w:r>
            <w:r w:rsidRPr="00B63432">
              <w:rPr>
                <w:rFonts w:cs="Arial"/>
                <w:b/>
                <w:bCs/>
                <w:color w:val="000000"/>
                <w:szCs w:val="14"/>
              </w:rPr>
              <w:t>098</w:t>
            </w:r>
          </w:p>
        </w:tc>
        <w:tc>
          <w:tcPr>
            <w:tcW w:w="993" w:type="dxa"/>
            <w:tcBorders>
              <w:top w:val="single" w:sz="2" w:space="0" w:color="1F4E79" w:themeColor="accent1" w:themeShade="80"/>
              <w:bottom w:val="nil"/>
            </w:tcBorders>
            <w:shd w:val="clear" w:color="auto" w:fill="auto"/>
            <w:vAlign w:val="center"/>
          </w:tcPr>
          <w:p w14:paraId="68259FC0" w14:textId="77777777" w:rsidR="00991E72" w:rsidRPr="005808D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B63432">
              <w:rPr>
                <w:rFonts w:cs="Arial"/>
                <w:b/>
                <w:bCs/>
                <w:szCs w:val="14"/>
              </w:rPr>
              <w:t>5</w:t>
            </w:r>
            <w:r>
              <w:rPr>
                <w:rFonts w:cs="Arial"/>
                <w:b/>
                <w:bCs/>
                <w:szCs w:val="14"/>
              </w:rPr>
              <w:t>,</w:t>
            </w:r>
            <w:r w:rsidRPr="00B63432">
              <w:rPr>
                <w:rFonts w:cs="Arial"/>
                <w:b/>
                <w:bCs/>
                <w:szCs w:val="14"/>
              </w:rPr>
              <w:t>125</w:t>
            </w:r>
            <w:r>
              <w:rPr>
                <w:rFonts w:cs="Arial"/>
                <w:b/>
                <w:bCs/>
                <w:szCs w:val="14"/>
              </w:rPr>
              <w:t>,</w:t>
            </w:r>
            <w:r w:rsidRPr="00B63432">
              <w:rPr>
                <w:rFonts w:cs="Arial"/>
                <w:b/>
                <w:bCs/>
                <w:szCs w:val="14"/>
              </w:rPr>
              <w:t>631</w:t>
            </w:r>
          </w:p>
        </w:tc>
      </w:tr>
      <w:tr w:rsidR="00991E72" w:rsidRPr="001D6BE8" w14:paraId="1BCA9FF0"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54530652" w14:textId="77777777" w:rsidR="00991E72" w:rsidRPr="0038031F" w:rsidRDefault="00991E72" w:rsidP="00991E72">
            <w:pPr>
              <w:pStyle w:val="08-Tabelageral"/>
              <w:ind w:left="113"/>
              <w:jc w:val="left"/>
              <w:rPr>
                <w:rFonts w:cs="Arial"/>
                <w:b w:val="0"/>
                <w:szCs w:val="14"/>
              </w:rPr>
            </w:pPr>
            <w:r w:rsidRPr="00C27294">
              <w:rPr>
                <w:rFonts w:cs="Arial"/>
                <w:b w:val="0"/>
                <w:szCs w:val="14"/>
              </w:rPr>
              <w:t>Cash and cash equivalents</w:t>
            </w:r>
          </w:p>
        </w:tc>
        <w:tc>
          <w:tcPr>
            <w:tcW w:w="702" w:type="dxa"/>
            <w:tcBorders>
              <w:top w:val="nil"/>
              <w:bottom w:val="nil"/>
            </w:tcBorders>
            <w:shd w:val="clear" w:color="auto" w:fill="auto"/>
            <w:vAlign w:val="center"/>
          </w:tcPr>
          <w:p w14:paraId="10264B30"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031868">
              <w:t>[15]</w:t>
            </w:r>
          </w:p>
        </w:tc>
        <w:tc>
          <w:tcPr>
            <w:tcW w:w="1123" w:type="dxa"/>
            <w:tcBorders>
              <w:top w:val="nil"/>
              <w:left w:val="nil"/>
              <w:bottom w:val="nil"/>
              <w:right w:val="nil"/>
            </w:tcBorders>
            <w:shd w:val="clear" w:color="auto" w:fill="auto"/>
            <w:vAlign w:val="center"/>
          </w:tcPr>
          <w:p w14:paraId="281F2A49" w14:textId="77777777" w:rsidR="00991E72" w:rsidRPr="00350BA7"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48,679</w:t>
            </w:r>
          </w:p>
        </w:tc>
        <w:tc>
          <w:tcPr>
            <w:tcW w:w="1172" w:type="dxa"/>
            <w:tcBorders>
              <w:top w:val="nil"/>
              <w:left w:val="nil"/>
              <w:bottom w:val="nil"/>
              <w:right w:val="nil"/>
            </w:tcBorders>
            <w:shd w:val="clear" w:color="auto" w:fill="auto"/>
            <w:vAlign w:val="center"/>
          </w:tcPr>
          <w:p w14:paraId="4EA5EEB0" w14:textId="77777777" w:rsidR="00991E72" w:rsidRPr="005904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59</w:t>
            </w:r>
            <w:r>
              <w:rPr>
                <w:rFonts w:cs="Arial"/>
                <w:szCs w:val="14"/>
              </w:rPr>
              <w:t>,</w:t>
            </w:r>
            <w:r w:rsidRPr="00AA591E">
              <w:rPr>
                <w:rFonts w:cs="Arial"/>
                <w:szCs w:val="14"/>
              </w:rPr>
              <w:t>003</w:t>
            </w:r>
          </w:p>
        </w:tc>
        <w:tc>
          <w:tcPr>
            <w:tcW w:w="995" w:type="dxa"/>
            <w:gridSpan w:val="2"/>
            <w:tcBorders>
              <w:top w:val="nil"/>
              <w:bottom w:val="nil"/>
            </w:tcBorders>
            <w:shd w:val="clear" w:color="auto" w:fill="auto"/>
            <w:vAlign w:val="center"/>
          </w:tcPr>
          <w:p w14:paraId="4EC2AA4E"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369</w:t>
            </w:r>
            <w:r>
              <w:rPr>
                <w:rFonts w:cs="Arial"/>
                <w:szCs w:val="14"/>
              </w:rPr>
              <w:t>,</w:t>
            </w:r>
            <w:r w:rsidRPr="00590483">
              <w:rPr>
                <w:rFonts w:cs="Arial"/>
                <w:szCs w:val="14"/>
              </w:rPr>
              <w:t>342</w:t>
            </w:r>
          </w:p>
        </w:tc>
        <w:tc>
          <w:tcPr>
            <w:tcW w:w="286" w:type="dxa"/>
            <w:gridSpan w:val="2"/>
            <w:tcBorders>
              <w:top w:val="nil"/>
              <w:bottom w:val="nil"/>
            </w:tcBorders>
            <w:shd w:val="clear" w:color="auto" w:fill="auto"/>
            <w:vAlign w:val="center"/>
          </w:tcPr>
          <w:p w14:paraId="1D0C6068" w14:textId="77777777" w:rsidR="00991E72" w:rsidRPr="00350BA7"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7EDB4919" w14:textId="77777777" w:rsidR="00991E72" w:rsidRPr="00350BA7"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2,814,754</w:t>
            </w:r>
          </w:p>
        </w:tc>
        <w:tc>
          <w:tcPr>
            <w:tcW w:w="992" w:type="dxa"/>
            <w:gridSpan w:val="2"/>
            <w:tcBorders>
              <w:top w:val="nil"/>
              <w:left w:val="nil"/>
              <w:bottom w:val="nil"/>
              <w:right w:val="nil"/>
            </w:tcBorders>
            <w:shd w:val="clear" w:color="auto" w:fill="auto"/>
            <w:vAlign w:val="center"/>
          </w:tcPr>
          <w:p w14:paraId="3D9043AF" w14:textId="77777777" w:rsidR="00991E72" w:rsidRPr="005904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63432">
              <w:rPr>
                <w:rFonts w:cs="Arial"/>
                <w:color w:val="000000"/>
                <w:szCs w:val="14"/>
              </w:rPr>
              <w:t>6</w:t>
            </w:r>
            <w:r>
              <w:rPr>
                <w:rFonts w:cs="Arial"/>
                <w:color w:val="000000"/>
                <w:szCs w:val="14"/>
              </w:rPr>
              <w:t>,</w:t>
            </w:r>
            <w:r w:rsidRPr="00B63432">
              <w:rPr>
                <w:rFonts w:cs="Arial"/>
                <w:color w:val="000000"/>
                <w:szCs w:val="14"/>
              </w:rPr>
              <w:t>076</w:t>
            </w:r>
            <w:r>
              <w:rPr>
                <w:rFonts w:cs="Arial"/>
                <w:color w:val="000000"/>
                <w:szCs w:val="14"/>
              </w:rPr>
              <w:t>,</w:t>
            </w:r>
            <w:r w:rsidRPr="00B63432">
              <w:rPr>
                <w:rFonts w:cs="Arial"/>
                <w:color w:val="000000"/>
                <w:szCs w:val="14"/>
              </w:rPr>
              <w:t>618</w:t>
            </w:r>
          </w:p>
        </w:tc>
        <w:tc>
          <w:tcPr>
            <w:tcW w:w="993" w:type="dxa"/>
            <w:tcBorders>
              <w:top w:val="nil"/>
              <w:bottom w:val="nil"/>
            </w:tcBorders>
            <w:shd w:val="clear" w:color="auto" w:fill="auto"/>
            <w:vAlign w:val="center"/>
          </w:tcPr>
          <w:p w14:paraId="6281774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B63432">
              <w:rPr>
                <w:rFonts w:cs="Arial"/>
                <w:szCs w:val="14"/>
              </w:rPr>
              <w:t>4</w:t>
            </w:r>
            <w:r>
              <w:rPr>
                <w:rFonts w:cs="Arial"/>
                <w:szCs w:val="14"/>
              </w:rPr>
              <w:t>,</w:t>
            </w:r>
            <w:r w:rsidRPr="00B63432">
              <w:rPr>
                <w:rFonts w:cs="Arial"/>
                <w:szCs w:val="14"/>
              </w:rPr>
              <w:t>090</w:t>
            </w:r>
            <w:r>
              <w:rPr>
                <w:rFonts w:cs="Arial"/>
                <w:szCs w:val="14"/>
              </w:rPr>
              <w:t>,</w:t>
            </w:r>
            <w:r w:rsidRPr="00B63432">
              <w:rPr>
                <w:rFonts w:cs="Arial"/>
                <w:szCs w:val="14"/>
              </w:rPr>
              <w:t>561</w:t>
            </w:r>
          </w:p>
        </w:tc>
      </w:tr>
      <w:tr w:rsidR="00991E72" w:rsidRPr="001D6BE8" w14:paraId="65A0EC9C"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4766814B" w14:textId="77777777" w:rsidR="00991E72" w:rsidRPr="00BD6C7E" w:rsidRDefault="00991E72" w:rsidP="00991E72">
            <w:pPr>
              <w:pStyle w:val="08-Tabelageral"/>
              <w:ind w:left="113"/>
              <w:jc w:val="left"/>
              <w:rPr>
                <w:rFonts w:cs="Arial"/>
                <w:b w:val="0"/>
                <w:szCs w:val="14"/>
                <w:lang w:val="en-US"/>
              </w:rPr>
            </w:pPr>
            <w:r w:rsidRPr="00BD6C7E">
              <w:rPr>
                <w:rFonts w:cs="Arial"/>
                <w:b w:val="0"/>
                <w:szCs w:val="14"/>
                <w:lang w:val="en-US"/>
              </w:rPr>
              <w:t>Dividends/interest on equity receivable</w:t>
            </w:r>
          </w:p>
        </w:tc>
        <w:tc>
          <w:tcPr>
            <w:tcW w:w="702" w:type="dxa"/>
            <w:tcBorders>
              <w:top w:val="nil"/>
              <w:bottom w:val="nil"/>
            </w:tcBorders>
            <w:shd w:val="clear" w:color="auto" w:fill="auto"/>
            <w:vAlign w:val="center"/>
          </w:tcPr>
          <w:p w14:paraId="427B028C"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031868">
              <w:t>[17]</w:t>
            </w:r>
          </w:p>
        </w:tc>
        <w:tc>
          <w:tcPr>
            <w:tcW w:w="1123" w:type="dxa"/>
            <w:tcBorders>
              <w:top w:val="nil"/>
              <w:left w:val="nil"/>
              <w:bottom w:val="nil"/>
              <w:right w:val="nil"/>
            </w:tcBorders>
            <w:shd w:val="clear" w:color="auto" w:fill="auto"/>
            <w:vAlign w:val="center"/>
          </w:tcPr>
          <w:p w14:paraId="041D88B5"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72" w:type="dxa"/>
            <w:tcBorders>
              <w:top w:val="nil"/>
              <w:left w:val="nil"/>
              <w:bottom w:val="nil"/>
              <w:right w:val="nil"/>
            </w:tcBorders>
            <w:shd w:val="clear" w:color="auto" w:fill="auto"/>
            <w:vAlign w:val="center"/>
          </w:tcPr>
          <w:p w14:paraId="7C12450B" w14:textId="77777777" w:rsidR="00991E72" w:rsidRPr="005904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3</w:t>
            </w:r>
            <w:r>
              <w:rPr>
                <w:rFonts w:cs="Arial"/>
                <w:szCs w:val="14"/>
              </w:rPr>
              <w:t>,</w:t>
            </w:r>
            <w:r w:rsidRPr="00AA591E">
              <w:rPr>
                <w:rFonts w:cs="Arial"/>
                <w:szCs w:val="14"/>
              </w:rPr>
              <w:t>683</w:t>
            </w:r>
            <w:r>
              <w:rPr>
                <w:rFonts w:cs="Arial"/>
                <w:szCs w:val="14"/>
              </w:rPr>
              <w:t>,</w:t>
            </w:r>
            <w:r w:rsidRPr="00AA591E">
              <w:rPr>
                <w:rFonts w:cs="Arial"/>
                <w:szCs w:val="14"/>
              </w:rPr>
              <w:t>35</w:t>
            </w:r>
            <w:r>
              <w:rPr>
                <w:rFonts w:cs="Arial"/>
                <w:szCs w:val="14"/>
              </w:rPr>
              <w:t>6</w:t>
            </w:r>
          </w:p>
        </w:tc>
        <w:tc>
          <w:tcPr>
            <w:tcW w:w="995" w:type="dxa"/>
            <w:gridSpan w:val="2"/>
            <w:tcBorders>
              <w:top w:val="nil"/>
              <w:bottom w:val="nil"/>
            </w:tcBorders>
            <w:shd w:val="clear" w:color="auto" w:fill="auto"/>
            <w:vAlign w:val="center"/>
          </w:tcPr>
          <w:p w14:paraId="63EFA729"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572</w:t>
            </w:r>
            <w:r>
              <w:rPr>
                <w:rFonts w:cs="Arial"/>
                <w:szCs w:val="14"/>
              </w:rPr>
              <w:t>,</w:t>
            </w:r>
            <w:r w:rsidRPr="00590483">
              <w:rPr>
                <w:rFonts w:cs="Arial"/>
                <w:szCs w:val="14"/>
              </w:rPr>
              <w:t>428</w:t>
            </w:r>
          </w:p>
        </w:tc>
        <w:tc>
          <w:tcPr>
            <w:tcW w:w="286" w:type="dxa"/>
            <w:gridSpan w:val="2"/>
            <w:tcBorders>
              <w:top w:val="nil"/>
              <w:bottom w:val="nil"/>
            </w:tcBorders>
            <w:shd w:val="clear" w:color="auto" w:fill="auto"/>
            <w:vAlign w:val="center"/>
          </w:tcPr>
          <w:p w14:paraId="7BECCCF2"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467F662F"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w:t>
            </w:r>
          </w:p>
        </w:tc>
        <w:tc>
          <w:tcPr>
            <w:tcW w:w="992" w:type="dxa"/>
            <w:gridSpan w:val="2"/>
            <w:tcBorders>
              <w:top w:val="nil"/>
              <w:bottom w:val="nil"/>
            </w:tcBorders>
            <w:shd w:val="clear" w:color="auto" w:fill="auto"/>
            <w:vAlign w:val="center"/>
          </w:tcPr>
          <w:p w14:paraId="20800619" w14:textId="77777777" w:rsidR="00991E72" w:rsidRPr="005904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B63432">
              <w:rPr>
                <w:rFonts w:cs="Arial"/>
                <w:szCs w:val="14"/>
              </w:rPr>
              <w:t>13</w:t>
            </w:r>
            <w:r>
              <w:rPr>
                <w:rFonts w:cs="Arial"/>
                <w:szCs w:val="14"/>
              </w:rPr>
              <w:t>,</w:t>
            </w:r>
            <w:r w:rsidRPr="00B63432">
              <w:rPr>
                <w:rFonts w:cs="Arial"/>
                <w:szCs w:val="14"/>
              </w:rPr>
              <w:t>519</w:t>
            </w:r>
          </w:p>
        </w:tc>
        <w:tc>
          <w:tcPr>
            <w:tcW w:w="993" w:type="dxa"/>
            <w:tcBorders>
              <w:top w:val="nil"/>
              <w:bottom w:val="nil"/>
            </w:tcBorders>
            <w:shd w:val="clear" w:color="auto" w:fill="auto"/>
            <w:vAlign w:val="center"/>
          </w:tcPr>
          <w:p w14:paraId="6A76AB92"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B63432">
              <w:rPr>
                <w:rFonts w:cs="Arial"/>
                <w:szCs w:val="14"/>
              </w:rPr>
              <w:t>1</w:t>
            </w:r>
            <w:r>
              <w:rPr>
                <w:rFonts w:cs="Arial"/>
                <w:szCs w:val="14"/>
              </w:rPr>
              <w:t>,</w:t>
            </w:r>
            <w:r w:rsidRPr="00B63432">
              <w:rPr>
                <w:rFonts w:cs="Arial"/>
                <w:szCs w:val="14"/>
              </w:rPr>
              <w:t>648</w:t>
            </w:r>
          </w:p>
        </w:tc>
      </w:tr>
      <w:tr w:rsidR="00991E72" w:rsidRPr="001D6BE8" w14:paraId="28BCE0C1"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69A1FE14" w14:textId="77777777" w:rsidR="00991E72" w:rsidRPr="00C27294" w:rsidRDefault="00991E72" w:rsidP="00991E72">
            <w:pPr>
              <w:pStyle w:val="08-Tabelageral"/>
              <w:ind w:left="113"/>
              <w:jc w:val="left"/>
              <w:rPr>
                <w:rFonts w:cs="Arial"/>
                <w:szCs w:val="14"/>
              </w:rPr>
            </w:pPr>
            <w:r w:rsidRPr="002E2354">
              <w:rPr>
                <w:b w:val="0"/>
                <w:bCs w:val="0"/>
              </w:rPr>
              <w:t>Current tax assets</w:t>
            </w:r>
          </w:p>
        </w:tc>
        <w:tc>
          <w:tcPr>
            <w:tcW w:w="702" w:type="dxa"/>
            <w:tcBorders>
              <w:top w:val="nil"/>
              <w:bottom w:val="nil"/>
            </w:tcBorders>
            <w:shd w:val="clear" w:color="auto" w:fill="auto"/>
            <w:vAlign w:val="center"/>
          </w:tcPr>
          <w:p w14:paraId="069D2434" w14:textId="77777777" w:rsidR="00991E72" w:rsidRPr="00031868"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23" w:type="dxa"/>
            <w:tcBorders>
              <w:top w:val="nil"/>
              <w:left w:val="nil"/>
              <w:bottom w:val="nil"/>
              <w:right w:val="nil"/>
            </w:tcBorders>
            <w:shd w:val="clear" w:color="auto" w:fill="auto"/>
            <w:vAlign w:val="center"/>
          </w:tcPr>
          <w:p w14:paraId="558297AF"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17,846</w:t>
            </w:r>
          </w:p>
        </w:tc>
        <w:tc>
          <w:tcPr>
            <w:tcW w:w="1172" w:type="dxa"/>
            <w:tcBorders>
              <w:top w:val="nil"/>
              <w:left w:val="nil"/>
              <w:bottom w:val="nil"/>
              <w:right w:val="nil"/>
            </w:tcBorders>
            <w:shd w:val="clear" w:color="auto" w:fill="auto"/>
            <w:vAlign w:val="center"/>
          </w:tcPr>
          <w:p w14:paraId="0E0208A4" w14:textId="77777777" w:rsidR="00991E72" w:rsidRPr="005904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16</w:t>
            </w:r>
            <w:r>
              <w:rPr>
                <w:rFonts w:cs="Arial"/>
                <w:szCs w:val="14"/>
              </w:rPr>
              <w:t>,</w:t>
            </w:r>
            <w:r w:rsidRPr="00AA591E">
              <w:rPr>
                <w:rFonts w:cs="Arial"/>
                <w:szCs w:val="14"/>
              </w:rPr>
              <w:t>131</w:t>
            </w:r>
          </w:p>
        </w:tc>
        <w:tc>
          <w:tcPr>
            <w:tcW w:w="995" w:type="dxa"/>
            <w:gridSpan w:val="2"/>
            <w:tcBorders>
              <w:top w:val="nil"/>
              <w:bottom w:val="nil"/>
            </w:tcBorders>
            <w:shd w:val="clear" w:color="auto" w:fill="auto"/>
            <w:vAlign w:val="center"/>
          </w:tcPr>
          <w:p w14:paraId="7F123CE9" w14:textId="77777777" w:rsidR="00991E72" w:rsidRPr="00243EAC"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c>
          <w:tcPr>
            <w:tcW w:w="286" w:type="dxa"/>
            <w:gridSpan w:val="2"/>
            <w:tcBorders>
              <w:top w:val="nil"/>
              <w:bottom w:val="nil"/>
            </w:tcBorders>
            <w:shd w:val="clear" w:color="auto" w:fill="auto"/>
            <w:vAlign w:val="center"/>
          </w:tcPr>
          <w:p w14:paraId="79B7C5D4"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1A2D5AB7"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40,265</w:t>
            </w:r>
          </w:p>
        </w:tc>
        <w:tc>
          <w:tcPr>
            <w:tcW w:w="992" w:type="dxa"/>
            <w:gridSpan w:val="2"/>
            <w:tcBorders>
              <w:top w:val="nil"/>
              <w:left w:val="nil"/>
              <w:bottom w:val="nil"/>
              <w:right w:val="nil"/>
            </w:tcBorders>
            <w:shd w:val="clear" w:color="auto" w:fill="auto"/>
            <w:vAlign w:val="center"/>
          </w:tcPr>
          <w:p w14:paraId="58FDEC54" w14:textId="77777777" w:rsidR="00991E72" w:rsidRPr="005904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16</w:t>
            </w:r>
            <w:r>
              <w:rPr>
                <w:rFonts w:cs="Arial"/>
                <w:szCs w:val="14"/>
              </w:rPr>
              <w:t>,</w:t>
            </w:r>
            <w:r w:rsidRPr="00090668">
              <w:rPr>
                <w:rFonts w:cs="Arial"/>
                <w:szCs w:val="14"/>
              </w:rPr>
              <w:t>131</w:t>
            </w:r>
          </w:p>
        </w:tc>
        <w:tc>
          <w:tcPr>
            <w:tcW w:w="993" w:type="dxa"/>
            <w:tcBorders>
              <w:top w:val="nil"/>
              <w:bottom w:val="nil"/>
            </w:tcBorders>
            <w:shd w:val="clear" w:color="auto" w:fill="auto"/>
            <w:vAlign w:val="center"/>
          </w:tcPr>
          <w:p w14:paraId="20604828" w14:textId="77777777" w:rsidR="00991E72" w:rsidRPr="00BA182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r>
      <w:tr w:rsidR="00991E72" w:rsidRPr="001D6BE8" w14:paraId="4755932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710704C2" w14:textId="77777777" w:rsidR="00991E72" w:rsidRPr="0038031F" w:rsidRDefault="00991E72" w:rsidP="00991E72">
            <w:pPr>
              <w:pStyle w:val="08-Tabelageral"/>
              <w:ind w:left="113"/>
              <w:jc w:val="left"/>
              <w:rPr>
                <w:rFonts w:cs="Arial"/>
                <w:b w:val="0"/>
                <w:szCs w:val="14"/>
              </w:rPr>
            </w:pPr>
            <w:r w:rsidRPr="00C27294">
              <w:rPr>
                <w:rFonts w:cs="Arial"/>
                <w:b w:val="0"/>
                <w:szCs w:val="14"/>
              </w:rPr>
              <w:t>Commissions receivable</w:t>
            </w:r>
          </w:p>
        </w:tc>
        <w:tc>
          <w:tcPr>
            <w:tcW w:w="702" w:type="dxa"/>
            <w:tcBorders>
              <w:top w:val="nil"/>
              <w:bottom w:val="nil"/>
            </w:tcBorders>
            <w:shd w:val="clear" w:color="auto" w:fill="auto"/>
            <w:vAlign w:val="center"/>
          </w:tcPr>
          <w:p w14:paraId="354E6C9B"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031868">
              <w:t>[18]</w:t>
            </w:r>
          </w:p>
        </w:tc>
        <w:tc>
          <w:tcPr>
            <w:tcW w:w="1123" w:type="dxa"/>
            <w:tcBorders>
              <w:top w:val="nil"/>
              <w:left w:val="nil"/>
              <w:bottom w:val="nil"/>
              <w:right w:val="nil"/>
            </w:tcBorders>
            <w:shd w:val="clear" w:color="auto" w:fill="auto"/>
            <w:vAlign w:val="center"/>
          </w:tcPr>
          <w:p w14:paraId="1CA93FF7"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72" w:type="dxa"/>
            <w:tcBorders>
              <w:top w:val="nil"/>
              <w:left w:val="nil"/>
              <w:bottom w:val="nil"/>
              <w:right w:val="nil"/>
            </w:tcBorders>
            <w:shd w:val="clear" w:color="auto" w:fill="auto"/>
            <w:vAlign w:val="center"/>
          </w:tcPr>
          <w:p w14:paraId="2407AF6A"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995" w:type="dxa"/>
            <w:gridSpan w:val="2"/>
            <w:tcBorders>
              <w:top w:val="nil"/>
              <w:bottom w:val="nil"/>
            </w:tcBorders>
            <w:shd w:val="clear" w:color="auto" w:fill="auto"/>
            <w:vAlign w:val="center"/>
          </w:tcPr>
          <w:p w14:paraId="55E13053"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6" w:type="dxa"/>
            <w:gridSpan w:val="2"/>
            <w:tcBorders>
              <w:top w:val="nil"/>
              <w:bottom w:val="nil"/>
            </w:tcBorders>
            <w:shd w:val="clear" w:color="auto" w:fill="auto"/>
            <w:vAlign w:val="center"/>
          </w:tcPr>
          <w:p w14:paraId="3B07D08C"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35D85005"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1,054,924</w:t>
            </w:r>
          </w:p>
        </w:tc>
        <w:tc>
          <w:tcPr>
            <w:tcW w:w="992" w:type="dxa"/>
            <w:gridSpan w:val="2"/>
            <w:tcBorders>
              <w:top w:val="nil"/>
              <w:left w:val="nil"/>
              <w:bottom w:val="nil"/>
              <w:right w:val="nil"/>
            </w:tcBorders>
            <w:shd w:val="clear" w:color="auto" w:fill="auto"/>
            <w:vAlign w:val="center"/>
          </w:tcPr>
          <w:p w14:paraId="46829C65" w14:textId="77777777" w:rsidR="00991E72" w:rsidRPr="005904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1</w:t>
            </w:r>
            <w:r>
              <w:rPr>
                <w:rFonts w:cs="Arial"/>
                <w:szCs w:val="14"/>
              </w:rPr>
              <w:t>,</w:t>
            </w:r>
            <w:r w:rsidRPr="00090668">
              <w:rPr>
                <w:rFonts w:cs="Arial"/>
                <w:szCs w:val="14"/>
              </w:rPr>
              <w:t>114</w:t>
            </w:r>
            <w:r>
              <w:rPr>
                <w:rFonts w:cs="Arial"/>
                <w:szCs w:val="14"/>
              </w:rPr>
              <w:t>,</w:t>
            </w:r>
            <w:r w:rsidRPr="00090668">
              <w:rPr>
                <w:rFonts w:cs="Arial"/>
                <w:szCs w:val="14"/>
              </w:rPr>
              <w:t>256</w:t>
            </w:r>
          </w:p>
        </w:tc>
        <w:tc>
          <w:tcPr>
            <w:tcW w:w="993" w:type="dxa"/>
            <w:tcBorders>
              <w:top w:val="nil"/>
              <w:bottom w:val="nil"/>
            </w:tcBorders>
            <w:shd w:val="clear" w:color="auto" w:fill="auto"/>
            <w:vAlign w:val="center"/>
          </w:tcPr>
          <w:p w14:paraId="1BB69A99"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026</w:t>
            </w:r>
            <w:r>
              <w:rPr>
                <w:rFonts w:cs="Arial"/>
                <w:szCs w:val="14"/>
              </w:rPr>
              <w:t>,</w:t>
            </w:r>
            <w:r w:rsidRPr="00590483">
              <w:rPr>
                <w:rFonts w:cs="Arial"/>
                <w:szCs w:val="14"/>
              </w:rPr>
              <w:t>158</w:t>
            </w:r>
          </w:p>
        </w:tc>
      </w:tr>
      <w:tr w:rsidR="00991E72" w:rsidRPr="001D6BE8" w14:paraId="66ACA252"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38FA57FE" w14:textId="77777777" w:rsidR="00991E72" w:rsidRPr="0038031F" w:rsidRDefault="00991E72" w:rsidP="00991E72">
            <w:pPr>
              <w:pStyle w:val="08-Tabelageral"/>
              <w:ind w:left="113"/>
              <w:jc w:val="left"/>
              <w:rPr>
                <w:rFonts w:cs="Arial"/>
                <w:b w:val="0"/>
                <w:szCs w:val="14"/>
              </w:rPr>
            </w:pPr>
            <w:r w:rsidRPr="00C27294">
              <w:rPr>
                <w:rFonts w:cs="Arial"/>
                <w:b w:val="0"/>
                <w:szCs w:val="14"/>
              </w:rPr>
              <w:t>Other assets</w:t>
            </w:r>
          </w:p>
        </w:tc>
        <w:tc>
          <w:tcPr>
            <w:tcW w:w="702" w:type="dxa"/>
            <w:tcBorders>
              <w:top w:val="nil"/>
              <w:bottom w:val="nil"/>
            </w:tcBorders>
            <w:shd w:val="clear" w:color="auto" w:fill="auto"/>
            <w:vAlign w:val="center"/>
          </w:tcPr>
          <w:p w14:paraId="770E808A"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031868">
              <w:t>[20]</w:t>
            </w:r>
          </w:p>
        </w:tc>
        <w:tc>
          <w:tcPr>
            <w:tcW w:w="1123" w:type="dxa"/>
            <w:tcBorders>
              <w:top w:val="nil"/>
              <w:left w:val="nil"/>
              <w:bottom w:val="nil"/>
              <w:right w:val="nil"/>
            </w:tcBorders>
            <w:shd w:val="clear" w:color="auto" w:fill="auto"/>
            <w:vAlign w:val="center"/>
          </w:tcPr>
          <w:p w14:paraId="0266231A" w14:textId="77777777" w:rsidR="00991E72" w:rsidRPr="00350BA7"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11,434</w:t>
            </w:r>
          </w:p>
        </w:tc>
        <w:tc>
          <w:tcPr>
            <w:tcW w:w="1172" w:type="dxa"/>
            <w:tcBorders>
              <w:top w:val="nil"/>
              <w:left w:val="nil"/>
              <w:bottom w:val="nil"/>
              <w:right w:val="nil"/>
            </w:tcBorders>
            <w:shd w:val="clear" w:color="auto" w:fill="auto"/>
            <w:vAlign w:val="center"/>
          </w:tcPr>
          <w:p w14:paraId="235D3E64" w14:textId="77777777" w:rsidR="00991E72" w:rsidRPr="005904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9</w:t>
            </w:r>
            <w:r>
              <w:rPr>
                <w:rFonts w:cs="Arial"/>
                <w:szCs w:val="14"/>
              </w:rPr>
              <w:t>,</w:t>
            </w:r>
            <w:r w:rsidRPr="00AA591E">
              <w:rPr>
                <w:rFonts w:cs="Arial"/>
                <w:szCs w:val="14"/>
              </w:rPr>
              <w:t>81</w:t>
            </w:r>
            <w:r>
              <w:rPr>
                <w:rFonts w:cs="Arial"/>
                <w:szCs w:val="14"/>
              </w:rPr>
              <w:t>6</w:t>
            </w:r>
          </w:p>
        </w:tc>
        <w:tc>
          <w:tcPr>
            <w:tcW w:w="995" w:type="dxa"/>
            <w:gridSpan w:val="2"/>
            <w:tcBorders>
              <w:top w:val="nil"/>
              <w:bottom w:val="nil"/>
            </w:tcBorders>
            <w:shd w:val="clear" w:color="auto" w:fill="auto"/>
            <w:vAlign w:val="center"/>
          </w:tcPr>
          <w:p w14:paraId="4B2F40AC"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12</w:t>
            </w:r>
            <w:r>
              <w:rPr>
                <w:rFonts w:cs="Arial"/>
                <w:szCs w:val="14"/>
              </w:rPr>
              <w:t>,</w:t>
            </w:r>
            <w:r w:rsidRPr="00590483">
              <w:rPr>
                <w:rFonts w:cs="Arial"/>
                <w:szCs w:val="14"/>
              </w:rPr>
              <w:t>719</w:t>
            </w:r>
          </w:p>
        </w:tc>
        <w:tc>
          <w:tcPr>
            <w:tcW w:w="286" w:type="dxa"/>
            <w:gridSpan w:val="2"/>
            <w:tcBorders>
              <w:top w:val="nil"/>
              <w:bottom w:val="nil"/>
            </w:tcBorders>
            <w:shd w:val="clear" w:color="auto" w:fill="auto"/>
            <w:vAlign w:val="center"/>
          </w:tcPr>
          <w:p w14:paraId="6ED0D5C2" w14:textId="77777777" w:rsidR="00991E72" w:rsidRPr="00350BA7"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5CA5540F" w14:textId="77777777" w:rsidR="00991E72" w:rsidRPr="00350BA7"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5,089</w:t>
            </w:r>
          </w:p>
        </w:tc>
        <w:tc>
          <w:tcPr>
            <w:tcW w:w="992" w:type="dxa"/>
            <w:gridSpan w:val="2"/>
            <w:tcBorders>
              <w:top w:val="nil"/>
              <w:left w:val="nil"/>
              <w:bottom w:val="nil"/>
              <w:right w:val="nil"/>
            </w:tcBorders>
            <w:shd w:val="clear" w:color="auto" w:fill="auto"/>
            <w:vAlign w:val="center"/>
          </w:tcPr>
          <w:p w14:paraId="4D96A288" w14:textId="77777777" w:rsidR="00991E72" w:rsidRPr="005904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574</w:t>
            </w:r>
          </w:p>
        </w:tc>
        <w:tc>
          <w:tcPr>
            <w:tcW w:w="993" w:type="dxa"/>
            <w:tcBorders>
              <w:top w:val="nil"/>
              <w:bottom w:val="nil"/>
            </w:tcBorders>
            <w:shd w:val="clear" w:color="auto" w:fill="auto"/>
            <w:vAlign w:val="center"/>
          </w:tcPr>
          <w:p w14:paraId="26E62881"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5</w:t>
            </w:r>
            <w:r>
              <w:rPr>
                <w:rFonts w:cs="Arial"/>
                <w:szCs w:val="14"/>
              </w:rPr>
              <w:t>,</w:t>
            </w:r>
            <w:r w:rsidRPr="00590483">
              <w:rPr>
                <w:rFonts w:cs="Arial"/>
                <w:szCs w:val="14"/>
              </w:rPr>
              <w:t>336</w:t>
            </w:r>
          </w:p>
        </w:tc>
      </w:tr>
      <w:tr w:rsidR="00991E72" w:rsidRPr="001D6BE8" w14:paraId="787D139A"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07DC0C3E" w14:textId="77777777" w:rsidR="00991E72" w:rsidRPr="0038031F" w:rsidRDefault="00991E72" w:rsidP="00991E72">
            <w:pPr>
              <w:pStyle w:val="08-Tabelageral"/>
              <w:jc w:val="left"/>
              <w:rPr>
                <w:rFonts w:cs="Arial"/>
                <w:b w:val="0"/>
                <w:szCs w:val="14"/>
              </w:rPr>
            </w:pPr>
          </w:p>
        </w:tc>
        <w:tc>
          <w:tcPr>
            <w:tcW w:w="702" w:type="dxa"/>
            <w:tcBorders>
              <w:top w:val="nil"/>
              <w:bottom w:val="nil"/>
            </w:tcBorders>
            <w:shd w:val="clear" w:color="auto" w:fill="auto"/>
            <w:vAlign w:val="center"/>
          </w:tcPr>
          <w:p w14:paraId="1FCE61F2"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1123" w:type="dxa"/>
            <w:tcBorders>
              <w:top w:val="nil"/>
              <w:bottom w:val="nil"/>
            </w:tcBorders>
            <w:shd w:val="clear" w:color="auto" w:fill="auto"/>
            <w:vAlign w:val="center"/>
          </w:tcPr>
          <w:p w14:paraId="4B9035F7"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76730F48"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995" w:type="dxa"/>
            <w:gridSpan w:val="2"/>
            <w:tcBorders>
              <w:top w:val="nil"/>
              <w:bottom w:val="nil"/>
            </w:tcBorders>
            <w:shd w:val="clear" w:color="auto" w:fill="auto"/>
            <w:vAlign w:val="center"/>
          </w:tcPr>
          <w:p w14:paraId="371E3318"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286" w:type="dxa"/>
            <w:gridSpan w:val="2"/>
            <w:tcBorders>
              <w:top w:val="nil"/>
              <w:bottom w:val="nil"/>
            </w:tcBorders>
            <w:shd w:val="clear" w:color="auto" w:fill="auto"/>
            <w:vAlign w:val="center"/>
          </w:tcPr>
          <w:p w14:paraId="1C9AF5F7"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7FDABAD3"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053E3667"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993" w:type="dxa"/>
            <w:tcBorders>
              <w:top w:val="nil"/>
              <w:bottom w:val="nil"/>
            </w:tcBorders>
            <w:shd w:val="clear" w:color="auto" w:fill="auto"/>
            <w:vAlign w:val="center"/>
          </w:tcPr>
          <w:p w14:paraId="3EB9C9BC"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r>
      <w:tr w:rsidR="00991E72" w:rsidRPr="001D6BE8" w14:paraId="4AE52A0F"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7165E0C5" w14:textId="77777777" w:rsidR="00991E72" w:rsidRPr="00CD3714" w:rsidRDefault="00991E72" w:rsidP="00991E72">
            <w:pPr>
              <w:pStyle w:val="08-Tabelageral"/>
              <w:jc w:val="left"/>
              <w:rPr>
                <w:rFonts w:cs="Arial"/>
                <w:szCs w:val="14"/>
              </w:rPr>
            </w:pPr>
            <w:r w:rsidRPr="00C27294">
              <w:rPr>
                <w:rFonts w:cs="Arial"/>
                <w:szCs w:val="14"/>
              </w:rPr>
              <w:t>Non-Current Assets</w:t>
            </w:r>
          </w:p>
        </w:tc>
        <w:tc>
          <w:tcPr>
            <w:tcW w:w="702" w:type="dxa"/>
            <w:tcBorders>
              <w:top w:val="nil"/>
              <w:bottom w:val="nil"/>
            </w:tcBorders>
            <w:shd w:val="clear" w:color="auto" w:fill="auto"/>
            <w:vAlign w:val="center"/>
          </w:tcPr>
          <w:p w14:paraId="6C6CE012" w14:textId="77777777" w:rsidR="00991E72" w:rsidRPr="00CD3714"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23" w:type="dxa"/>
            <w:tcBorders>
              <w:top w:val="nil"/>
              <w:left w:val="nil"/>
              <w:bottom w:val="nil"/>
              <w:right w:val="nil"/>
            </w:tcBorders>
            <w:shd w:val="clear" w:color="auto" w:fill="auto"/>
            <w:vAlign w:val="center"/>
          </w:tcPr>
          <w:p w14:paraId="27DD1225" w14:textId="77777777" w:rsidR="00991E72" w:rsidRPr="005808D9"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9A6BF2">
              <w:rPr>
                <w:rFonts w:cs="Arial"/>
                <w:b/>
                <w:bCs/>
                <w:color w:val="000000"/>
                <w:szCs w:val="14"/>
              </w:rPr>
              <w:t>9</w:t>
            </w:r>
            <w:r>
              <w:rPr>
                <w:rFonts w:cs="Arial"/>
                <w:b/>
                <w:bCs/>
                <w:color w:val="000000"/>
                <w:szCs w:val="14"/>
              </w:rPr>
              <w:t>,</w:t>
            </w:r>
            <w:r w:rsidRPr="009A6BF2">
              <w:rPr>
                <w:rFonts w:cs="Arial"/>
                <w:b/>
                <w:bCs/>
                <w:color w:val="000000"/>
                <w:szCs w:val="14"/>
              </w:rPr>
              <w:t>981</w:t>
            </w:r>
            <w:r>
              <w:rPr>
                <w:rFonts w:cs="Arial"/>
                <w:b/>
                <w:bCs/>
                <w:color w:val="000000"/>
                <w:szCs w:val="14"/>
              </w:rPr>
              <w:t>,</w:t>
            </w:r>
            <w:r w:rsidRPr="009A6BF2">
              <w:rPr>
                <w:rFonts w:cs="Arial"/>
                <w:b/>
                <w:bCs/>
                <w:color w:val="000000"/>
                <w:szCs w:val="14"/>
              </w:rPr>
              <w:t>141</w:t>
            </w:r>
          </w:p>
        </w:tc>
        <w:tc>
          <w:tcPr>
            <w:tcW w:w="1172" w:type="dxa"/>
            <w:tcBorders>
              <w:top w:val="nil"/>
              <w:left w:val="nil"/>
              <w:bottom w:val="nil"/>
              <w:right w:val="nil"/>
            </w:tcBorders>
            <w:shd w:val="clear" w:color="auto" w:fill="auto"/>
            <w:vAlign w:val="center"/>
          </w:tcPr>
          <w:p w14:paraId="670DD5CE"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A6BF2">
              <w:rPr>
                <w:rFonts w:cs="Arial"/>
                <w:b/>
                <w:szCs w:val="14"/>
              </w:rPr>
              <w:t>7</w:t>
            </w:r>
            <w:r>
              <w:rPr>
                <w:rFonts w:cs="Arial"/>
                <w:b/>
                <w:szCs w:val="14"/>
              </w:rPr>
              <w:t>,</w:t>
            </w:r>
            <w:r w:rsidRPr="009A6BF2">
              <w:rPr>
                <w:rFonts w:cs="Arial"/>
                <w:b/>
                <w:szCs w:val="14"/>
              </w:rPr>
              <w:t>946</w:t>
            </w:r>
            <w:r>
              <w:rPr>
                <w:rFonts w:cs="Arial"/>
                <w:b/>
                <w:szCs w:val="14"/>
              </w:rPr>
              <w:t>,</w:t>
            </w:r>
            <w:r w:rsidRPr="009A6BF2">
              <w:rPr>
                <w:rFonts w:cs="Arial"/>
                <w:b/>
                <w:szCs w:val="14"/>
              </w:rPr>
              <w:t>188</w:t>
            </w:r>
          </w:p>
        </w:tc>
        <w:tc>
          <w:tcPr>
            <w:tcW w:w="995" w:type="dxa"/>
            <w:gridSpan w:val="2"/>
            <w:tcBorders>
              <w:top w:val="nil"/>
              <w:bottom w:val="nil"/>
            </w:tcBorders>
            <w:shd w:val="clear" w:color="auto" w:fill="auto"/>
            <w:vAlign w:val="center"/>
          </w:tcPr>
          <w:p w14:paraId="18D01ACD" w14:textId="77777777" w:rsidR="00991E72" w:rsidRPr="005808D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rFonts w:cs="Arial"/>
                <w:b/>
                <w:szCs w:val="14"/>
              </w:rPr>
              <w:t>7</w:t>
            </w:r>
            <w:r>
              <w:rPr>
                <w:rFonts w:cs="Arial"/>
                <w:b/>
                <w:szCs w:val="14"/>
              </w:rPr>
              <w:t>,</w:t>
            </w:r>
            <w:r w:rsidRPr="009A6BF2">
              <w:rPr>
                <w:rFonts w:cs="Arial"/>
                <w:b/>
                <w:szCs w:val="14"/>
              </w:rPr>
              <w:t>283</w:t>
            </w:r>
            <w:r>
              <w:rPr>
                <w:rFonts w:cs="Arial"/>
                <w:b/>
                <w:szCs w:val="14"/>
              </w:rPr>
              <w:t>,</w:t>
            </w:r>
            <w:r w:rsidRPr="009A6BF2">
              <w:rPr>
                <w:rFonts w:cs="Arial"/>
                <w:b/>
                <w:szCs w:val="14"/>
              </w:rPr>
              <w:t>142</w:t>
            </w:r>
          </w:p>
        </w:tc>
        <w:tc>
          <w:tcPr>
            <w:tcW w:w="286" w:type="dxa"/>
            <w:gridSpan w:val="2"/>
            <w:tcBorders>
              <w:top w:val="nil"/>
              <w:bottom w:val="nil"/>
            </w:tcBorders>
            <w:shd w:val="clear" w:color="auto" w:fill="auto"/>
            <w:vAlign w:val="center"/>
          </w:tcPr>
          <w:p w14:paraId="02A0F195" w14:textId="77777777" w:rsidR="00991E72" w:rsidRPr="005808D9"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3"/>
            <w:tcBorders>
              <w:top w:val="nil"/>
              <w:left w:val="nil"/>
              <w:bottom w:val="nil"/>
              <w:right w:val="nil"/>
            </w:tcBorders>
            <w:shd w:val="clear" w:color="auto" w:fill="auto"/>
            <w:vAlign w:val="center"/>
          </w:tcPr>
          <w:p w14:paraId="7360A310" w14:textId="77777777" w:rsidR="00991E72" w:rsidRPr="005808D9"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9A6BF2">
              <w:rPr>
                <w:rFonts w:cs="Arial"/>
                <w:b/>
                <w:bCs/>
                <w:color w:val="000000"/>
                <w:szCs w:val="14"/>
              </w:rPr>
              <w:t>10</w:t>
            </w:r>
            <w:r>
              <w:rPr>
                <w:rFonts w:cs="Arial"/>
                <w:b/>
                <w:bCs/>
                <w:color w:val="000000"/>
                <w:szCs w:val="14"/>
              </w:rPr>
              <w:t>,</w:t>
            </w:r>
            <w:r w:rsidRPr="009A6BF2">
              <w:rPr>
                <w:rFonts w:cs="Arial"/>
                <w:b/>
                <w:bCs/>
                <w:color w:val="000000"/>
                <w:szCs w:val="14"/>
              </w:rPr>
              <w:t>482</w:t>
            </w:r>
            <w:r>
              <w:rPr>
                <w:rFonts w:cs="Arial"/>
                <w:b/>
                <w:bCs/>
                <w:color w:val="000000"/>
                <w:szCs w:val="14"/>
              </w:rPr>
              <w:t>,</w:t>
            </w:r>
            <w:r w:rsidRPr="009A6BF2">
              <w:rPr>
                <w:rFonts w:cs="Arial"/>
                <w:b/>
                <w:bCs/>
                <w:color w:val="000000"/>
                <w:szCs w:val="14"/>
              </w:rPr>
              <w:t>812</w:t>
            </w:r>
          </w:p>
        </w:tc>
        <w:tc>
          <w:tcPr>
            <w:tcW w:w="992" w:type="dxa"/>
            <w:gridSpan w:val="2"/>
            <w:tcBorders>
              <w:top w:val="nil"/>
              <w:left w:val="nil"/>
              <w:bottom w:val="nil"/>
              <w:right w:val="nil"/>
            </w:tcBorders>
            <w:shd w:val="clear" w:color="auto" w:fill="auto"/>
            <w:vAlign w:val="center"/>
          </w:tcPr>
          <w:p w14:paraId="5D5C9705"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A6BF2">
              <w:rPr>
                <w:rFonts w:cs="Arial"/>
                <w:b/>
                <w:bCs/>
                <w:szCs w:val="14"/>
              </w:rPr>
              <w:t>9</w:t>
            </w:r>
            <w:r>
              <w:rPr>
                <w:rFonts w:cs="Arial"/>
                <w:b/>
                <w:bCs/>
                <w:szCs w:val="14"/>
              </w:rPr>
              <w:t>,</w:t>
            </w:r>
            <w:r w:rsidRPr="009A6BF2">
              <w:rPr>
                <w:rFonts w:cs="Arial"/>
                <w:b/>
                <w:bCs/>
                <w:szCs w:val="14"/>
              </w:rPr>
              <w:t>340</w:t>
            </w:r>
            <w:r>
              <w:rPr>
                <w:rFonts w:cs="Arial"/>
                <w:b/>
                <w:bCs/>
                <w:szCs w:val="14"/>
              </w:rPr>
              <w:t>,</w:t>
            </w:r>
            <w:r w:rsidRPr="009A6BF2">
              <w:rPr>
                <w:rFonts w:cs="Arial"/>
                <w:b/>
                <w:bCs/>
                <w:szCs w:val="14"/>
              </w:rPr>
              <w:t>804</w:t>
            </w:r>
          </w:p>
        </w:tc>
        <w:tc>
          <w:tcPr>
            <w:tcW w:w="993" w:type="dxa"/>
            <w:tcBorders>
              <w:top w:val="nil"/>
              <w:bottom w:val="nil"/>
            </w:tcBorders>
            <w:shd w:val="clear" w:color="auto" w:fill="auto"/>
            <w:vAlign w:val="center"/>
          </w:tcPr>
          <w:p w14:paraId="441A9579" w14:textId="77777777" w:rsidR="00991E72" w:rsidRPr="005808D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rFonts w:cs="Arial"/>
                <w:b/>
                <w:bCs/>
                <w:szCs w:val="14"/>
              </w:rPr>
              <w:t>8</w:t>
            </w:r>
            <w:r>
              <w:rPr>
                <w:rFonts w:cs="Arial"/>
                <w:b/>
                <w:bCs/>
                <w:szCs w:val="14"/>
              </w:rPr>
              <w:t>,</w:t>
            </w:r>
            <w:r w:rsidRPr="009A6BF2">
              <w:rPr>
                <w:rFonts w:cs="Arial"/>
                <w:b/>
                <w:bCs/>
                <w:szCs w:val="14"/>
              </w:rPr>
              <w:t>303</w:t>
            </w:r>
            <w:r>
              <w:rPr>
                <w:rFonts w:cs="Arial"/>
                <w:b/>
                <w:bCs/>
                <w:szCs w:val="14"/>
              </w:rPr>
              <w:t>,</w:t>
            </w:r>
            <w:r w:rsidRPr="009A6BF2">
              <w:rPr>
                <w:rFonts w:cs="Arial"/>
                <w:b/>
                <w:bCs/>
                <w:szCs w:val="14"/>
              </w:rPr>
              <w:t>731</w:t>
            </w:r>
          </w:p>
        </w:tc>
      </w:tr>
      <w:tr w:rsidR="00991E72" w:rsidRPr="001D6BE8" w14:paraId="5BB04548"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548B58E4" w14:textId="77777777" w:rsidR="00991E72" w:rsidRPr="00BD6C7E" w:rsidRDefault="00991E72" w:rsidP="00991E72">
            <w:pPr>
              <w:pStyle w:val="08-Tabelageral"/>
              <w:ind w:left="113"/>
              <w:jc w:val="left"/>
              <w:rPr>
                <w:rFonts w:cs="Arial"/>
                <w:b w:val="0"/>
                <w:szCs w:val="14"/>
                <w:lang w:val="en-US"/>
              </w:rPr>
            </w:pPr>
            <w:r w:rsidRPr="00BD6C7E">
              <w:rPr>
                <w:rFonts w:cs="Arial"/>
                <w:b w:val="0"/>
                <w:szCs w:val="14"/>
                <w:lang w:val="en-US"/>
              </w:rPr>
              <w:t>Financial assets at fair value through profit or loss</w:t>
            </w:r>
          </w:p>
        </w:tc>
        <w:tc>
          <w:tcPr>
            <w:tcW w:w="702" w:type="dxa"/>
            <w:tcBorders>
              <w:top w:val="nil"/>
              <w:bottom w:val="nil"/>
            </w:tcBorders>
            <w:shd w:val="clear" w:color="auto" w:fill="auto"/>
            <w:vAlign w:val="center"/>
          </w:tcPr>
          <w:p w14:paraId="00DDFBB2"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CC12E6">
              <w:t>[16.a]</w:t>
            </w:r>
          </w:p>
        </w:tc>
        <w:tc>
          <w:tcPr>
            <w:tcW w:w="1123" w:type="dxa"/>
            <w:tcBorders>
              <w:top w:val="nil"/>
              <w:left w:val="nil"/>
              <w:bottom w:val="nil"/>
              <w:right w:val="nil"/>
            </w:tcBorders>
            <w:shd w:val="clear" w:color="auto" w:fill="auto"/>
            <w:vAlign w:val="center"/>
          </w:tcPr>
          <w:p w14:paraId="5F0D9F79"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17,246</w:t>
            </w:r>
          </w:p>
        </w:tc>
        <w:tc>
          <w:tcPr>
            <w:tcW w:w="1172" w:type="dxa"/>
            <w:tcBorders>
              <w:top w:val="nil"/>
              <w:left w:val="nil"/>
              <w:bottom w:val="nil"/>
              <w:right w:val="nil"/>
            </w:tcBorders>
            <w:shd w:val="clear" w:color="auto" w:fill="auto"/>
            <w:vAlign w:val="center"/>
          </w:tcPr>
          <w:p w14:paraId="28ABCD8F"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18</w:t>
            </w:r>
            <w:r>
              <w:rPr>
                <w:rFonts w:cs="Arial"/>
                <w:szCs w:val="14"/>
              </w:rPr>
              <w:t>,</w:t>
            </w:r>
            <w:r w:rsidRPr="00AA591E">
              <w:rPr>
                <w:rFonts w:cs="Arial"/>
                <w:szCs w:val="14"/>
              </w:rPr>
              <w:t>064</w:t>
            </w:r>
          </w:p>
        </w:tc>
        <w:tc>
          <w:tcPr>
            <w:tcW w:w="995" w:type="dxa"/>
            <w:gridSpan w:val="2"/>
            <w:tcBorders>
              <w:top w:val="nil"/>
              <w:bottom w:val="nil"/>
            </w:tcBorders>
            <w:shd w:val="clear" w:color="auto" w:fill="auto"/>
            <w:vAlign w:val="center"/>
          </w:tcPr>
          <w:p w14:paraId="61F9BBC4"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c>
          <w:tcPr>
            <w:tcW w:w="286" w:type="dxa"/>
            <w:gridSpan w:val="2"/>
            <w:tcBorders>
              <w:top w:val="nil"/>
              <w:bottom w:val="nil"/>
            </w:tcBorders>
            <w:shd w:val="clear" w:color="auto" w:fill="auto"/>
            <w:vAlign w:val="center"/>
          </w:tcPr>
          <w:p w14:paraId="44A53FB8"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128A56CE"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1,024,746</w:t>
            </w:r>
          </w:p>
        </w:tc>
        <w:tc>
          <w:tcPr>
            <w:tcW w:w="992" w:type="dxa"/>
            <w:gridSpan w:val="2"/>
            <w:tcBorders>
              <w:top w:val="nil"/>
              <w:left w:val="nil"/>
              <w:bottom w:val="nil"/>
              <w:right w:val="nil"/>
            </w:tcBorders>
            <w:shd w:val="clear" w:color="auto" w:fill="auto"/>
            <w:vAlign w:val="center"/>
          </w:tcPr>
          <w:p w14:paraId="6030D1F5"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B63432">
              <w:rPr>
                <w:rFonts w:cs="Arial"/>
                <w:szCs w:val="14"/>
              </w:rPr>
              <w:t>368</w:t>
            </w:r>
            <w:r>
              <w:rPr>
                <w:rFonts w:cs="Arial"/>
                <w:szCs w:val="14"/>
              </w:rPr>
              <w:t>,</w:t>
            </w:r>
            <w:r w:rsidRPr="00B63432">
              <w:rPr>
                <w:rFonts w:cs="Arial"/>
                <w:szCs w:val="14"/>
              </w:rPr>
              <w:t>281</w:t>
            </w:r>
          </w:p>
        </w:tc>
        <w:tc>
          <w:tcPr>
            <w:tcW w:w="993" w:type="dxa"/>
            <w:tcBorders>
              <w:top w:val="nil"/>
              <w:bottom w:val="nil"/>
            </w:tcBorders>
            <w:shd w:val="clear" w:color="auto" w:fill="auto"/>
            <w:vAlign w:val="center"/>
          </w:tcPr>
          <w:p w14:paraId="4BF39BE4"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r>
      <w:tr w:rsidR="00991E72" w:rsidRPr="002E2354" w14:paraId="5B662BCB"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45EB1A0" w14:textId="77777777" w:rsidR="00991E72" w:rsidRPr="002E2354" w:rsidRDefault="00991E72" w:rsidP="00991E72">
            <w:pPr>
              <w:pStyle w:val="08-Tabelageral"/>
              <w:ind w:left="113"/>
              <w:jc w:val="left"/>
              <w:rPr>
                <w:rFonts w:cs="Arial"/>
                <w:b w:val="0"/>
                <w:bCs w:val="0"/>
                <w:szCs w:val="14"/>
              </w:rPr>
            </w:pPr>
            <w:r w:rsidRPr="002E2354">
              <w:rPr>
                <w:b w:val="0"/>
                <w:bCs w:val="0"/>
              </w:rPr>
              <w:t>Current tax assets</w:t>
            </w:r>
          </w:p>
        </w:tc>
        <w:tc>
          <w:tcPr>
            <w:tcW w:w="702" w:type="dxa"/>
            <w:tcBorders>
              <w:top w:val="nil"/>
              <w:bottom w:val="nil"/>
            </w:tcBorders>
            <w:shd w:val="clear" w:color="auto" w:fill="auto"/>
            <w:vAlign w:val="center"/>
          </w:tcPr>
          <w:p w14:paraId="0FD11222" w14:textId="77777777" w:rsidR="00991E72" w:rsidRPr="002E2354"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23" w:type="dxa"/>
            <w:tcBorders>
              <w:top w:val="nil"/>
              <w:left w:val="nil"/>
              <w:bottom w:val="nil"/>
              <w:right w:val="nil"/>
            </w:tcBorders>
            <w:shd w:val="clear" w:color="auto" w:fill="auto"/>
            <w:vAlign w:val="center"/>
          </w:tcPr>
          <w:p w14:paraId="62B14F02" w14:textId="77777777" w:rsidR="00991E72" w:rsidRPr="002E235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89,570</w:t>
            </w:r>
          </w:p>
        </w:tc>
        <w:tc>
          <w:tcPr>
            <w:tcW w:w="1172" w:type="dxa"/>
            <w:tcBorders>
              <w:top w:val="nil"/>
              <w:bottom w:val="nil"/>
            </w:tcBorders>
            <w:shd w:val="clear" w:color="auto" w:fill="auto"/>
            <w:vAlign w:val="center"/>
          </w:tcPr>
          <w:p w14:paraId="4730E375"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AA591E">
              <w:t>75</w:t>
            </w:r>
            <w:r>
              <w:t>,</w:t>
            </w:r>
            <w:r w:rsidRPr="00AA591E">
              <w:t>177</w:t>
            </w:r>
          </w:p>
        </w:tc>
        <w:tc>
          <w:tcPr>
            <w:tcW w:w="995" w:type="dxa"/>
            <w:gridSpan w:val="2"/>
            <w:tcBorders>
              <w:top w:val="nil"/>
              <w:bottom w:val="nil"/>
            </w:tcBorders>
            <w:shd w:val="clear" w:color="auto" w:fill="auto"/>
            <w:vAlign w:val="center"/>
          </w:tcPr>
          <w:p w14:paraId="3992D047" w14:textId="77777777" w:rsidR="00991E72" w:rsidRPr="002E2354"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t>68</w:t>
            </w:r>
            <w:r>
              <w:t>,</w:t>
            </w:r>
            <w:r w:rsidRPr="00EE1C73">
              <w:t>332</w:t>
            </w:r>
          </w:p>
        </w:tc>
        <w:tc>
          <w:tcPr>
            <w:tcW w:w="286" w:type="dxa"/>
            <w:gridSpan w:val="2"/>
            <w:tcBorders>
              <w:top w:val="nil"/>
              <w:bottom w:val="nil"/>
            </w:tcBorders>
            <w:shd w:val="clear" w:color="auto" w:fill="auto"/>
            <w:vAlign w:val="center"/>
          </w:tcPr>
          <w:p w14:paraId="504D064A" w14:textId="77777777" w:rsidR="00991E72" w:rsidRPr="002E235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35F71E33" w14:textId="77777777" w:rsidR="00991E72" w:rsidRPr="002E235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96,855</w:t>
            </w:r>
          </w:p>
        </w:tc>
        <w:tc>
          <w:tcPr>
            <w:tcW w:w="992" w:type="dxa"/>
            <w:gridSpan w:val="2"/>
            <w:tcBorders>
              <w:top w:val="nil"/>
              <w:left w:val="nil"/>
              <w:bottom w:val="nil"/>
              <w:right w:val="nil"/>
            </w:tcBorders>
            <w:shd w:val="clear" w:color="auto" w:fill="auto"/>
            <w:vAlign w:val="center"/>
          </w:tcPr>
          <w:p w14:paraId="644E51C8"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090668">
              <w:t>80</w:t>
            </w:r>
            <w:r>
              <w:t>,</w:t>
            </w:r>
            <w:r w:rsidRPr="00090668">
              <w:t>977</w:t>
            </w:r>
          </w:p>
        </w:tc>
        <w:tc>
          <w:tcPr>
            <w:tcW w:w="993" w:type="dxa"/>
            <w:tcBorders>
              <w:top w:val="nil"/>
              <w:bottom w:val="nil"/>
            </w:tcBorders>
            <w:shd w:val="clear" w:color="auto" w:fill="auto"/>
            <w:vAlign w:val="center"/>
          </w:tcPr>
          <w:p w14:paraId="2BA45BE5" w14:textId="77777777" w:rsidR="00991E72" w:rsidRPr="002E2354"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t>84</w:t>
            </w:r>
            <w:r>
              <w:t>,</w:t>
            </w:r>
            <w:r w:rsidRPr="00EE1C73">
              <w:t>337</w:t>
            </w:r>
          </w:p>
        </w:tc>
      </w:tr>
      <w:tr w:rsidR="00991E72" w:rsidRPr="001D6BE8" w14:paraId="48FB3C5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79AAEF26" w14:textId="77777777" w:rsidR="00991E72" w:rsidRPr="0038031F" w:rsidRDefault="00991E72" w:rsidP="00991E72">
            <w:pPr>
              <w:pStyle w:val="08-Tabelageral"/>
              <w:ind w:left="113"/>
              <w:jc w:val="left"/>
              <w:rPr>
                <w:rFonts w:cs="Arial"/>
                <w:b w:val="0"/>
                <w:szCs w:val="14"/>
              </w:rPr>
            </w:pPr>
            <w:r w:rsidRPr="00C27294">
              <w:rPr>
                <w:rFonts w:cs="Arial"/>
                <w:b w:val="0"/>
                <w:szCs w:val="14"/>
              </w:rPr>
              <w:t>Deferred tax assets</w:t>
            </w:r>
          </w:p>
        </w:tc>
        <w:tc>
          <w:tcPr>
            <w:tcW w:w="702" w:type="dxa"/>
            <w:tcBorders>
              <w:top w:val="nil"/>
              <w:bottom w:val="nil"/>
            </w:tcBorders>
            <w:shd w:val="clear" w:color="auto" w:fill="auto"/>
            <w:vAlign w:val="center"/>
          </w:tcPr>
          <w:p w14:paraId="2DA56DEE"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CC12E6">
              <w:t>[12.e]</w:t>
            </w:r>
          </w:p>
        </w:tc>
        <w:tc>
          <w:tcPr>
            <w:tcW w:w="1123" w:type="dxa"/>
            <w:tcBorders>
              <w:top w:val="nil"/>
              <w:left w:val="nil"/>
              <w:bottom w:val="nil"/>
              <w:right w:val="nil"/>
            </w:tcBorders>
            <w:shd w:val="clear" w:color="auto" w:fill="auto"/>
            <w:vAlign w:val="center"/>
          </w:tcPr>
          <w:p w14:paraId="3E77174E"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28</w:t>
            </w:r>
          </w:p>
        </w:tc>
        <w:tc>
          <w:tcPr>
            <w:tcW w:w="1172" w:type="dxa"/>
            <w:tcBorders>
              <w:top w:val="nil"/>
              <w:bottom w:val="nil"/>
            </w:tcBorders>
            <w:shd w:val="clear" w:color="auto" w:fill="auto"/>
            <w:vAlign w:val="center"/>
          </w:tcPr>
          <w:p w14:paraId="79C5EEFD"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28</w:t>
            </w:r>
          </w:p>
        </w:tc>
        <w:tc>
          <w:tcPr>
            <w:tcW w:w="995" w:type="dxa"/>
            <w:gridSpan w:val="2"/>
            <w:tcBorders>
              <w:top w:val="nil"/>
              <w:bottom w:val="nil"/>
            </w:tcBorders>
            <w:shd w:val="clear" w:color="auto" w:fill="auto"/>
            <w:vAlign w:val="center"/>
          </w:tcPr>
          <w:p w14:paraId="396E5014"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p>
        </w:tc>
        <w:tc>
          <w:tcPr>
            <w:tcW w:w="286" w:type="dxa"/>
            <w:gridSpan w:val="2"/>
            <w:tcBorders>
              <w:top w:val="nil"/>
              <w:bottom w:val="nil"/>
            </w:tcBorders>
            <w:shd w:val="clear" w:color="auto" w:fill="auto"/>
            <w:vAlign w:val="center"/>
          </w:tcPr>
          <w:p w14:paraId="5802E5F5"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023CC7EB" w14:textId="77777777" w:rsidR="00991E72" w:rsidRPr="00350BA7"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8,268</w:t>
            </w:r>
          </w:p>
        </w:tc>
        <w:tc>
          <w:tcPr>
            <w:tcW w:w="992" w:type="dxa"/>
            <w:gridSpan w:val="2"/>
            <w:tcBorders>
              <w:top w:val="nil"/>
              <w:left w:val="nil"/>
              <w:bottom w:val="nil"/>
              <w:right w:val="nil"/>
            </w:tcBorders>
            <w:shd w:val="clear" w:color="auto" w:fill="auto"/>
            <w:vAlign w:val="center"/>
          </w:tcPr>
          <w:p w14:paraId="70CE22AA"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7</w:t>
            </w:r>
            <w:r>
              <w:rPr>
                <w:rFonts w:cs="Arial"/>
                <w:szCs w:val="14"/>
              </w:rPr>
              <w:t>,</w:t>
            </w:r>
            <w:r w:rsidRPr="00090668">
              <w:rPr>
                <w:rFonts w:cs="Arial"/>
                <w:szCs w:val="14"/>
              </w:rPr>
              <w:t>773</w:t>
            </w:r>
          </w:p>
        </w:tc>
        <w:tc>
          <w:tcPr>
            <w:tcW w:w="993" w:type="dxa"/>
            <w:tcBorders>
              <w:top w:val="nil"/>
              <w:bottom w:val="nil"/>
            </w:tcBorders>
            <w:shd w:val="clear" w:color="auto" w:fill="auto"/>
            <w:vAlign w:val="center"/>
          </w:tcPr>
          <w:p w14:paraId="2F14B89D"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35</w:t>
            </w:r>
            <w:r>
              <w:rPr>
                <w:rFonts w:cs="Arial"/>
                <w:szCs w:val="14"/>
              </w:rPr>
              <w:t>,</w:t>
            </w:r>
            <w:r w:rsidRPr="00EE1C73">
              <w:rPr>
                <w:rFonts w:cs="Arial"/>
                <w:szCs w:val="14"/>
              </w:rPr>
              <w:t>420</w:t>
            </w:r>
          </w:p>
        </w:tc>
      </w:tr>
      <w:tr w:rsidR="00991E72" w:rsidRPr="00C3029D" w14:paraId="7B4A7FE6"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6945F518" w14:textId="77777777" w:rsidR="00991E72" w:rsidRPr="00C3029D" w:rsidRDefault="00991E72" w:rsidP="00991E72">
            <w:pPr>
              <w:pStyle w:val="08-Tabelageral"/>
              <w:ind w:left="113"/>
              <w:jc w:val="left"/>
              <w:rPr>
                <w:rFonts w:cs="Arial"/>
                <w:b w:val="0"/>
                <w:szCs w:val="14"/>
              </w:rPr>
            </w:pPr>
            <w:r w:rsidRPr="00C27294">
              <w:rPr>
                <w:rFonts w:cs="Arial"/>
                <w:b w:val="0"/>
                <w:szCs w:val="14"/>
              </w:rPr>
              <w:t>Commissions receivable</w:t>
            </w:r>
          </w:p>
        </w:tc>
        <w:tc>
          <w:tcPr>
            <w:tcW w:w="702" w:type="dxa"/>
            <w:tcBorders>
              <w:top w:val="nil"/>
              <w:bottom w:val="nil"/>
            </w:tcBorders>
            <w:shd w:val="clear" w:color="auto" w:fill="auto"/>
            <w:vAlign w:val="center"/>
          </w:tcPr>
          <w:p w14:paraId="3BD89BB8" w14:textId="77777777" w:rsidR="00991E72" w:rsidRPr="00C3029D"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CC12E6">
              <w:t>[18]</w:t>
            </w:r>
          </w:p>
        </w:tc>
        <w:tc>
          <w:tcPr>
            <w:tcW w:w="1123" w:type="dxa"/>
            <w:tcBorders>
              <w:top w:val="nil"/>
              <w:left w:val="nil"/>
              <w:bottom w:val="nil"/>
              <w:right w:val="nil"/>
            </w:tcBorders>
            <w:shd w:val="clear" w:color="auto" w:fill="auto"/>
            <w:vAlign w:val="center"/>
          </w:tcPr>
          <w:p w14:paraId="7FDAC14C" w14:textId="77777777" w:rsidR="00991E72" w:rsidRPr="00C3029D"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72" w:type="dxa"/>
            <w:tcBorders>
              <w:top w:val="nil"/>
              <w:bottom w:val="nil"/>
            </w:tcBorders>
            <w:shd w:val="clear" w:color="auto" w:fill="auto"/>
            <w:vAlign w:val="center"/>
          </w:tcPr>
          <w:p w14:paraId="0636908D"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995" w:type="dxa"/>
            <w:gridSpan w:val="2"/>
            <w:tcBorders>
              <w:top w:val="nil"/>
              <w:bottom w:val="nil"/>
            </w:tcBorders>
            <w:shd w:val="clear" w:color="auto" w:fill="auto"/>
            <w:vAlign w:val="center"/>
          </w:tcPr>
          <w:p w14:paraId="76542226" w14:textId="77777777" w:rsidR="00991E72" w:rsidRPr="00C3029D"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6" w:type="dxa"/>
            <w:gridSpan w:val="2"/>
            <w:tcBorders>
              <w:top w:val="nil"/>
              <w:bottom w:val="nil"/>
            </w:tcBorders>
            <w:shd w:val="clear" w:color="auto" w:fill="auto"/>
            <w:vAlign w:val="center"/>
          </w:tcPr>
          <w:p w14:paraId="14AEFD19" w14:textId="77777777" w:rsidR="00991E72" w:rsidRPr="00C3029D"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18307423" w14:textId="77777777" w:rsidR="00991E72" w:rsidRPr="00C3029D"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785,876</w:t>
            </w:r>
          </w:p>
        </w:tc>
        <w:tc>
          <w:tcPr>
            <w:tcW w:w="992" w:type="dxa"/>
            <w:gridSpan w:val="2"/>
            <w:tcBorders>
              <w:top w:val="nil"/>
              <w:left w:val="nil"/>
              <w:bottom w:val="nil"/>
              <w:right w:val="nil"/>
            </w:tcBorders>
            <w:shd w:val="clear" w:color="auto" w:fill="auto"/>
            <w:vAlign w:val="center"/>
          </w:tcPr>
          <w:p w14:paraId="15E42434"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708</w:t>
            </w:r>
            <w:r>
              <w:rPr>
                <w:rFonts w:cs="Arial"/>
                <w:szCs w:val="14"/>
              </w:rPr>
              <w:t>,</w:t>
            </w:r>
            <w:r w:rsidRPr="00090668">
              <w:rPr>
                <w:rFonts w:cs="Arial"/>
                <w:szCs w:val="14"/>
              </w:rPr>
              <w:t>990</w:t>
            </w:r>
          </w:p>
        </w:tc>
        <w:tc>
          <w:tcPr>
            <w:tcW w:w="993" w:type="dxa"/>
            <w:tcBorders>
              <w:top w:val="nil"/>
              <w:bottom w:val="nil"/>
            </w:tcBorders>
            <w:shd w:val="clear" w:color="auto" w:fill="auto"/>
            <w:vAlign w:val="center"/>
          </w:tcPr>
          <w:p w14:paraId="6C4DAF49" w14:textId="77777777" w:rsidR="00991E72" w:rsidRPr="00C3029D"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698</w:t>
            </w:r>
            <w:r>
              <w:rPr>
                <w:rFonts w:cs="Arial"/>
                <w:szCs w:val="14"/>
              </w:rPr>
              <w:t>,</w:t>
            </w:r>
            <w:r w:rsidRPr="00EE1C73">
              <w:rPr>
                <w:rFonts w:cs="Arial"/>
                <w:szCs w:val="14"/>
              </w:rPr>
              <w:t>435</w:t>
            </w:r>
          </w:p>
        </w:tc>
      </w:tr>
      <w:tr w:rsidR="00991E72" w:rsidRPr="001D6BE8" w14:paraId="3245C433"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74198879" w14:textId="77777777" w:rsidR="00991E72" w:rsidRPr="00C27294" w:rsidRDefault="00991E72" w:rsidP="00991E72">
            <w:pPr>
              <w:pStyle w:val="08-Tabelageral"/>
              <w:ind w:left="113"/>
              <w:jc w:val="left"/>
              <w:rPr>
                <w:rFonts w:cs="Arial"/>
                <w:b w:val="0"/>
                <w:szCs w:val="14"/>
              </w:rPr>
            </w:pPr>
            <w:r w:rsidRPr="00C27294">
              <w:rPr>
                <w:rFonts w:cs="Arial"/>
                <w:b w:val="0"/>
                <w:szCs w:val="14"/>
              </w:rPr>
              <w:t>Investments in associates</w:t>
            </w:r>
          </w:p>
        </w:tc>
        <w:tc>
          <w:tcPr>
            <w:tcW w:w="702" w:type="dxa"/>
            <w:tcBorders>
              <w:top w:val="nil"/>
              <w:bottom w:val="nil"/>
            </w:tcBorders>
            <w:shd w:val="clear" w:color="auto" w:fill="auto"/>
            <w:vAlign w:val="center"/>
          </w:tcPr>
          <w:p w14:paraId="129575C8" w14:textId="77777777" w:rsidR="00991E72" w:rsidRPr="00CC12E6"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CC12E6">
              <w:t>[7.b]</w:t>
            </w:r>
          </w:p>
        </w:tc>
        <w:tc>
          <w:tcPr>
            <w:tcW w:w="1123" w:type="dxa"/>
            <w:tcBorders>
              <w:top w:val="nil"/>
              <w:left w:val="nil"/>
              <w:bottom w:val="nil"/>
              <w:right w:val="nil"/>
            </w:tcBorders>
            <w:shd w:val="clear" w:color="auto" w:fill="auto"/>
            <w:vAlign w:val="center"/>
          </w:tcPr>
          <w:p w14:paraId="0AD43BD2"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A6BF2">
              <w:rPr>
                <w:rFonts w:cs="Arial"/>
                <w:color w:val="000000"/>
                <w:szCs w:val="14"/>
              </w:rPr>
              <w:t>9</w:t>
            </w:r>
            <w:r>
              <w:rPr>
                <w:rFonts w:cs="Arial"/>
                <w:color w:val="000000"/>
                <w:szCs w:val="14"/>
              </w:rPr>
              <w:t>,</w:t>
            </w:r>
            <w:r w:rsidRPr="009A6BF2">
              <w:rPr>
                <w:rFonts w:cs="Arial"/>
                <w:color w:val="000000"/>
                <w:szCs w:val="14"/>
              </w:rPr>
              <w:t>870</w:t>
            </w:r>
            <w:r>
              <w:rPr>
                <w:rFonts w:cs="Arial"/>
                <w:color w:val="000000"/>
                <w:szCs w:val="14"/>
              </w:rPr>
              <w:t>,</w:t>
            </w:r>
            <w:r w:rsidRPr="009A6BF2">
              <w:rPr>
                <w:rFonts w:cs="Arial"/>
                <w:color w:val="000000"/>
                <w:szCs w:val="14"/>
              </w:rPr>
              <w:t>339</w:t>
            </w:r>
          </w:p>
        </w:tc>
        <w:tc>
          <w:tcPr>
            <w:tcW w:w="1172" w:type="dxa"/>
            <w:tcBorders>
              <w:top w:val="nil"/>
              <w:left w:val="nil"/>
              <w:bottom w:val="nil"/>
              <w:right w:val="nil"/>
            </w:tcBorders>
            <w:shd w:val="clear" w:color="auto" w:fill="auto"/>
            <w:vAlign w:val="center"/>
          </w:tcPr>
          <w:p w14:paraId="0B07A9AE"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A6BF2">
              <w:rPr>
                <w:rFonts w:cs="Arial"/>
                <w:szCs w:val="14"/>
              </w:rPr>
              <w:t>7</w:t>
            </w:r>
            <w:r>
              <w:rPr>
                <w:rFonts w:cs="Arial"/>
                <w:szCs w:val="14"/>
              </w:rPr>
              <w:t>,</w:t>
            </w:r>
            <w:r w:rsidRPr="009A6BF2">
              <w:rPr>
                <w:rFonts w:cs="Arial"/>
                <w:szCs w:val="14"/>
              </w:rPr>
              <w:t>848</w:t>
            </w:r>
            <w:r>
              <w:rPr>
                <w:rFonts w:cs="Arial"/>
                <w:szCs w:val="14"/>
              </w:rPr>
              <w:t>,</w:t>
            </w:r>
            <w:r w:rsidRPr="009A6BF2">
              <w:rPr>
                <w:rFonts w:cs="Arial"/>
                <w:szCs w:val="14"/>
              </w:rPr>
              <w:t>840</w:t>
            </w:r>
          </w:p>
        </w:tc>
        <w:tc>
          <w:tcPr>
            <w:tcW w:w="995" w:type="dxa"/>
            <w:gridSpan w:val="2"/>
            <w:tcBorders>
              <w:top w:val="nil"/>
              <w:bottom w:val="nil"/>
            </w:tcBorders>
            <w:shd w:val="clear" w:color="auto" w:fill="auto"/>
            <w:vAlign w:val="center"/>
          </w:tcPr>
          <w:p w14:paraId="40052924" w14:textId="77777777" w:rsidR="00991E72" w:rsidRPr="00243EAC"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9A6BF2">
              <w:rPr>
                <w:rFonts w:cs="Arial"/>
                <w:szCs w:val="14"/>
              </w:rPr>
              <w:t>7</w:t>
            </w:r>
            <w:r>
              <w:rPr>
                <w:rFonts w:cs="Arial"/>
                <w:szCs w:val="14"/>
              </w:rPr>
              <w:t>,</w:t>
            </w:r>
            <w:r w:rsidRPr="009A6BF2">
              <w:rPr>
                <w:rFonts w:cs="Arial"/>
                <w:szCs w:val="14"/>
              </w:rPr>
              <w:t>195</w:t>
            </w:r>
            <w:r>
              <w:rPr>
                <w:rFonts w:cs="Arial"/>
                <w:szCs w:val="14"/>
              </w:rPr>
              <w:t>,</w:t>
            </w:r>
            <w:r w:rsidRPr="009A6BF2">
              <w:rPr>
                <w:rFonts w:cs="Arial"/>
                <w:szCs w:val="14"/>
              </w:rPr>
              <w:t>790</w:t>
            </w:r>
          </w:p>
        </w:tc>
        <w:tc>
          <w:tcPr>
            <w:tcW w:w="286" w:type="dxa"/>
            <w:gridSpan w:val="2"/>
            <w:tcBorders>
              <w:top w:val="nil"/>
              <w:bottom w:val="nil"/>
            </w:tcBorders>
            <w:shd w:val="clear" w:color="auto" w:fill="auto"/>
            <w:vAlign w:val="center"/>
          </w:tcPr>
          <w:p w14:paraId="21081502"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4E1AB9C7"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A6BF2">
              <w:rPr>
                <w:rFonts w:cs="Arial"/>
                <w:color w:val="000000"/>
                <w:szCs w:val="14"/>
              </w:rPr>
              <w:t>8</w:t>
            </w:r>
            <w:r>
              <w:rPr>
                <w:rFonts w:cs="Arial"/>
                <w:color w:val="000000"/>
                <w:szCs w:val="14"/>
              </w:rPr>
              <w:t>,</w:t>
            </w:r>
            <w:r w:rsidRPr="009A6BF2">
              <w:rPr>
                <w:rFonts w:cs="Arial"/>
                <w:color w:val="000000"/>
                <w:szCs w:val="14"/>
              </w:rPr>
              <w:t>338</w:t>
            </w:r>
            <w:r>
              <w:rPr>
                <w:rFonts w:cs="Arial"/>
                <w:color w:val="000000"/>
                <w:szCs w:val="14"/>
              </w:rPr>
              <w:t>,</w:t>
            </w:r>
            <w:r w:rsidRPr="009A6BF2">
              <w:rPr>
                <w:rFonts w:cs="Arial"/>
                <w:color w:val="000000"/>
                <w:szCs w:val="14"/>
              </w:rPr>
              <w:t>318</w:t>
            </w:r>
          </w:p>
        </w:tc>
        <w:tc>
          <w:tcPr>
            <w:tcW w:w="992" w:type="dxa"/>
            <w:gridSpan w:val="2"/>
            <w:tcBorders>
              <w:top w:val="nil"/>
              <w:left w:val="nil"/>
              <w:bottom w:val="nil"/>
              <w:right w:val="nil"/>
            </w:tcBorders>
            <w:shd w:val="clear" w:color="auto" w:fill="auto"/>
            <w:vAlign w:val="center"/>
          </w:tcPr>
          <w:p w14:paraId="7255EF24"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9A6BF2">
              <w:rPr>
                <w:rFonts w:cs="Arial"/>
                <w:szCs w:val="14"/>
              </w:rPr>
              <w:t>7</w:t>
            </w:r>
            <w:r>
              <w:rPr>
                <w:rFonts w:cs="Arial"/>
                <w:szCs w:val="14"/>
              </w:rPr>
              <w:t>,</w:t>
            </w:r>
            <w:r w:rsidRPr="009A6BF2">
              <w:rPr>
                <w:rFonts w:cs="Arial"/>
                <w:szCs w:val="14"/>
              </w:rPr>
              <w:t>948</w:t>
            </w:r>
            <w:r>
              <w:rPr>
                <w:rFonts w:cs="Arial"/>
                <w:szCs w:val="14"/>
              </w:rPr>
              <w:t>,</w:t>
            </w:r>
            <w:r w:rsidRPr="009A6BF2">
              <w:rPr>
                <w:rFonts w:cs="Arial"/>
                <w:szCs w:val="14"/>
              </w:rPr>
              <w:t>880</w:t>
            </w:r>
          </w:p>
        </w:tc>
        <w:tc>
          <w:tcPr>
            <w:tcW w:w="993" w:type="dxa"/>
            <w:tcBorders>
              <w:top w:val="nil"/>
              <w:bottom w:val="nil"/>
            </w:tcBorders>
            <w:shd w:val="clear" w:color="auto" w:fill="auto"/>
            <w:vAlign w:val="center"/>
          </w:tcPr>
          <w:p w14:paraId="65C42ED6" w14:textId="77777777" w:rsidR="00991E72" w:rsidRPr="00BA1820"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9A6BF2">
              <w:rPr>
                <w:rFonts w:cs="Arial"/>
                <w:szCs w:val="14"/>
              </w:rPr>
              <w:t>7</w:t>
            </w:r>
            <w:r>
              <w:rPr>
                <w:rFonts w:cs="Arial"/>
                <w:szCs w:val="14"/>
              </w:rPr>
              <w:t>,</w:t>
            </w:r>
            <w:r w:rsidRPr="009A6BF2">
              <w:rPr>
                <w:rFonts w:cs="Arial"/>
                <w:szCs w:val="14"/>
              </w:rPr>
              <w:t>252</w:t>
            </w:r>
            <w:r>
              <w:rPr>
                <w:rFonts w:cs="Arial"/>
                <w:szCs w:val="14"/>
              </w:rPr>
              <w:t>,</w:t>
            </w:r>
            <w:r w:rsidRPr="009A6BF2">
              <w:rPr>
                <w:rFonts w:cs="Arial"/>
                <w:szCs w:val="14"/>
              </w:rPr>
              <w:t>382</w:t>
            </w:r>
          </w:p>
        </w:tc>
      </w:tr>
      <w:tr w:rsidR="00991E72" w:rsidRPr="001D6BE8" w14:paraId="224274B8"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3984A70E" w14:textId="77777777" w:rsidR="00991E72" w:rsidRPr="00C27294" w:rsidRDefault="00991E72" w:rsidP="00991E72">
            <w:pPr>
              <w:pStyle w:val="08-Tabelageral"/>
              <w:ind w:left="113"/>
              <w:jc w:val="left"/>
              <w:rPr>
                <w:rFonts w:cs="Arial"/>
                <w:b w:val="0"/>
                <w:szCs w:val="14"/>
              </w:rPr>
            </w:pPr>
            <w:r w:rsidRPr="00DC0B01">
              <w:rPr>
                <w:rFonts w:cs="Arial"/>
                <w:b w:val="0"/>
                <w:szCs w:val="14"/>
              </w:rPr>
              <w:t>Intangible</w:t>
            </w:r>
          </w:p>
        </w:tc>
        <w:tc>
          <w:tcPr>
            <w:tcW w:w="702" w:type="dxa"/>
            <w:tcBorders>
              <w:top w:val="nil"/>
              <w:bottom w:val="nil"/>
            </w:tcBorders>
            <w:shd w:val="clear" w:color="auto" w:fill="auto"/>
            <w:vAlign w:val="center"/>
          </w:tcPr>
          <w:p w14:paraId="3109855A" w14:textId="77777777" w:rsidR="00991E72" w:rsidRPr="00CC12E6"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CC12E6">
              <w:t>[19]</w:t>
            </w:r>
          </w:p>
        </w:tc>
        <w:tc>
          <w:tcPr>
            <w:tcW w:w="1123" w:type="dxa"/>
            <w:tcBorders>
              <w:top w:val="nil"/>
              <w:left w:val="nil"/>
              <w:bottom w:val="nil"/>
              <w:right w:val="nil"/>
            </w:tcBorders>
            <w:shd w:val="clear" w:color="auto" w:fill="auto"/>
            <w:vAlign w:val="center"/>
          </w:tcPr>
          <w:p w14:paraId="554D8930"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3,905</w:t>
            </w:r>
          </w:p>
        </w:tc>
        <w:tc>
          <w:tcPr>
            <w:tcW w:w="1172" w:type="dxa"/>
            <w:tcBorders>
              <w:top w:val="nil"/>
              <w:left w:val="nil"/>
              <w:bottom w:val="nil"/>
              <w:right w:val="nil"/>
            </w:tcBorders>
            <w:shd w:val="clear" w:color="auto" w:fill="auto"/>
            <w:vAlign w:val="center"/>
          </w:tcPr>
          <w:p w14:paraId="1A94D8D2"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4</w:t>
            </w:r>
            <w:r>
              <w:rPr>
                <w:rFonts w:cs="Arial"/>
                <w:szCs w:val="14"/>
              </w:rPr>
              <w:t>,</w:t>
            </w:r>
            <w:r w:rsidRPr="00AA591E">
              <w:rPr>
                <w:rFonts w:cs="Arial"/>
                <w:szCs w:val="14"/>
              </w:rPr>
              <w:t>021</w:t>
            </w:r>
          </w:p>
        </w:tc>
        <w:tc>
          <w:tcPr>
            <w:tcW w:w="995" w:type="dxa"/>
            <w:gridSpan w:val="2"/>
            <w:tcBorders>
              <w:top w:val="nil"/>
              <w:bottom w:val="nil"/>
            </w:tcBorders>
            <w:shd w:val="clear" w:color="auto" w:fill="auto"/>
            <w:vAlign w:val="center"/>
          </w:tcPr>
          <w:p w14:paraId="5B4EB6B8" w14:textId="77777777" w:rsidR="00991E72" w:rsidRPr="00243EAC"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c>
          <w:tcPr>
            <w:tcW w:w="286" w:type="dxa"/>
            <w:gridSpan w:val="2"/>
            <w:tcBorders>
              <w:top w:val="nil"/>
              <w:bottom w:val="nil"/>
            </w:tcBorders>
            <w:shd w:val="clear" w:color="auto" w:fill="auto"/>
            <w:vAlign w:val="center"/>
          </w:tcPr>
          <w:p w14:paraId="75C4A727"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144D7C1B"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3,905</w:t>
            </w:r>
          </w:p>
        </w:tc>
        <w:tc>
          <w:tcPr>
            <w:tcW w:w="992" w:type="dxa"/>
            <w:gridSpan w:val="2"/>
            <w:tcBorders>
              <w:top w:val="nil"/>
              <w:left w:val="nil"/>
              <w:bottom w:val="nil"/>
              <w:right w:val="nil"/>
            </w:tcBorders>
            <w:shd w:val="clear" w:color="auto" w:fill="auto"/>
            <w:vAlign w:val="center"/>
          </w:tcPr>
          <w:p w14:paraId="7B9ED1E0"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4</w:t>
            </w:r>
            <w:r>
              <w:rPr>
                <w:rFonts w:cs="Arial"/>
                <w:szCs w:val="14"/>
              </w:rPr>
              <w:t>,</w:t>
            </w:r>
            <w:r w:rsidRPr="00090668">
              <w:rPr>
                <w:rFonts w:cs="Arial"/>
                <w:szCs w:val="14"/>
              </w:rPr>
              <w:t>021</w:t>
            </w:r>
          </w:p>
        </w:tc>
        <w:tc>
          <w:tcPr>
            <w:tcW w:w="993" w:type="dxa"/>
            <w:tcBorders>
              <w:top w:val="nil"/>
              <w:bottom w:val="nil"/>
            </w:tcBorders>
            <w:shd w:val="clear" w:color="auto" w:fill="auto"/>
            <w:vAlign w:val="center"/>
          </w:tcPr>
          <w:p w14:paraId="16E675D0" w14:textId="77777777" w:rsidR="00991E72" w:rsidRPr="00BA1820"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r>
      <w:tr w:rsidR="00991E72" w:rsidRPr="001D6BE8" w14:paraId="5DC49AEE"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6A848D9C" w14:textId="77777777" w:rsidR="00991E72" w:rsidRPr="0038031F" w:rsidRDefault="00991E72" w:rsidP="00991E72">
            <w:pPr>
              <w:pStyle w:val="08-Tabelageral"/>
              <w:ind w:left="113"/>
              <w:jc w:val="left"/>
              <w:rPr>
                <w:rFonts w:cs="Arial"/>
                <w:b w:val="0"/>
                <w:szCs w:val="14"/>
              </w:rPr>
            </w:pPr>
            <w:r w:rsidRPr="00C27294">
              <w:rPr>
                <w:rFonts w:cs="Arial"/>
                <w:b w:val="0"/>
                <w:szCs w:val="14"/>
              </w:rPr>
              <w:t>Other assets</w:t>
            </w:r>
          </w:p>
        </w:tc>
        <w:tc>
          <w:tcPr>
            <w:tcW w:w="702" w:type="dxa"/>
            <w:tcBorders>
              <w:top w:val="nil"/>
              <w:bottom w:val="nil"/>
            </w:tcBorders>
            <w:shd w:val="clear" w:color="auto" w:fill="auto"/>
            <w:vAlign w:val="center"/>
          </w:tcPr>
          <w:p w14:paraId="7A39808C"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CC12E6">
              <w:t>[20]</w:t>
            </w:r>
          </w:p>
        </w:tc>
        <w:tc>
          <w:tcPr>
            <w:tcW w:w="1123" w:type="dxa"/>
            <w:tcBorders>
              <w:top w:val="nil"/>
              <w:bottom w:val="nil"/>
            </w:tcBorders>
            <w:shd w:val="clear" w:color="auto" w:fill="auto"/>
            <w:vAlign w:val="center"/>
          </w:tcPr>
          <w:p w14:paraId="0B0563C3"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53</w:t>
            </w:r>
          </w:p>
        </w:tc>
        <w:tc>
          <w:tcPr>
            <w:tcW w:w="1172" w:type="dxa"/>
            <w:tcBorders>
              <w:top w:val="nil"/>
              <w:bottom w:val="nil"/>
            </w:tcBorders>
            <w:shd w:val="clear" w:color="auto" w:fill="auto"/>
            <w:vAlign w:val="center"/>
          </w:tcPr>
          <w:p w14:paraId="68D0EEB4"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58</w:t>
            </w:r>
          </w:p>
        </w:tc>
        <w:tc>
          <w:tcPr>
            <w:tcW w:w="995" w:type="dxa"/>
            <w:gridSpan w:val="2"/>
            <w:tcBorders>
              <w:top w:val="nil"/>
              <w:bottom w:val="nil"/>
            </w:tcBorders>
            <w:shd w:val="clear" w:color="auto" w:fill="auto"/>
            <w:vAlign w:val="center"/>
          </w:tcPr>
          <w:p w14:paraId="32625871"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40</w:t>
            </w:r>
          </w:p>
        </w:tc>
        <w:tc>
          <w:tcPr>
            <w:tcW w:w="286" w:type="dxa"/>
            <w:gridSpan w:val="2"/>
            <w:tcBorders>
              <w:top w:val="nil"/>
              <w:bottom w:val="nil"/>
            </w:tcBorders>
            <w:shd w:val="clear" w:color="auto" w:fill="auto"/>
            <w:vAlign w:val="center"/>
          </w:tcPr>
          <w:p w14:paraId="01E7B3DB"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30EB9301"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224,844</w:t>
            </w:r>
          </w:p>
        </w:tc>
        <w:tc>
          <w:tcPr>
            <w:tcW w:w="992" w:type="dxa"/>
            <w:gridSpan w:val="2"/>
            <w:tcBorders>
              <w:top w:val="nil"/>
              <w:bottom w:val="nil"/>
            </w:tcBorders>
            <w:shd w:val="clear" w:color="auto" w:fill="auto"/>
            <w:vAlign w:val="center"/>
          </w:tcPr>
          <w:p w14:paraId="58735AEA"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221</w:t>
            </w:r>
            <w:r>
              <w:rPr>
                <w:rFonts w:cs="Arial"/>
                <w:szCs w:val="14"/>
              </w:rPr>
              <w:t>,</w:t>
            </w:r>
            <w:r w:rsidRPr="00090668">
              <w:rPr>
                <w:rFonts w:cs="Arial"/>
                <w:szCs w:val="14"/>
              </w:rPr>
              <w:t>882</w:t>
            </w:r>
          </w:p>
        </w:tc>
        <w:tc>
          <w:tcPr>
            <w:tcW w:w="993" w:type="dxa"/>
            <w:tcBorders>
              <w:top w:val="nil"/>
              <w:bottom w:val="nil"/>
            </w:tcBorders>
            <w:shd w:val="clear" w:color="auto" w:fill="auto"/>
            <w:vAlign w:val="center"/>
          </w:tcPr>
          <w:p w14:paraId="5C73B3C6"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214</w:t>
            </w:r>
            <w:r>
              <w:rPr>
                <w:rFonts w:cs="Arial"/>
                <w:szCs w:val="14"/>
              </w:rPr>
              <w:t>,</w:t>
            </w:r>
            <w:r w:rsidRPr="00EE1C73">
              <w:rPr>
                <w:rFonts w:cs="Arial"/>
                <w:szCs w:val="14"/>
              </w:rPr>
              <w:t>187</w:t>
            </w:r>
          </w:p>
        </w:tc>
      </w:tr>
      <w:tr w:rsidR="00991E72" w:rsidRPr="001D6BE8" w14:paraId="4032D91D"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5A787ACB" w14:textId="77777777" w:rsidR="00991E72" w:rsidRPr="0038031F" w:rsidRDefault="00991E72" w:rsidP="00991E72">
            <w:pPr>
              <w:pStyle w:val="08-Tabelageral"/>
              <w:jc w:val="left"/>
              <w:rPr>
                <w:rFonts w:cs="Arial"/>
                <w:b w:val="0"/>
                <w:szCs w:val="14"/>
              </w:rPr>
            </w:pPr>
          </w:p>
        </w:tc>
        <w:tc>
          <w:tcPr>
            <w:tcW w:w="702" w:type="dxa"/>
            <w:tcBorders>
              <w:top w:val="nil"/>
              <w:bottom w:val="nil"/>
            </w:tcBorders>
            <w:shd w:val="clear" w:color="auto" w:fill="auto"/>
            <w:vAlign w:val="center"/>
          </w:tcPr>
          <w:p w14:paraId="5B0BB1E2"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1123" w:type="dxa"/>
            <w:tcBorders>
              <w:top w:val="nil"/>
              <w:bottom w:val="nil"/>
            </w:tcBorders>
            <w:shd w:val="clear" w:color="auto" w:fill="auto"/>
            <w:vAlign w:val="center"/>
          </w:tcPr>
          <w:p w14:paraId="6AB419C5"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1A4D7F46"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5" w:type="dxa"/>
            <w:gridSpan w:val="2"/>
            <w:tcBorders>
              <w:top w:val="nil"/>
              <w:bottom w:val="nil"/>
            </w:tcBorders>
            <w:shd w:val="clear" w:color="auto" w:fill="auto"/>
            <w:vAlign w:val="center"/>
          </w:tcPr>
          <w:p w14:paraId="2A1858B4"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030FB4AE"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0C932F09"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05802C1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tcBorders>
              <w:top w:val="nil"/>
              <w:bottom w:val="nil"/>
            </w:tcBorders>
            <w:shd w:val="clear" w:color="auto" w:fill="auto"/>
            <w:vAlign w:val="center"/>
          </w:tcPr>
          <w:p w14:paraId="212915B7"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1D6BE8" w14:paraId="5AF90729"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79BFF2FE" w14:textId="77777777" w:rsidR="00991E72" w:rsidRPr="00CD3714" w:rsidRDefault="00991E72" w:rsidP="00991E72">
            <w:pPr>
              <w:pStyle w:val="08-Tabelageral"/>
              <w:jc w:val="left"/>
              <w:rPr>
                <w:rFonts w:cs="Arial"/>
                <w:szCs w:val="14"/>
              </w:rPr>
            </w:pPr>
            <w:r w:rsidRPr="00C27294">
              <w:rPr>
                <w:rFonts w:cs="Arial"/>
                <w:szCs w:val="14"/>
              </w:rPr>
              <w:t>Total Assets</w:t>
            </w:r>
          </w:p>
        </w:tc>
        <w:tc>
          <w:tcPr>
            <w:tcW w:w="702" w:type="dxa"/>
            <w:tcBorders>
              <w:top w:val="nil"/>
              <w:bottom w:val="nil"/>
            </w:tcBorders>
            <w:shd w:val="clear" w:color="auto" w:fill="auto"/>
            <w:vAlign w:val="center"/>
          </w:tcPr>
          <w:p w14:paraId="53D9E2B9" w14:textId="77777777" w:rsidR="00991E72" w:rsidRPr="00CD3714"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noProof/>
              </w:rPr>
            </w:pPr>
          </w:p>
        </w:tc>
        <w:tc>
          <w:tcPr>
            <w:tcW w:w="1123" w:type="dxa"/>
            <w:tcBorders>
              <w:top w:val="nil"/>
              <w:bottom w:val="nil"/>
            </w:tcBorders>
            <w:shd w:val="clear" w:color="auto" w:fill="auto"/>
            <w:vAlign w:val="center"/>
          </w:tcPr>
          <w:p w14:paraId="68DBB523"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szCs w:val="14"/>
              </w:rPr>
              <w:t>10</w:t>
            </w:r>
            <w:r>
              <w:rPr>
                <w:rFonts w:cs="Arial"/>
                <w:b/>
                <w:szCs w:val="14"/>
              </w:rPr>
              <w:t>,</w:t>
            </w:r>
            <w:r w:rsidRPr="009A6BF2">
              <w:rPr>
                <w:rFonts w:cs="Arial"/>
                <w:b/>
                <w:szCs w:val="14"/>
              </w:rPr>
              <w:t>059</w:t>
            </w:r>
            <w:r>
              <w:rPr>
                <w:rFonts w:cs="Arial"/>
                <w:b/>
                <w:szCs w:val="14"/>
              </w:rPr>
              <w:t>,</w:t>
            </w:r>
            <w:r w:rsidRPr="009A6BF2">
              <w:rPr>
                <w:rFonts w:cs="Arial"/>
                <w:b/>
                <w:szCs w:val="14"/>
              </w:rPr>
              <w:t>100</w:t>
            </w:r>
          </w:p>
        </w:tc>
        <w:tc>
          <w:tcPr>
            <w:tcW w:w="1172" w:type="dxa"/>
            <w:tcBorders>
              <w:top w:val="nil"/>
              <w:bottom w:val="nil"/>
            </w:tcBorders>
            <w:shd w:val="clear" w:color="auto" w:fill="auto"/>
            <w:vAlign w:val="center"/>
          </w:tcPr>
          <w:p w14:paraId="4FC0E910"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9A6BF2">
              <w:rPr>
                <w:rFonts w:cs="Arial"/>
                <w:b/>
                <w:szCs w:val="14"/>
              </w:rPr>
              <w:t>11</w:t>
            </w:r>
            <w:r>
              <w:rPr>
                <w:rFonts w:cs="Arial"/>
                <w:b/>
                <w:szCs w:val="14"/>
              </w:rPr>
              <w:t>,</w:t>
            </w:r>
            <w:r w:rsidRPr="009A6BF2">
              <w:rPr>
                <w:rFonts w:cs="Arial"/>
                <w:b/>
                <w:szCs w:val="14"/>
              </w:rPr>
              <w:t>714</w:t>
            </w:r>
            <w:r>
              <w:rPr>
                <w:rFonts w:cs="Arial"/>
                <w:b/>
                <w:szCs w:val="14"/>
              </w:rPr>
              <w:t>,</w:t>
            </w:r>
            <w:r w:rsidRPr="009A6BF2">
              <w:rPr>
                <w:rFonts w:cs="Arial"/>
                <w:b/>
                <w:szCs w:val="14"/>
              </w:rPr>
              <w:t>494</w:t>
            </w:r>
          </w:p>
        </w:tc>
        <w:tc>
          <w:tcPr>
            <w:tcW w:w="995" w:type="dxa"/>
            <w:gridSpan w:val="2"/>
            <w:tcBorders>
              <w:top w:val="nil"/>
              <w:bottom w:val="nil"/>
            </w:tcBorders>
            <w:shd w:val="clear" w:color="auto" w:fill="auto"/>
            <w:vAlign w:val="center"/>
          </w:tcPr>
          <w:p w14:paraId="36B9F37D"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9A6BF2">
              <w:rPr>
                <w:rFonts w:cs="Arial"/>
                <w:b/>
                <w:szCs w:val="14"/>
              </w:rPr>
              <w:t>9</w:t>
            </w:r>
            <w:r>
              <w:rPr>
                <w:rFonts w:cs="Arial"/>
                <w:b/>
                <w:szCs w:val="14"/>
              </w:rPr>
              <w:t>,</w:t>
            </w:r>
            <w:r w:rsidRPr="009A6BF2">
              <w:rPr>
                <w:rFonts w:cs="Arial"/>
                <w:b/>
                <w:szCs w:val="14"/>
              </w:rPr>
              <w:t>239</w:t>
            </w:r>
            <w:r>
              <w:rPr>
                <w:rFonts w:cs="Arial"/>
                <w:b/>
                <w:szCs w:val="14"/>
              </w:rPr>
              <w:t>,</w:t>
            </w:r>
            <w:r w:rsidRPr="009A6BF2">
              <w:rPr>
                <w:rFonts w:cs="Arial"/>
                <w:b/>
                <w:szCs w:val="14"/>
              </w:rPr>
              <w:t>559</w:t>
            </w:r>
          </w:p>
        </w:tc>
        <w:tc>
          <w:tcPr>
            <w:tcW w:w="286" w:type="dxa"/>
            <w:gridSpan w:val="2"/>
            <w:tcBorders>
              <w:top w:val="nil"/>
              <w:bottom w:val="nil"/>
            </w:tcBorders>
            <w:shd w:val="clear" w:color="auto" w:fill="auto"/>
            <w:vAlign w:val="center"/>
          </w:tcPr>
          <w:p w14:paraId="16BED2BC"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6" w:type="dxa"/>
            <w:gridSpan w:val="3"/>
            <w:tcBorders>
              <w:top w:val="nil"/>
              <w:bottom w:val="nil"/>
            </w:tcBorders>
            <w:shd w:val="clear" w:color="auto" w:fill="auto"/>
            <w:vAlign w:val="center"/>
          </w:tcPr>
          <w:p w14:paraId="31A74559"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szCs w:val="14"/>
              </w:rPr>
              <w:t>14</w:t>
            </w:r>
            <w:r>
              <w:rPr>
                <w:rFonts w:cs="Arial"/>
                <w:b/>
                <w:bCs/>
                <w:szCs w:val="14"/>
              </w:rPr>
              <w:t>,</w:t>
            </w:r>
            <w:r w:rsidRPr="009A6BF2">
              <w:rPr>
                <w:rFonts w:cs="Arial"/>
                <w:b/>
                <w:bCs/>
                <w:szCs w:val="14"/>
              </w:rPr>
              <w:t>397</w:t>
            </w:r>
            <w:r>
              <w:rPr>
                <w:rFonts w:cs="Arial"/>
                <w:b/>
                <w:bCs/>
                <w:szCs w:val="14"/>
              </w:rPr>
              <w:t>,</w:t>
            </w:r>
            <w:r w:rsidRPr="009A6BF2">
              <w:rPr>
                <w:rFonts w:cs="Arial"/>
                <w:b/>
                <w:bCs/>
                <w:szCs w:val="14"/>
              </w:rPr>
              <w:t>844</w:t>
            </w:r>
          </w:p>
        </w:tc>
        <w:tc>
          <w:tcPr>
            <w:tcW w:w="992" w:type="dxa"/>
            <w:gridSpan w:val="2"/>
            <w:tcBorders>
              <w:top w:val="nil"/>
              <w:bottom w:val="nil"/>
            </w:tcBorders>
            <w:shd w:val="clear" w:color="auto" w:fill="auto"/>
            <w:vAlign w:val="center"/>
          </w:tcPr>
          <w:p w14:paraId="791C3302"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szCs w:val="14"/>
              </w:rPr>
              <w:t>16</w:t>
            </w:r>
            <w:r>
              <w:rPr>
                <w:rFonts w:cs="Arial"/>
                <w:b/>
                <w:bCs/>
                <w:szCs w:val="14"/>
              </w:rPr>
              <w:t>,</w:t>
            </w:r>
            <w:r w:rsidRPr="009A6BF2">
              <w:rPr>
                <w:rFonts w:cs="Arial"/>
                <w:b/>
                <w:bCs/>
                <w:szCs w:val="14"/>
              </w:rPr>
              <w:t>561</w:t>
            </w:r>
            <w:r>
              <w:rPr>
                <w:rFonts w:cs="Arial"/>
                <w:b/>
                <w:bCs/>
                <w:szCs w:val="14"/>
              </w:rPr>
              <w:t>,</w:t>
            </w:r>
            <w:r w:rsidRPr="009A6BF2">
              <w:rPr>
                <w:rFonts w:cs="Arial"/>
                <w:b/>
                <w:bCs/>
                <w:szCs w:val="14"/>
              </w:rPr>
              <w:t>902</w:t>
            </w:r>
          </w:p>
        </w:tc>
        <w:tc>
          <w:tcPr>
            <w:tcW w:w="993" w:type="dxa"/>
            <w:tcBorders>
              <w:top w:val="nil"/>
              <w:bottom w:val="nil"/>
            </w:tcBorders>
            <w:shd w:val="clear" w:color="auto" w:fill="auto"/>
            <w:vAlign w:val="center"/>
          </w:tcPr>
          <w:p w14:paraId="49DDBF19"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9A6BF2">
              <w:rPr>
                <w:rFonts w:cs="Arial"/>
                <w:b/>
                <w:bCs/>
                <w:szCs w:val="14"/>
              </w:rPr>
              <w:t>13</w:t>
            </w:r>
            <w:r>
              <w:rPr>
                <w:rFonts w:cs="Arial"/>
                <w:b/>
                <w:bCs/>
                <w:szCs w:val="14"/>
              </w:rPr>
              <w:t>,</w:t>
            </w:r>
            <w:r w:rsidRPr="009A6BF2">
              <w:rPr>
                <w:rFonts w:cs="Arial"/>
                <w:b/>
                <w:bCs/>
                <w:szCs w:val="14"/>
              </w:rPr>
              <w:t>429</w:t>
            </w:r>
            <w:r>
              <w:rPr>
                <w:rFonts w:cs="Arial"/>
                <w:b/>
                <w:bCs/>
                <w:szCs w:val="14"/>
              </w:rPr>
              <w:t>,</w:t>
            </w:r>
            <w:r w:rsidRPr="009A6BF2">
              <w:rPr>
                <w:rFonts w:cs="Arial"/>
                <w:b/>
                <w:bCs/>
                <w:szCs w:val="14"/>
              </w:rPr>
              <w:t>362</w:t>
            </w:r>
          </w:p>
        </w:tc>
      </w:tr>
      <w:tr w:rsidR="00991E72" w:rsidRPr="001D6BE8" w14:paraId="2C2F12D4"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E948B02" w14:textId="77777777" w:rsidR="00991E72" w:rsidRPr="0038031F" w:rsidRDefault="00991E72" w:rsidP="00991E72">
            <w:pPr>
              <w:pStyle w:val="08-Tabelageral"/>
              <w:jc w:val="left"/>
              <w:rPr>
                <w:rFonts w:cs="Arial"/>
                <w:b w:val="0"/>
                <w:color w:val="FF0000"/>
                <w:szCs w:val="14"/>
              </w:rPr>
            </w:pPr>
          </w:p>
        </w:tc>
        <w:tc>
          <w:tcPr>
            <w:tcW w:w="702" w:type="dxa"/>
            <w:tcBorders>
              <w:top w:val="nil"/>
              <w:bottom w:val="nil"/>
            </w:tcBorders>
            <w:shd w:val="clear" w:color="auto" w:fill="auto"/>
            <w:vAlign w:val="center"/>
          </w:tcPr>
          <w:p w14:paraId="43A5A0C5"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23" w:type="dxa"/>
            <w:tcBorders>
              <w:top w:val="nil"/>
              <w:bottom w:val="nil"/>
            </w:tcBorders>
            <w:shd w:val="clear" w:color="auto" w:fill="auto"/>
            <w:vAlign w:val="center"/>
          </w:tcPr>
          <w:p w14:paraId="441585A0"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08B41FB9"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5" w:type="dxa"/>
            <w:gridSpan w:val="2"/>
            <w:tcBorders>
              <w:top w:val="nil"/>
              <w:bottom w:val="nil"/>
            </w:tcBorders>
            <w:shd w:val="clear" w:color="auto" w:fill="auto"/>
            <w:vAlign w:val="center"/>
          </w:tcPr>
          <w:p w14:paraId="0131B276"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6A97F975"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6349FE3B"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28AB04FC"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tcBorders>
              <w:top w:val="nil"/>
              <w:bottom w:val="nil"/>
            </w:tcBorders>
            <w:shd w:val="clear" w:color="auto" w:fill="auto"/>
            <w:vAlign w:val="center"/>
          </w:tcPr>
          <w:p w14:paraId="43EB126F"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1D6BE8" w14:paraId="2CFD8276"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24F21513" w14:textId="77777777" w:rsidR="00991E72" w:rsidRPr="00CD3714" w:rsidRDefault="00991E72" w:rsidP="00991E72">
            <w:pPr>
              <w:pStyle w:val="08-Tabelageral"/>
              <w:jc w:val="left"/>
            </w:pPr>
            <w:r w:rsidRPr="00C27294">
              <w:t>Current Liabilities</w:t>
            </w:r>
          </w:p>
        </w:tc>
        <w:tc>
          <w:tcPr>
            <w:tcW w:w="702" w:type="dxa"/>
            <w:tcBorders>
              <w:top w:val="nil"/>
              <w:bottom w:val="nil"/>
            </w:tcBorders>
            <w:shd w:val="clear" w:color="auto" w:fill="auto"/>
            <w:vAlign w:val="center"/>
          </w:tcPr>
          <w:p w14:paraId="761F4D5F"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23" w:type="dxa"/>
            <w:tcBorders>
              <w:top w:val="nil"/>
              <w:left w:val="nil"/>
              <w:bottom w:val="nil"/>
              <w:right w:val="nil"/>
            </w:tcBorders>
            <w:shd w:val="clear" w:color="auto" w:fill="auto"/>
            <w:vAlign w:val="center"/>
          </w:tcPr>
          <w:p w14:paraId="29E81CB1"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color w:val="000000"/>
                <w:szCs w:val="14"/>
              </w:rPr>
              <w:t>11</w:t>
            </w:r>
            <w:r>
              <w:rPr>
                <w:rFonts w:cs="Arial"/>
                <w:b/>
                <w:bCs/>
                <w:color w:val="000000"/>
                <w:szCs w:val="14"/>
              </w:rPr>
              <w:t>,</w:t>
            </w:r>
            <w:r w:rsidRPr="009A6BF2">
              <w:rPr>
                <w:rFonts w:cs="Arial"/>
                <w:b/>
                <w:bCs/>
                <w:color w:val="000000"/>
                <w:szCs w:val="14"/>
              </w:rPr>
              <w:t>705</w:t>
            </w:r>
          </w:p>
        </w:tc>
        <w:tc>
          <w:tcPr>
            <w:tcW w:w="1172" w:type="dxa"/>
            <w:tcBorders>
              <w:top w:val="nil"/>
              <w:left w:val="nil"/>
              <w:bottom w:val="nil"/>
              <w:right w:val="nil"/>
            </w:tcBorders>
            <w:shd w:val="clear" w:color="auto" w:fill="auto"/>
            <w:vAlign w:val="center"/>
          </w:tcPr>
          <w:p w14:paraId="48A16A6C"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8C773A">
              <w:rPr>
                <w:rFonts w:cs="Arial"/>
                <w:b/>
                <w:bCs/>
                <w:szCs w:val="14"/>
              </w:rPr>
              <w:t>3</w:t>
            </w:r>
            <w:r>
              <w:rPr>
                <w:rFonts w:cs="Arial"/>
                <w:b/>
                <w:bCs/>
                <w:szCs w:val="14"/>
              </w:rPr>
              <w:t>,</w:t>
            </w:r>
            <w:r w:rsidRPr="008C773A">
              <w:rPr>
                <w:rFonts w:cs="Arial"/>
                <w:b/>
                <w:bCs/>
                <w:szCs w:val="14"/>
              </w:rPr>
              <w:t>686</w:t>
            </w:r>
            <w:r>
              <w:rPr>
                <w:rFonts w:cs="Arial"/>
                <w:b/>
                <w:bCs/>
                <w:szCs w:val="14"/>
              </w:rPr>
              <w:t>,</w:t>
            </w:r>
            <w:r w:rsidRPr="008C773A">
              <w:rPr>
                <w:rFonts w:cs="Arial"/>
                <w:b/>
                <w:bCs/>
                <w:szCs w:val="14"/>
              </w:rPr>
              <w:t>29</w:t>
            </w:r>
            <w:r>
              <w:rPr>
                <w:rFonts w:cs="Arial"/>
                <w:b/>
                <w:bCs/>
                <w:szCs w:val="14"/>
              </w:rPr>
              <w:t>5</w:t>
            </w:r>
          </w:p>
        </w:tc>
        <w:tc>
          <w:tcPr>
            <w:tcW w:w="995" w:type="dxa"/>
            <w:gridSpan w:val="2"/>
            <w:tcBorders>
              <w:top w:val="nil"/>
              <w:bottom w:val="nil"/>
            </w:tcBorders>
            <w:shd w:val="clear" w:color="auto" w:fill="auto"/>
            <w:vAlign w:val="center"/>
          </w:tcPr>
          <w:p w14:paraId="737C8CF2"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7F08BB">
              <w:rPr>
                <w:rFonts w:cs="Arial"/>
                <w:b/>
                <w:bCs/>
                <w:szCs w:val="14"/>
              </w:rPr>
              <w:t>1</w:t>
            </w:r>
            <w:r>
              <w:rPr>
                <w:rFonts w:cs="Arial"/>
                <w:b/>
                <w:bCs/>
                <w:szCs w:val="14"/>
              </w:rPr>
              <w:t>,</w:t>
            </w:r>
            <w:r w:rsidRPr="007F08BB">
              <w:rPr>
                <w:rFonts w:cs="Arial"/>
                <w:b/>
                <w:bCs/>
                <w:szCs w:val="14"/>
              </w:rPr>
              <w:t>842</w:t>
            </w:r>
            <w:r>
              <w:rPr>
                <w:rFonts w:cs="Arial"/>
                <w:b/>
                <w:bCs/>
                <w:szCs w:val="14"/>
              </w:rPr>
              <w:t>,</w:t>
            </w:r>
            <w:r w:rsidRPr="007F08BB">
              <w:rPr>
                <w:rFonts w:cs="Arial"/>
                <w:b/>
                <w:bCs/>
                <w:szCs w:val="14"/>
              </w:rPr>
              <w:t>974</w:t>
            </w:r>
          </w:p>
        </w:tc>
        <w:tc>
          <w:tcPr>
            <w:tcW w:w="286" w:type="dxa"/>
            <w:gridSpan w:val="2"/>
            <w:tcBorders>
              <w:top w:val="nil"/>
              <w:bottom w:val="nil"/>
            </w:tcBorders>
            <w:shd w:val="clear" w:color="auto" w:fill="auto"/>
            <w:vAlign w:val="center"/>
          </w:tcPr>
          <w:p w14:paraId="0C380658"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6" w:type="dxa"/>
            <w:gridSpan w:val="3"/>
            <w:tcBorders>
              <w:top w:val="nil"/>
              <w:left w:val="nil"/>
              <w:bottom w:val="nil"/>
              <w:right w:val="nil"/>
            </w:tcBorders>
            <w:shd w:val="clear" w:color="auto" w:fill="auto"/>
            <w:vAlign w:val="center"/>
          </w:tcPr>
          <w:p w14:paraId="5C581D22"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2,081,272</w:t>
            </w:r>
          </w:p>
        </w:tc>
        <w:tc>
          <w:tcPr>
            <w:tcW w:w="992" w:type="dxa"/>
            <w:gridSpan w:val="2"/>
            <w:tcBorders>
              <w:top w:val="nil"/>
              <w:left w:val="nil"/>
              <w:bottom w:val="nil"/>
              <w:right w:val="nil"/>
            </w:tcBorders>
            <w:shd w:val="clear" w:color="auto" w:fill="auto"/>
            <w:vAlign w:val="center"/>
          </w:tcPr>
          <w:p w14:paraId="3B627FE9" w14:textId="77777777" w:rsidR="00991E72" w:rsidRPr="00F57304"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090668">
              <w:rPr>
                <w:rFonts w:cs="Arial"/>
                <w:b/>
                <w:bCs/>
                <w:szCs w:val="14"/>
              </w:rPr>
              <w:t>6</w:t>
            </w:r>
            <w:r>
              <w:rPr>
                <w:rFonts w:cs="Arial"/>
                <w:b/>
                <w:bCs/>
                <w:szCs w:val="14"/>
              </w:rPr>
              <w:t>,</w:t>
            </w:r>
            <w:r w:rsidRPr="00090668">
              <w:rPr>
                <w:rFonts w:cs="Arial"/>
                <w:b/>
                <w:bCs/>
                <w:szCs w:val="14"/>
              </w:rPr>
              <w:t>508</w:t>
            </w:r>
            <w:r>
              <w:rPr>
                <w:rFonts w:cs="Arial"/>
                <w:b/>
                <w:bCs/>
                <w:szCs w:val="14"/>
              </w:rPr>
              <w:t>,</w:t>
            </w:r>
            <w:r w:rsidRPr="00090668">
              <w:rPr>
                <w:rFonts w:cs="Arial"/>
                <w:b/>
                <w:bCs/>
                <w:szCs w:val="14"/>
              </w:rPr>
              <w:t>16</w:t>
            </w:r>
            <w:r>
              <w:rPr>
                <w:rFonts w:cs="Arial"/>
                <w:b/>
                <w:bCs/>
                <w:szCs w:val="14"/>
              </w:rPr>
              <w:t>8</w:t>
            </w:r>
          </w:p>
        </w:tc>
        <w:tc>
          <w:tcPr>
            <w:tcW w:w="993" w:type="dxa"/>
            <w:tcBorders>
              <w:top w:val="nil"/>
              <w:bottom w:val="nil"/>
            </w:tcBorders>
            <w:shd w:val="clear" w:color="auto" w:fill="auto"/>
            <w:vAlign w:val="center"/>
          </w:tcPr>
          <w:p w14:paraId="4CD1F053"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F57304">
              <w:rPr>
                <w:rFonts w:cs="Arial"/>
                <w:b/>
                <w:bCs/>
                <w:szCs w:val="14"/>
              </w:rPr>
              <w:t>3</w:t>
            </w:r>
            <w:r>
              <w:rPr>
                <w:rFonts w:cs="Arial"/>
                <w:b/>
                <w:bCs/>
                <w:szCs w:val="14"/>
              </w:rPr>
              <w:t>,</w:t>
            </w:r>
            <w:r w:rsidRPr="00F57304">
              <w:rPr>
                <w:rFonts w:cs="Arial"/>
                <w:b/>
                <w:bCs/>
                <w:szCs w:val="14"/>
              </w:rPr>
              <w:t>999</w:t>
            </w:r>
            <w:r>
              <w:rPr>
                <w:rFonts w:cs="Arial"/>
                <w:b/>
                <w:bCs/>
                <w:szCs w:val="14"/>
              </w:rPr>
              <w:t>,</w:t>
            </w:r>
            <w:r w:rsidRPr="00F57304">
              <w:rPr>
                <w:rFonts w:cs="Arial"/>
                <w:b/>
                <w:bCs/>
                <w:szCs w:val="14"/>
              </w:rPr>
              <w:t>277</w:t>
            </w:r>
          </w:p>
        </w:tc>
      </w:tr>
      <w:tr w:rsidR="00991E72" w:rsidRPr="001D6BE8" w14:paraId="34F577DE"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482A856" w14:textId="77777777" w:rsidR="00991E72" w:rsidRPr="0038031F" w:rsidRDefault="00991E72" w:rsidP="00991E72">
            <w:pPr>
              <w:pStyle w:val="08-Tabelageral"/>
              <w:ind w:left="113"/>
              <w:jc w:val="left"/>
              <w:rPr>
                <w:b w:val="0"/>
              </w:rPr>
            </w:pPr>
            <w:r>
              <w:rPr>
                <w:b w:val="0"/>
              </w:rPr>
              <w:t>S</w:t>
            </w:r>
            <w:r w:rsidRPr="00D546E8">
              <w:rPr>
                <w:b w:val="0"/>
              </w:rPr>
              <w:t>tatutory obligation</w:t>
            </w:r>
          </w:p>
        </w:tc>
        <w:tc>
          <w:tcPr>
            <w:tcW w:w="702" w:type="dxa"/>
            <w:tcBorders>
              <w:top w:val="nil"/>
              <w:bottom w:val="nil"/>
            </w:tcBorders>
            <w:shd w:val="clear" w:color="auto" w:fill="auto"/>
            <w:vAlign w:val="center"/>
          </w:tcPr>
          <w:p w14:paraId="738098F2"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[21]</w:t>
            </w:r>
          </w:p>
        </w:tc>
        <w:tc>
          <w:tcPr>
            <w:tcW w:w="1123" w:type="dxa"/>
            <w:tcBorders>
              <w:top w:val="nil"/>
              <w:left w:val="nil"/>
              <w:bottom w:val="nil"/>
              <w:right w:val="nil"/>
            </w:tcBorders>
            <w:shd w:val="clear" w:color="auto" w:fill="auto"/>
            <w:vAlign w:val="center"/>
          </w:tcPr>
          <w:p w14:paraId="2778747A"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67720">
              <w:rPr>
                <w:rFonts w:cs="Arial"/>
                <w:color w:val="000000"/>
                <w:szCs w:val="14"/>
              </w:rPr>
              <w:t>299</w:t>
            </w:r>
          </w:p>
        </w:tc>
        <w:tc>
          <w:tcPr>
            <w:tcW w:w="1172" w:type="dxa"/>
            <w:tcBorders>
              <w:top w:val="nil"/>
              <w:left w:val="nil"/>
              <w:bottom w:val="nil"/>
              <w:right w:val="nil"/>
            </w:tcBorders>
            <w:shd w:val="clear" w:color="auto" w:fill="auto"/>
            <w:vAlign w:val="center"/>
          </w:tcPr>
          <w:p w14:paraId="531929D6"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3</w:t>
            </w:r>
            <w:r>
              <w:rPr>
                <w:rFonts w:cs="Arial"/>
                <w:szCs w:val="14"/>
              </w:rPr>
              <w:t>,</w:t>
            </w:r>
            <w:r w:rsidRPr="008C773A">
              <w:rPr>
                <w:rFonts w:cs="Arial"/>
                <w:szCs w:val="14"/>
              </w:rPr>
              <w:t>674</w:t>
            </w:r>
            <w:r>
              <w:rPr>
                <w:rFonts w:cs="Arial"/>
                <w:szCs w:val="14"/>
              </w:rPr>
              <w:t>,</w:t>
            </w:r>
            <w:r w:rsidRPr="008C773A">
              <w:rPr>
                <w:rFonts w:cs="Arial"/>
                <w:szCs w:val="14"/>
              </w:rPr>
              <w:t>027</w:t>
            </w:r>
          </w:p>
        </w:tc>
        <w:tc>
          <w:tcPr>
            <w:tcW w:w="995" w:type="dxa"/>
            <w:gridSpan w:val="2"/>
            <w:tcBorders>
              <w:top w:val="nil"/>
              <w:bottom w:val="nil"/>
            </w:tcBorders>
            <w:shd w:val="clear" w:color="auto" w:fill="auto"/>
            <w:vAlign w:val="center"/>
          </w:tcPr>
          <w:p w14:paraId="0766D575"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c>
          <w:tcPr>
            <w:tcW w:w="286" w:type="dxa"/>
            <w:gridSpan w:val="2"/>
            <w:tcBorders>
              <w:top w:val="nil"/>
              <w:bottom w:val="nil"/>
            </w:tcBorders>
            <w:shd w:val="clear" w:color="auto" w:fill="auto"/>
            <w:vAlign w:val="center"/>
          </w:tcPr>
          <w:p w14:paraId="0F178D66"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159835C2"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299</w:t>
            </w:r>
          </w:p>
        </w:tc>
        <w:tc>
          <w:tcPr>
            <w:tcW w:w="992" w:type="dxa"/>
            <w:gridSpan w:val="2"/>
            <w:tcBorders>
              <w:top w:val="nil"/>
              <w:left w:val="nil"/>
              <w:bottom w:val="nil"/>
              <w:right w:val="nil"/>
            </w:tcBorders>
            <w:shd w:val="clear" w:color="auto" w:fill="auto"/>
            <w:vAlign w:val="center"/>
          </w:tcPr>
          <w:p w14:paraId="0B5313B2"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3</w:t>
            </w:r>
            <w:r>
              <w:rPr>
                <w:rFonts w:cs="Arial"/>
                <w:szCs w:val="14"/>
              </w:rPr>
              <w:t>,</w:t>
            </w:r>
            <w:r w:rsidRPr="00191FE2">
              <w:rPr>
                <w:rFonts w:cs="Arial"/>
                <w:szCs w:val="14"/>
              </w:rPr>
              <w:t>674</w:t>
            </w:r>
            <w:r>
              <w:rPr>
                <w:rFonts w:cs="Arial"/>
                <w:szCs w:val="14"/>
              </w:rPr>
              <w:t>,</w:t>
            </w:r>
            <w:r w:rsidRPr="00191FE2">
              <w:rPr>
                <w:rFonts w:cs="Arial"/>
                <w:szCs w:val="14"/>
              </w:rPr>
              <w:t>027</w:t>
            </w:r>
          </w:p>
        </w:tc>
        <w:tc>
          <w:tcPr>
            <w:tcW w:w="993" w:type="dxa"/>
            <w:tcBorders>
              <w:top w:val="nil"/>
              <w:bottom w:val="nil"/>
            </w:tcBorders>
            <w:shd w:val="clear" w:color="auto" w:fill="auto"/>
            <w:vAlign w:val="center"/>
          </w:tcPr>
          <w:p w14:paraId="0D273A55"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r>
      <w:tr w:rsidR="00991E72" w:rsidRPr="001D6BE8" w14:paraId="2305764E"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480440D6" w14:textId="77777777" w:rsidR="00991E72" w:rsidRPr="0038031F" w:rsidRDefault="00991E72" w:rsidP="00991E72">
            <w:pPr>
              <w:pStyle w:val="08-Tabelageral"/>
              <w:ind w:left="113"/>
              <w:jc w:val="left"/>
              <w:rPr>
                <w:b w:val="0"/>
              </w:rPr>
            </w:pPr>
            <w:r w:rsidRPr="00C27294">
              <w:rPr>
                <w:b w:val="0"/>
              </w:rPr>
              <w:t>Contingent liabilities</w:t>
            </w:r>
          </w:p>
        </w:tc>
        <w:tc>
          <w:tcPr>
            <w:tcW w:w="702" w:type="dxa"/>
            <w:tcBorders>
              <w:top w:val="nil"/>
              <w:bottom w:val="nil"/>
            </w:tcBorders>
            <w:shd w:val="clear" w:color="auto" w:fill="auto"/>
            <w:vAlign w:val="center"/>
          </w:tcPr>
          <w:p w14:paraId="66382CA1"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[22]</w:t>
            </w:r>
          </w:p>
        </w:tc>
        <w:tc>
          <w:tcPr>
            <w:tcW w:w="1123" w:type="dxa"/>
            <w:tcBorders>
              <w:top w:val="nil"/>
              <w:left w:val="nil"/>
              <w:bottom w:val="nil"/>
              <w:right w:val="nil"/>
            </w:tcBorders>
            <w:shd w:val="clear" w:color="auto" w:fill="auto"/>
            <w:vAlign w:val="center"/>
          </w:tcPr>
          <w:p w14:paraId="141502FE"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67720">
              <w:rPr>
                <w:rFonts w:cs="Arial"/>
                <w:color w:val="000000"/>
                <w:szCs w:val="14"/>
              </w:rPr>
              <w:t>21</w:t>
            </w:r>
          </w:p>
        </w:tc>
        <w:tc>
          <w:tcPr>
            <w:tcW w:w="1172" w:type="dxa"/>
            <w:tcBorders>
              <w:top w:val="nil"/>
              <w:left w:val="nil"/>
              <w:bottom w:val="nil"/>
              <w:right w:val="nil"/>
            </w:tcBorders>
            <w:shd w:val="clear" w:color="auto" w:fill="auto"/>
            <w:vAlign w:val="center"/>
          </w:tcPr>
          <w:p w14:paraId="05209056"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C773A">
              <w:rPr>
                <w:rFonts w:cs="Arial"/>
                <w:szCs w:val="14"/>
              </w:rPr>
              <w:t>53</w:t>
            </w:r>
          </w:p>
        </w:tc>
        <w:tc>
          <w:tcPr>
            <w:tcW w:w="995" w:type="dxa"/>
            <w:gridSpan w:val="2"/>
            <w:tcBorders>
              <w:top w:val="nil"/>
              <w:bottom w:val="nil"/>
            </w:tcBorders>
            <w:shd w:val="clear" w:color="auto" w:fill="auto"/>
            <w:vAlign w:val="center"/>
          </w:tcPr>
          <w:p w14:paraId="4D4DE059"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6" w:type="dxa"/>
            <w:gridSpan w:val="2"/>
            <w:tcBorders>
              <w:top w:val="nil"/>
              <w:bottom w:val="nil"/>
            </w:tcBorders>
            <w:shd w:val="clear" w:color="auto" w:fill="auto"/>
            <w:vAlign w:val="center"/>
          </w:tcPr>
          <w:p w14:paraId="3FA49D82"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293B62A3"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6,418</w:t>
            </w:r>
          </w:p>
        </w:tc>
        <w:tc>
          <w:tcPr>
            <w:tcW w:w="992" w:type="dxa"/>
            <w:gridSpan w:val="2"/>
            <w:tcBorders>
              <w:top w:val="nil"/>
              <w:left w:val="nil"/>
              <w:bottom w:val="nil"/>
              <w:right w:val="nil"/>
            </w:tcBorders>
            <w:shd w:val="clear" w:color="auto" w:fill="auto"/>
            <w:vAlign w:val="center"/>
          </w:tcPr>
          <w:p w14:paraId="6643DBF5"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4</w:t>
            </w:r>
            <w:r>
              <w:rPr>
                <w:rFonts w:cs="Arial"/>
                <w:szCs w:val="14"/>
              </w:rPr>
              <w:t>,</w:t>
            </w:r>
            <w:r w:rsidRPr="00191FE2">
              <w:rPr>
                <w:rFonts w:cs="Arial"/>
                <w:szCs w:val="14"/>
              </w:rPr>
              <w:t>431</w:t>
            </w:r>
          </w:p>
        </w:tc>
        <w:tc>
          <w:tcPr>
            <w:tcW w:w="993" w:type="dxa"/>
            <w:tcBorders>
              <w:top w:val="nil"/>
              <w:bottom w:val="nil"/>
            </w:tcBorders>
            <w:shd w:val="clear" w:color="auto" w:fill="auto"/>
            <w:vAlign w:val="center"/>
          </w:tcPr>
          <w:p w14:paraId="545A308D"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996</w:t>
            </w:r>
          </w:p>
        </w:tc>
      </w:tr>
      <w:tr w:rsidR="00991E72" w:rsidRPr="001D6BE8" w14:paraId="34A23F0C"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23984316" w14:textId="77777777" w:rsidR="00991E72" w:rsidRPr="0038031F" w:rsidRDefault="00991E72" w:rsidP="00991E72">
            <w:pPr>
              <w:pStyle w:val="08-Tabelageral"/>
              <w:ind w:left="113"/>
              <w:jc w:val="left"/>
              <w:rPr>
                <w:b w:val="0"/>
              </w:rPr>
            </w:pPr>
            <w:r w:rsidRPr="00C27294">
              <w:rPr>
                <w:b w:val="0"/>
              </w:rPr>
              <w:t>Current tax liabilities</w:t>
            </w:r>
          </w:p>
        </w:tc>
        <w:tc>
          <w:tcPr>
            <w:tcW w:w="702" w:type="dxa"/>
            <w:tcBorders>
              <w:top w:val="nil"/>
              <w:bottom w:val="nil"/>
            </w:tcBorders>
            <w:shd w:val="clear" w:color="auto" w:fill="auto"/>
            <w:vAlign w:val="center"/>
          </w:tcPr>
          <w:p w14:paraId="2352780A"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696134">
              <w:t>[12.g]</w:t>
            </w:r>
          </w:p>
        </w:tc>
        <w:tc>
          <w:tcPr>
            <w:tcW w:w="1123" w:type="dxa"/>
            <w:tcBorders>
              <w:top w:val="nil"/>
              <w:left w:val="nil"/>
              <w:bottom w:val="nil"/>
              <w:right w:val="nil"/>
            </w:tcBorders>
            <w:shd w:val="clear" w:color="auto" w:fill="auto"/>
            <w:vAlign w:val="center"/>
          </w:tcPr>
          <w:p w14:paraId="2DD3D154"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67720">
              <w:rPr>
                <w:rFonts w:cs="Arial"/>
                <w:color w:val="000000"/>
                <w:szCs w:val="14"/>
              </w:rPr>
              <w:t>557</w:t>
            </w:r>
          </w:p>
        </w:tc>
        <w:tc>
          <w:tcPr>
            <w:tcW w:w="1172" w:type="dxa"/>
            <w:tcBorders>
              <w:top w:val="nil"/>
              <w:left w:val="nil"/>
              <w:bottom w:val="nil"/>
              <w:right w:val="nil"/>
            </w:tcBorders>
            <w:shd w:val="clear" w:color="auto" w:fill="auto"/>
            <w:vAlign w:val="center"/>
          </w:tcPr>
          <w:p w14:paraId="3212581C"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31</w:t>
            </w:r>
          </w:p>
        </w:tc>
        <w:tc>
          <w:tcPr>
            <w:tcW w:w="995" w:type="dxa"/>
            <w:gridSpan w:val="2"/>
            <w:tcBorders>
              <w:top w:val="nil"/>
              <w:bottom w:val="nil"/>
            </w:tcBorders>
            <w:shd w:val="clear" w:color="auto" w:fill="auto"/>
            <w:vAlign w:val="center"/>
          </w:tcPr>
          <w:p w14:paraId="04CB06CA"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444</w:t>
            </w:r>
          </w:p>
        </w:tc>
        <w:tc>
          <w:tcPr>
            <w:tcW w:w="286" w:type="dxa"/>
            <w:gridSpan w:val="2"/>
            <w:tcBorders>
              <w:top w:val="nil"/>
              <w:bottom w:val="nil"/>
            </w:tcBorders>
            <w:shd w:val="clear" w:color="auto" w:fill="auto"/>
            <w:vAlign w:val="center"/>
          </w:tcPr>
          <w:p w14:paraId="7BD013F9"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789B382E"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258,672</w:t>
            </w:r>
          </w:p>
        </w:tc>
        <w:tc>
          <w:tcPr>
            <w:tcW w:w="992" w:type="dxa"/>
            <w:gridSpan w:val="2"/>
            <w:tcBorders>
              <w:top w:val="nil"/>
              <w:left w:val="nil"/>
              <w:bottom w:val="nil"/>
              <w:right w:val="nil"/>
            </w:tcBorders>
            <w:shd w:val="clear" w:color="auto" w:fill="auto"/>
            <w:vAlign w:val="center"/>
          </w:tcPr>
          <w:p w14:paraId="75C73F4F"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963</w:t>
            </w:r>
            <w:r>
              <w:rPr>
                <w:rFonts w:cs="Arial"/>
                <w:szCs w:val="14"/>
              </w:rPr>
              <w:t>,</w:t>
            </w:r>
            <w:r w:rsidRPr="00191FE2">
              <w:rPr>
                <w:rFonts w:cs="Arial"/>
                <w:szCs w:val="14"/>
              </w:rPr>
              <w:t>874</w:t>
            </w:r>
          </w:p>
        </w:tc>
        <w:tc>
          <w:tcPr>
            <w:tcW w:w="993" w:type="dxa"/>
            <w:tcBorders>
              <w:top w:val="nil"/>
              <w:bottom w:val="nil"/>
            </w:tcBorders>
            <w:shd w:val="clear" w:color="auto" w:fill="auto"/>
            <w:vAlign w:val="center"/>
          </w:tcPr>
          <w:p w14:paraId="77D4AA9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762</w:t>
            </w:r>
            <w:r>
              <w:rPr>
                <w:rFonts w:cs="Arial"/>
                <w:szCs w:val="14"/>
              </w:rPr>
              <w:t>,</w:t>
            </w:r>
            <w:r w:rsidRPr="00EE1C73">
              <w:rPr>
                <w:rFonts w:cs="Arial"/>
                <w:szCs w:val="14"/>
              </w:rPr>
              <w:t>519</w:t>
            </w:r>
          </w:p>
        </w:tc>
      </w:tr>
      <w:tr w:rsidR="00991E72" w:rsidRPr="001D6BE8" w14:paraId="6684BF7F"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4F598C7F" w14:textId="77777777" w:rsidR="00991E72" w:rsidRPr="0038031F" w:rsidRDefault="00991E72" w:rsidP="00991E72">
            <w:pPr>
              <w:pStyle w:val="08-Tabelageral"/>
              <w:ind w:left="113"/>
              <w:jc w:val="left"/>
              <w:rPr>
                <w:b w:val="0"/>
              </w:rPr>
            </w:pPr>
            <w:r w:rsidRPr="00C27294">
              <w:rPr>
                <w:b w:val="0"/>
              </w:rPr>
              <w:t>Unearned commissions</w:t>
            </w:r>
          </w:p>
        </w:tc>
        <w:tc>
          <w:tcPr>
            <w:tcW w:w="702" w:type="dxa"/>
            <w:tcBorders>
              <w:top w:val="nil"/>
              <w:bottom w:val="nil"/>
            </w:tcBorders>
            <w:shd w:val="clear" w:color="auto" w:fill="auto"/>
            <w:vAlign w:val="center"/>
          </w:tcPr>
          <w:p w14:paraId="396FB582"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[23]</w:t>
            </w:r>
          </w:p>
        </w:tc>
        <w:tc>
          <w:tcPr>
            <w:tcW w:w="1123" w:type="dxa"/>
            <w:tcBorders>
              <w:top w:val="nil"/>
              <w:left w:val="nil"/>
              <w:bottom w:val="nil"/>
              <w:right w:val="nil"/>
            </w:tcBorders>
            <w:shd w:val="clear" w:color="auto" w:fill="auto"/>
            <w:vAlign w:val="center"/>
          </w:tcPr>
          <w:p w14:paraId="0D93201C"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72" w:type="dxa"/>
            <w:tcBorders>
              <w:top w:val="nil"/>
              <w:left w:val="nil"/>
              <w:bottom w:val="nil"/>
              <w:right w:val="nil"/>
            </w:tcBorders>
            <w:shd w:val="clear" w:color="auto" w:fill="auto"/>
            <w:vAlign w:val="center"/>
          </w:tcPr>
          <w:p w14:paraId="60438A84"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995" w:type="dxa"/>
            <w:gridSpan w:val="2"/>
            <w:tcBorders>
              <w:top w:val="nil"/>
              <w:bottom w:val="nil"/>
            </w:tcBorders>
            <w:shd w:val="clear" w:color="auto" w:fill="auto"/>
            <w:vAlign w:val="center"/>
          </w:tcPr>
          <w:p w14:paraId="1A25DA93"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6" w:type="dxa"/>
            <w:gridSpan w:val="2"/>
            <w:tcBorders>
              <w:top w:val="nil"/>
              <w:bottom w:val="nil"/>
            </w:tcBorders>
            <w:shd w:val="clear" w:color="auto" w:fill="auto"/>
            <w:vAlign w:val="center"/>
          </w:tcPr>
          <w:p w14:paraId="393EED1B"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3E1AE506"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1,705,334</w:t>
            </w:r>
          </w:p>
        </w:tc>
        <w:tc>
          <w:tcPr>
            <w:tcW w:w="992" w:type="dxa"/>
            <w:gridSpan w:val="2"/>
            <w:tcBorders>
              <w:top w:val="nil"/>
              <w:left w:val="nil"/>
              <w:bottom w:val="nil"/>
              <w:right w:val="nil"/>
            </w:tcBorders>
            <w:shd w:val="clear" w:color="auto" w:fill="auto"/>
            <w:vAlign w:val="center"/>
          </w:tcPr>
          <w:p w14:paraId="28D0E435" w14:textId="77777777" w:rsidR="00991E72" w:rsidRPr="00F57304"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1</w:t>
            </w:r>
            <w:r>
              <w:rPr>
                <w:rFonts w:cs="Arial"/>
                <w:szCs w:val="14"/>
              </w:rPr>
              <w:t>,</w:t>
            </w:r>
            <w:r w:rsidRPr="00191FE2">
              <w:rPr>
                <w:rFonts w:cs="Arial"/>
                <w:szCs w:val="14"/>
              </w:rPr>
              <w:t>760</w:t>
            </w:r>
            <w:r>
              <w:rPr>
                <w:rFonts w:cs="Arial"/>
                <w:szCs w:val="14"/>
              </w:rPr>
              <w:t>,</w:t>
            </w:r>
            <w:r w:rsidRPr="00191FE2">
              <w:rPr>
                <w:rFonts w:cs="Arial"/>
                <w:szCs w:val="14"/>
              </w:rPr>
              <w:t>473</w:t>
            </w:r>
          </w:p>
        </w:tc>
        <w:tc>
          <w:tcPr>
            <w:tcW w:w="993" w:type="dxa"/>
            <w:tcBorders>
              <w:top w:val="nil"/>
              <w:bottom w:val="nil"/>
            </w:tcBorders>
            <w:shd w:val="clear" w:color="auto" w:fill="auto"/>
            <w:vAlign w:val="center"/>
          </w:tcPr>
          <w:p w14:paraId="70CF949A"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172</w:t>
            </w:r>
            <w:r>
              <w:rPr>
                <w:rFonts w:cs="Arial"/>
                <w:szCs w:val="14"/>
              </w:rPr>
              <w:t>,</w:t>
            </w:r>
            <w:r w:rsidRPr="00F57304">
              <w:rPr>
                <w:rFonts w:cs="Arial"/>
                <w:szCs w:val="14"/>
              </w:rPr>
              <w:t>483</w:t>
            </w:r>
          </w:p>
        </w:tc>
      </w:tr>
      <w:tr w:rsidR="00991E72" w:rsidRPr="001D6BE8" w14:paraId="703711B8"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0DB3462E" w14:textId="77777777" w:rsidR="00991E72" w:rsidRPr="0038031F" w:rsidRDefault="00991E72" w:rsidP="00991E72">
            <w:pPr>
              <w:pStyle w:val="08-Tabelageral"/>
              <w:ind w:left="113"/>
              <w:jc w:val="left"/>
              <w:rPr>
                <w:b w:val="0"/>
              </w:rPr>
            </w:pPr>
            <w:r w:rsidRPr="00C27294">
              <w:rPr>
                <w:b w:val="0"/>
              </w:rPr>
              <w:t>Other liabilities</w:t>
            </w:r>
          </w:p>
        </w:tc>
        <w:tc>
          <w:tcPr>
            <w:tcW w:w="702" w:type="dxa"/>
            <w:tcBorders>
              <w:top w:val="nil"/>
              <w:bottom w:val="nil"/>
            </w:tcBorders>
            <w:shd w:val="clear" w:color="auto" w:fill="auto"/>
            <w:vAlign w:val="center"/>
          </w:tcPr>
          <w:p w14:paraId="3197FA6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[24]</w:t>
            </w:r>
          </w:p>
        </w:tc>
        <w:tc>
          <w:tcPr>
            <w:tcW w:w="1123" w:type="dxa"/>
            <w:tcBorders>
              <w:top w:val="nil"/>
              <w:left w:val="nil"/>
              <w:bottom w:val="nil"/>
              <w:right w:val="nil"/>
            </w:tcBorders>
            <w:shd w:val="clear" w:color="auto" w:fill="auto"/>
            <w:vAlign w:val="center"/>
          </w:tcPr>
          <w:p w14:paraId="2E6EE56A"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A6BF2">
              <w:rPr>
                <w:rFonts w:cs="Arial"/>
                <w:color w:val="000000"/>
                <w:szCs w:val="14"/>
              </w:rPr>
              <w:t>10</w:t>
            </w:r>
            <w:r>
              <w:rPr>
                <w:rFonts w:cs="Arial"/>
                <w:color w:val="000000"/>
                <w:szCs w:val="14"/>
              </w:rPr>
              <w:t>,</w:t>
            </w:r>
            <w:r w:rsidRPr="009A6BF2">
              <w:rPr>
                <w:rFonts w:cs="Arial"/>
                <w:color w:val="000000"/>
                <w:szCs w:val="14"/>
              </w:rPr>
              <w:t>828</w:t>
            </w:r>
          </w:p>
        </w:tc>
        <w:tc>
          <w:tcPr>
            <w:tcW w:w="1172" w:type="dxa"/>
            <w:tcBorders>
              <w:top w:val="nil"/>
              <w:left w:val="nil"/>
              <w:bottom w:val="nil"/>
              <w:right w:val="nil"/>
            </w:tcBorders>
            <w:shd w:val="clear" w:color="auto" w:fill="auto"/>
            <w:vAlign w:val="center"/>
          </w:tcPr>
          <w:p w14:paraId="6F63E7BA"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12</w:t>
            </w:r>
            <w:r>
              <w:rPr>
                <w:rFonts w:cs="Arial"/>
                <w:szCs w:val="14"/>
              </w:rPr>
              <w:t>,</w:t>
            </w:r>
            <w:r w:rsidRPr="008C773A">
              <w:rPr>
                <w:rFonts w:cs="Arial"/>
                <w:szCs w:val="14"/>
              </w:rPr>
              <w:t>18</w:t>
            </w:r>
            <w:r>
              <w:rPr>
                <w:rFonts w:cs="Arial"/>
                <w:szCs w:val="14"/>
              </w:rPr>
              <w:t>4</w:t>
            </w:r>
          </w:p>
        </w:tc>
        <w:tc>
          <w:tcPr>
            <w:tcW w:w="995" w:type="dxa"/>
            <w:gridSpan w:val="2"/>
            <w:tcBorders>
              <w:top w:val="nil"/>
              <w:bottom w:val="nil"/>
            </w:tcBorders>
            <w:shd w:val="clear" w:color="auto" w:fill="auto"/>
            <w:vAlign w:val="center"/>
          </w:tcPr>
          <w:p w14:paraId="66BDAAB4"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839</w:t>
            </w:r>
          </w:p>
        </w:tc>
        <w:tc>
          <w:tcPr>
            <w:tcW w:w="286" w:type="dxa"/>
            <w:gridSpan w:val="2"/>
            <w:tcBorders>
              <w:top w:val="nil"/>
              <w:bottom w:val="nil"/>
            </w:tcBorders>
            <w:shd w:val="clear" w:color="auto" w:fill="auto"/>
            <w:vAlign w:val="center"/>
          </w:tcPr>
          <w:p w14:paraId="154A9708"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6990C700"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110,549</w:t>
            </w:r>
          </w:p>
        </w:tc>
        <w:tc>
          <w:tcPr>
            <w:tcW w:w="992" w:type="dxa"/>
            <w:gridSpan w:val="2"/>
            <w:tcBorders>
              <w:top w:val="nil"/>
              <w:left w:val="nil"/>
              <w:bottom w:val="nil"/>
              <w:right w:val="nil"/>
            </w:tcBorders>
            <w:shd w:val="clear" w:color="auto" w:fill="auto"/>
            <w:vAlign w:val="center"/>
          </w:tcPr>
          <w:p w14:paraId="722F3492"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105</w:t>
            </w:r>
            <w:r>
              <w:rPr>
                <w:rFonts w:cs="Arial"/>
                <w:szCs w:val="14"/>
              </w:rPr>
              <w:t>,</w:t>
            </w:r>
            <w:r w:rsidRPr="00191FE2">
              <w:rPr>
                <w:rFonts w:cs="Arial"/>
                <w:szCs w:val="14"/>
              </w:rPr>
              <w:t>36</w:t>
            </w:r>
            <w:r>
              <w:rPr>
                <w:rFonts w:cs="Arial"/>
                <w:szCs w:val="14"/>
              </w:rPr>
              <w:t>3</w:t>
            </w:r>
          </w:p>
        </w:tc>
        <w:tc>
          <w:tcPr>
            <w:tcW w:w="993" w:type="dxa"/>
            <w:tcBorders>
              <w:top w:val="nil"/>
              <w:bottom w:val="nil"/>
            </w:tcBorders>
            <w:shd w:val="clear" w:color="auto" w:fill="auto"/>
            <w:vAlign w:val="center"/>
          </w:tcPr>
          <w:p w14:paraId="1800C29F"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227</w:t>
            </w:r>
            <w:r>
              <w:rPr>
                <w:rFonts w:cs="Arial"/>
                <w:szCs w:val="14"/>
              </w:rPr>
              <w:t>,</w:t>
            </w:r>
            <w:r w:rsidRPr="00EE1C73">
              <w:rPr>
                <w:rFonts w:cs="Arial"/>
                <w:szCs w:val="14"/>
              </w:rPr>
              <w:t>588</w:t>
            </w:r>
          </w:p>
        </w:tc>
      </w:tr>
      <w:tr w:rsidR="00991E72" w:rsidRPr="001D6BE8" w14:paraId="54DD2BD9"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0BAFB662" w14:textId="77777777" w:rsidR="00991E72" w:rsidRPr="0038031F" w:rsidRDefault="00991E72" w:rsidP="00991E72">
            <w:pPr>
              <w:pStyle w:val="08-Tabelageral"/>
              <w:jc w:val="left"/>
              <w:rPr>
                <w:b w:val="0"/>
              </w:rPr>
            </w:pPr>
          </w:p>
        </w:tc>
        <w:tc>
          <w:tcPr>
            <w:tcW w:w="702" w:type="dxa"/>
            <w:tcBorders>
              <w:top w:val="nil"/>
              <w:bottom w:val="nil"/>
            </w:tcBorders>
            <w:shd w:val="clear" w:color="auto" w:fill="auto"/>
            <w:vAlign w:val="center"/>
          </w:tcPr>
          <w:p w14:paraId="6EF48EDD"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23" w:type="dxa"/>
            <w:tcBorders>
              <w:top w:val="nil"/>
              <w:bottom w:val="nil"/>
            </w:tcBorders>
            <w:shd w:val="clear" w:color="auto" w:fill="auto"/>
            <w:vAlign w:val="center"/>
          </w:tcPr>
          <w:p w14:paraId="37199624"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6BA1C59B"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995" w:type="dxa"/>
            <w:gridSpan w:val="2"/>
            <w:tcBorders>
              <w:top w:val="nil"/>
              <w:bottom w:val="nil"/>
            </w:tcBorders>
            <w:shd w:val="clear" w:color="auto" w:fill="auto"/>
            <w:vAlign w:val="center"/>
          </w:tcPr>
          <w:p w14:paraId="3826C60B"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286" w:type="dxa"/>
            <w:gridSpan w:val="2"/>
            <w:tcBorders>
              <w:top w:val="nil"/>
              <w:bottom w:val="nil"/>
            </w:tcBorders>
            <w:shd w:val="clear" w:color="auto" w:fill="auto"/>
            <w:vAlign w:val="center"/>
          </w:tcPr>
          <w:p w14:paraId="42885BDA"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04389B75"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0AB08224"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993" w:type="dxa"/>
            <w:tcBorders>
              <w:top w:val="nil"/>
              <w:bottom w:val="nil"/>
            </w:tcBorders>
            <w:shd w:val="clear" w:color="auto" w:fill="auto"/>
            <w:vAlign w:val="center"/>
          </w:tcPr>
          <w:p w14:paraId="307D601E"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r>
      <w:tr w:rsidR="00991E72" w:rsidRPr="00E62509" w14:paraId="1CF32A4D"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43E81293" w14:textId="77777777" w:rsidR="00991E72" w:rsidRPr="00E62509" w:rsidRDefault="00991E72" w:rsidP="00991E72">
            <w:pPr>
              <w:pStyle w:val="08-Tabelageral"/>
              <w:jc w:val="left"/>
            </w:pPr>
            <w:r w:rsidRPr="00C27294">
              <w:t>Non-Current Liabilities</w:t>
            </w:r>
          </w:p>
        </w:tc>
        <w:tc>
          <w:tcPr>
            <w:tcW w:w="702" w:type="dxa"/>
            <w:tcBorders>
              <w:top w:val="nil"/>
              <w:bottom w:val="nil"/>
            </w:tcBorders>
            <w:shd w:val="clear" w:color="auto" w:fill="auto"/>
            <w:vAlign w:val="center"/>
          </w:tcPr>
          <w:p w14:paraId="391D7D13" w14:textId="77777777" w:rsidR="00991E72" w:rsidRPr="00E6250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23" w:type="dxa"/>
            <w:tcBorders>
              <w:top w:val="nil"/>
              <w:bottom w:val="nil"/>
            </w:tcBorders>
            <w:shd w:val="clear" w:color="auto" w:fill="auto"/>
            <w:vAlign w:val="center"/>
          </w:tcPr>
          <w:p w14:paraId="3B541C6B" w14:textId="77777777" w:rsidR="00991E72" w:rsidRPr="006B5975"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szCs w:val="14"/>
              </w:rPr>
              <w:t>61</w:t>
            </w:r>
          </w:p>
        </w:tc>
        <w:tc>
          <w:tcPr>
            <w:tcW w:w="1172" w:type="dxa"/>
            <w:tcBorders>
              <w:top w:val="nil"/>
              <w:bottom w:val="nil"/>
            </w:tcBorders>
            <w:shd w:val="clear" w:color="auto" w:fill="auto"/>
            <w:vAlign w:val="center"/>
          </w:tcPr>
          <w:p w14:paraId="24D2F889"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8C773A">
              <w:rPr>
                <w:rFonts w:cs="Arial"/>
                <w:b/>
                <w:szCs w:val="14"/>
              </w:rPr>
              <w:t>28</w:t>
            </w:r>
          </w:p>
        </w:tc>
        <w:tc>
          <w:tcPr>
            <w:tcW w:w="995" w:type="dxa"/>
            <w:gridSpan w:val="2"/>
            <w:tcBorders>
              <w:top w:val="nil"/>
              <w:bottom w:val="nil"/>
            </w:tcBorders>
            <w:shd w:val="clear" w:color="auto" w:fill="auto"/>
            <w:vAlign w:val="center"/>
          </w:tcPr>
          <w:p w14:paraId="4C955412" w14:textId="77777777" w:rsidR="00991E72" w:rsidRPr="006B5975"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28</w:t>
            </w:r>
          </w:p>
        </w:tc>
        <w:tc>
          <w:tcPr>
            <w:tcW w:w="286" w:type="dxa"/>
            <w:gridSpan w:val="2"/>
            <w:tcBorders>
              <w:top w:val="nil"/>
              <w:bottom w:val="nil"/>
            </w:tcBorders>
            <w:shd w:val="clear" w:color="auto" w:fill="auto"/>
            <w:vAlign w:val="center"/>
          </w:tcPr>
          <w:p w14:paraId="17C70824" w14:textId="77777777" w:rsidR="00991E72" w:rsidRPr="006B5975"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3"/>
            <w:tcBorders>
              <w:top w:val="nil"/>
              <w:bottom w:val="nil"/>
            </w:tcBorders>
            <w:shd w:val="clear" w:color="auto" w:fill="auto"/>
            <w:vAlign w:val="center"/>
          </w:tcPr>
          <w:p w14:paraId="498FF923" w14:textId="77777777" w:rsidR="00991E72" w:rsidRPr="006B5975"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67720">
              <w:rPr>
                <w:rFonts w:cs="Arial"/>
                <w:b/>
                <w:bCs/>
                <w:szCs w:val="14"/>
              </w:rPr>
              <w:t>2</w:t>
            </w:r>
            <w:r>
              <w:rPr>
                <w:rFonts w:cs="Arial"/>
                <w:b/>
                <w:bCs/>
                <w:szCs w:val="14"/>
              </w:rPr>
              <w:t>,</w:t>
            </w:r>
            <w:r w:rsidRPr="00A67720">
              <w:rPr>
                <w:rFonts w:cs="Arial"/>
                <w:b/>
                <w:bCs/>
                <w:szCs w:val="14"/>
              </w:rPr>
              <w:t>269</w:t>
            </w:r>
            <w:r>
              <w:rPr>
                <w:rFonts w:cs="Arial"/>
                <w:b/>
                <w:bCs/>
                <w:szCs w:val="14"/>
              </w:rPr>
              <w:t>,</w:t>
            </w:r>
            <w:r w:rsidRPr="00A67720">
              <w:rPr>
                <w:rFonts w:cs="Arial"/>
                <w:b/>
                <w:bCs/>
                <w:szCs w:val="14"/>
              </w:rPr>
              <w:t>238</w:t>
            </w:r>
          </w:p>
        </w:tc>
        <w:tc>
          <w:tcPr>
            <w:tcW w:w="992" w:type="dxa"/>
            <w:gridSpan w:val="2"/>
            <w:tcBorders>
              <w:top w:val="nil"/>
              <w:bottom w:val="nil"/>
            </w:tcBorders>
            <w:shd w:val="clear" w:color="auto" w:fill="auto"/>
            <w:vAlign w:val="center"/>
          </w:tcPr>
          <w:p w14:paraId="33558610" w14:textId="77777777" w:rsidR="00991E72" w:rsidRPr="00F57304"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91FE2">
              <w:rPr>
                <w:rFonts w:cs="Arial"/>
                <w:b/>
                <w:bCs/>
                <w:szCs w:val="14"/>
              </w:rPr>
              <w:t>2</w:t>
            </w:r>
            <w:r>
              <w:rPr>
                <w:rFonts w:cs="Arial"/>
                <w:b/>
                <w:bCs/>
                <w:szCs w:val="14"/>
              </w:rPr>
              <w:t>,</w:t>
            </w:r>
            <w:r w:rsidRPr="00191FE2">
              <w:rPr>
                <w:rFonts w:cs="Arial"/>
                <w:b/>
                <w:bCs/>
                <w:szCs w:val="14"/>
              </w:rPr>
              <w:t>025</w:t>
            </w:r>
            <w:r>
              <w:rPr>
                <w:rFonts w:cs="Arial"/>
                <w:b/>
                <w:bCs/>
                <w:szCs w:val="14"/>
              </w:rPr>
              <w:t>,</w:t>
            </w:r>
            <w:r w:rsidRPr="00191FE2">
              <w:rPr>
                <w:rFonts w:cs="Arial"/>
                <w:b/>
                <w:bCs/>
                <w:szCs w:val="14"/>
              </w:rPr>
              <w:t>563</w:t>
            </w:r>
          </w:p>
        </w:tc>
        <w:tc>
          <w:tcPr>
            <w:tcW w:w="993" w:type="dxa"/>
            <w:tcBorders>
              <w:top w:val="nil"/>
              <w:bottom w:val="nil"/>
            </w:tcBorders>
            <w:shd w:val="clear" w:color="auto" w:fill="auto"/>
            <w:vAlign w:val="center"/>
          </w:tcPr>
          <w:p w14:paraId="7304DF30" w14:textId="77777777" w:rsidR="00991E72" w:rsidRPr="006B5975"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F57304">
              <w:rPr>
                <w:rFonts w:cs="Arial"/>
                <w:b/>
                <w:bCs/>
                <w:szCs w:val="14"/>
              </w:rPr>
              <w:t>2</w:t>
            </w:r>
            <w:r>
              <w:rPr>
                <w:rFonts w:cs="Arial"/>
                <w:b/>
                <w:bCs/>
                <w:szCs w:val="14"/>
              </w:rPr>
              <w:t>,</w:t>
            </w:r>
            <w:r w:rsidRPr="00F57304">
              <w:rPr>
                <w:rFonts w:cs="Arial"/>
                <w:b/>
                <w:bCs/>
                <w:szCs w:val="14"/>
              </w:rPr>
              <w:t>033</w:t>
            </w:r>
            <w:r>
              <w:rPr>
                <w:rFonts w:cs="Arial"/>
                <w:b/>
                <w:bCs/>
                <w:szCs w:val="14"/>
              </w:rPr>
              <w:t>,</w:t>
            </w:r>
            <w:r w:rsidRPr="00F57304">
              <w:rPr>
                <w:rFonts w:cs="Arial"/>
                <w:b/>
                <w:bCs/>
                <w:szCs w:val="14"/>
              </w:rPr>
              <w:t>528</w:t>
            </w:r>
          </w:p>
        </w:tc>
      </w:tr>
      <w:tr w:rsidR="00991E72" w:rsidRPr="001D6BE8" w14:paraId="16E95FBC"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37AA9B2C" w14:textId="77777777" w:rsidR="00991E72" w:rsidRPr="0038031F" w:rsidRDefault="00991E72" w:rsidP="00991E72">
            <w:pPr>
              <w:pStyle w:val="08-Tabelageral"/>
              <w:ind w:left="113"/>
              <w:jc w:val="left"/>
              <w:rPr>
                <w:b w:val="0"/>
              </w:rPr>
            </w:pPr>
            <w:r w:rsidRPr="00C27294">
              <w:rPr>
                <w:b w:val="0"/>
              </w:rPr>
              <w:t>Contingent liabilities</w:t>
            </w:r>
          </w:p>
        </w:tc>
        <w:tc>
          <w:tcPr>
            <w:tcW w:w="702" w:type="dxa"/>
            <w:tcBorders>
              <w:top w:val="nil"/>
              <w:bottom w:val="nil"/>
            </w:tcBorders>
            <w:shd w:val="clear" w:color="auto" w:fill="auto"/>
            <w:vAlign w:val="center"/>
          </w:tcPr>
          <w:p w14:paraId="270FC09A"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[22]</w:t>
            </w:r>
          </w:p>
        </w:tc>
        <w:tc>
          <w:tcPr>
            <w:tcW w:w="1123" w:type="dxa"/>
            <w:tcBorders>
              <w:top w:val="nil"/>
              <w:bottom w:val="nil"/>
            </w:tcBorders>
            <w:shd w:val="clear" w:color="auto" w:fill="auto"/>
            <w:vAlign w:val="center"/>
          </w:tcPr>
          <w:p w14:paraId="225C90B7"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61</w:t>
            </w:r>
          </w:p>
        </w:tc>
        <w:tc>
          <w:tcPr>
            <w:tcW w:w="1172" w:type="dxa"/>
            <w:tcBorders>
              <w:top w:val="nil"/>
              <w:bottom w:val="nil"/>
            </w:tcBorders>
            <w:shd w:val="clear" w:color="auto" w:fill="auto"/>
            <w:vAlign w:val="center"/>
          </w:tcPr>
          <w:p w14:paraId="54287BDE"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C773A">
              <w:rPr>
                <w:rFonts w:cs="Arial"/>
                <w:szCs w:val="14"/>
              </w:rPr>
              <w:t>28</w:t>
            </w:r>
          </w:p>
        </w:tc>
        <w:tc>
          <w:tcPr>
            <w:tcW w:w="995" w:type="dxa"/>
            <w:gridSpan w:val="2"/>
            <w:tcBorders>
              <w:top w:val="nil"/>
              <w:bottom w:val="nil"/>
            </w:tcBorders>
            <w:shd w:val="clear" w:color="auto" w:fill="auto"/>
            <w:vAlign w:val="center"/>
          </w:tcPr>
          <w:p w14:paraId="3024E71D"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28</w:t>
            </w:r>
          </w:p>
        </w:tc>
        <w:tc>
          <w:tcPr>
            <w:tcW w:w="286" w:type="dxa"/>
            <w:gridSpan w:val="2"/>
            <w:tcBorders>
              <w:top w:val="nil"/>
              <w:bottom w:val="nil"/>
            </w:tcBorders>
            <w:shd w:val="clear" w:color="auto" w:fill="auto"/>
            <w:vAlign w:val="center"/>
          </w:tcPr>
          <w:p w14:paraId="12C319DB"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61C3A3A0"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8,920</w:t>
            </w:r>
          </w:p>
        </w:tc>
        <w:tc>
          <w:tcPr>
            <w:tcW w:w="992" w:type="dxa"/>
            <w:gridSpan w:val="2"/>
            <w:tcBorders>
              <w:top w:val="nil"/>
              <w:left w:val="nil"/>
              <w:bottom w:val="nil"/>
              <w:right w:val="nil"/>
            </w:tcBorders>
            <w:shd w:val="clear" w:color="auto" w:fill="auto"/>
            <w:vAlign w:val="center"/>
          </w:tcPr>
          <w:p w14:paraId="29690C64"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9</w:t>
            </w:r>
            <w:r>
              <w:rPr>
                <w:rFonts w:cs="Arial"/>
                <w:szCs w:val="14"/>
              </w:rPr>
              <w:t>,</w:t>
            </w:r>
            <w:r w:rsidRPr="00191FE2">
              <w:rPr>
                <w:rFonts w:cs="Arial"/>
                <w:szCs w:val="14"/>
              </w:rPr>
              <w:t>451</w:t>
            </w:r>
          </w:p>
        </w:tc>
        <w:tc>
          <w:tcPr>
            <w:tcW w:w="993" w:type="dxa"/>
            <w:tcBorders>
              <w:top w:val="nil"/>
              <w:bottom w:val="nil"/>
            </w:tcBorders>
            <w:shd w:val="clear" w:color="auto" w:fill="auto"/>
            <w:vAlign w:val="center"/>
          </w:tcPr>
          <w:p w14:paraId="3E0D14F2"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419</w:t>
            </w:r>
          </w:p>
        </w:tc>
      </w:tr>
      <w:tr w:rsidR="00991E72" w:rsidRPr="001D6BE8" w14:paraId="295432D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20A5E48" w14:textId="77777777" w:rsidR="00991E72" w:rsidRPr="0038031F" w:rsidRDefault="00991E72" w:rsidP="00991E72">
            <w:pPr>
              <w:pStyle w:val="08-Tabelageral"/>
              <w:ind w:left="113"/>
              <w:jc w:val="left"/>
              <w:rPr>
                <w:b w:val="0"/>
              </w:rPr>
            </w:pPr>
            <w:r>
              <w:rPr>
                <w:b w:val="0"/>
              </w:rPr>
              <w:t>Deferred</w:t>
            </w:r>
            <w:r w:rsidRPr="00C27294">
              <w:rPr>
                <w:b w:val="0"/>
              </w:rPr>
              <w:t xml:space="preserve"> tax liabilities</w:t>
            </w:r>
          </w:p>
        </w:tc>
        <w:tc>
          <w:tcPr>
            <w:tcW w:w="702" w:type="dxa"/>
            <w:tcBorders>
              <w:top w:val="nil"/>
              <w:bottom w:val="nil"/>
            </w:tcBorders>
            <w:shd w:val="clear" w:color="auto" w:fill="auto"/>
            <w:vAlign w:val="center"/>
          </w:tcPr>
          <w:p w14:paraId="32CF9F5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r w:rsidRPr="005D7FD0">
              <w:t>[12.h]</w:t>
            </w:r>
          </w:p>
        </w:tc>
        <w:tc>
          <w:tcPr>
            <w:tcW w:w="1123" w:type="dxa"/>
            <w:tcBorders>
              <w:top w:val="nil"/>
              <w:bottom w:val="nil"/>
            </w:tcBorders>
            <w:shd w:val="clear" w:color="auto" w:fill="auto"/>
            <w:vAlign w:val="center"/>
          </w:tcPr>
          <w:p w14:paraId="622176E5"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72" w:type="dxa"/>
            <w:tcBorders>
              <w:top w:val="nil"/>
              <w:bottom w:val="nil"/>
            </w:tcBorders>
            <w:shd w:val="clear" w:color="auto" w:fill="auto"/>
            <w:vAlign w:val="center"/>
          </w:tcPr>
          <w:p w14:paraId="38DB0D4D"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995" w:type="dxa"/>
            <w:gridSpan w:val="2"/>
            <w:tcBorders>
              <w:top w:val="nil"/>
              <w:bottom w:val="nil"/>
            </w:tcBorders>
            <w:shd w:val="clear" w:color="auto" w:fill="auto"/>
            <w:vAlign w:val="center"/>
          </w:tcPr>
          <w:p w14:paraId="469A2235"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6" w:type="dxa"/>
            <w:gridSpan w:val="2"/>
            <w:tcBorders>
              <w:top w:val="nil"/>
              <w:bottom w:val="nil"/>
            </w:tcBorders>
            <w:shd w:val="clear" w:color="auto" w:fill="auto"/>
            <w:vAlign w:val="center"/>
          </w:tcPr>
          <w:p w14:paraId="221F1FED"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1F188451"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228,565</w:t>
            </w:r>
          </w:p>
        </w:tc>
        <w:tc>
          <w:tcPr>
            <w:tcW w:w="992" w:type="dxa"/>
            <w:gridSpan w:val="2"/>
            <w:tcBorders>
              <w:top w:val="nil"/>
              <w:left w:val="nil"/>
              <w:bottom w:val="nil"/>
              <w:right w:val="nil"/>
            </w:tcBorders>
            <w:shd w:val="clear" w:color="auto" w:fill="auto"/>
            <w:vAlign w:val="center"/>
          </w:tcPr>
          <w:p w14:paraId="0A98DA44"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228</w:t>
            </w:r>
            <w:r>
              <w:rPr>
                <w:rFonts w:cs="Arial"/>
                <w:szCs w:val="14"/>
              </w:rPr>
              <w:t>,</w:t>
            </w:r>
            <w:r w:rsidRPr="00191FE2">
              <w:rPr>
                <w:rFonts w:cs="Arial"/>
                <w:szCs w:val="14"/>
              </w:rPr>
              <w:t>565</w:t>
            </w:r>
          </w:p>
        </w:tc>
        <w:tc>
          <w:tcPr>
            <w:tcW w:w="993" w:type="dxa"/>
            <w:tcBorders>
              <w:top w:val="nil"/>
              <w:bottom w:val="nil"/>
            </w:tcBorders>
            <w:shd w:val="clear" w:color="auto" w:fill="auto"/>
            <w:vAlign w:val="center"/>
          </w:tcPr>
          <w:p w14:paraId="24FA1714"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228</w:t>
            </w:r>
            <w:r>
              <w:rPr>
                <w:rFonts w:cs="Arial"/>
                <w:szCs w:val="14"/>
              </w:rPr>
              <w:t>,</w:t>
            </w:r>
            <w:r w:rsidRPr="00EE1C73">
              <w:rPr>
                <w:rFonts w:cs="Arial"/>
                <w:szCs w:val="14"/>
              </w:rPr>
              <w:t>565</w:t>
            </w:r>
          </w:p>
        </w:tc>
      </w:tr>
      <w:tr w:rsidR="00991E72" w:rsidRPr="001D6BE8" w14:paraId="77AC47C3"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E2EE3AE" w14:textId="77777777" w:rsidR="00991E72" w:rsidRPr="0038031F" w:rsidRDefault="00991E72" w:rsidP="00991E72">
            <w:pPr>
              <w:pStyle w:val="08-Tabelageral"/>
              <w:ind w:left="113"/>
              <w:jc w:val="left"/>
              <w:rPr>
                <w:b w:val="0"/>
              </w:rPr>
            </w:pPr>
            <w:r w:rsidRPr="00C27294">
              <w:rPr>
                <w:b w:val="0"/>
              </w:rPr>
              <w:t>Unearned commissions</w:t>
            </w:r>
          </w:p>
        </w:tc>
        <w:tc>
          <w:tcPr>
            <w:tcW w:w="702" w:type="dxa"/>
            <w:tcBorders>
              <w:top w:val="nil"/>
              <w:bottom w:val="nil"/>
            </w:tcBorders>
            <w:shd w:val="clear" w:color="auto" w:fill="auto"/>
            <w:vAlign w:val="center"/>
          </w:tcPr>
          <w:p w14:paraId="07E15CEF"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[23]</w:t>
            </w:r>
          </w:p>
        </w:tc>
        <w:tc>
          <w:tcPr>
            <w:tcW w:w="1123" w:type="dxa"/>
            <w:tcBorders>
              <w:top w:val="nil"/>
              <w:bottom w:val="nil"/>
            </w:tcBorders>
            <w:shd w:val="clear" w:color="auto" w:fill="auto"/>
            <w:vAlign w:val="center"/>
          </w:tcPr>
          <w:p w14:paraId="6BB704AE"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72" w:type="dxa"/>
            <w:tcBorders>
              <w:top w:val="nil"/>
              <w:bottom w:val="nil"/>
            </w:tcBorders>
            <w:shd w:val="clear" w:color="auto" w:fill="auto"/>
            <w:vAlign w:val="center"/>
          </w:tcPr>
          <w:p w14:paraId="673B6877" w14:textId="77777777" w:rsidR="00991E7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995" w:type="dxa"/>
            <w:gridSpan w:val="2"/>
            <w:tcBorders>
              <w:top w:val="nil"/>
              <w:bottom w:val="nil"/>
            </w:tcBorders>
            <w:shd w:val="clear" w:color="auto" w:fill="auto"/>
            <w:vAlign w:val="center"/>
          </w:tcPr>
          <w:p w14:paraId="6D2394BD"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6" w:type="dxa"/>
            <w:gridSpan w:val="2"/>
            <w:tcBorders>
              <w:top w:val="nil"/>
              <w:bottom w:val="nil"/>
            </w:tcBorders>
            <w:shd w:val="clear" w:color="auto" w:fill="auto"/>
            <w:vAlign w:val="center"/>
          </w:tcPr>
          <w:p w14:paraId="090E0C00"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7AEF20DB"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2,031,753</w:t>
            </w:r>
          </w:p>
        </w:tc>
        <w:tc>
          <w:tcPr>
            <w:tcW w:w="992" w:type="dxa"/>
            <w:gridSpan w:val="2"/>
            <w:tcBorders>
              <w:top w:val="nil"/>
              <w:left w:val="nil"/>
              <w:bottom w:val="nil"/>
              <w:right w:val="nil"/>
            </w:tcBorders>
            <w:shd w:val="clear" w:color="auto" w:fill="auto"/>
            <w:vAlign w:val="center"/>
          </w:tcPr>
          <w:p w14:paraId="42CC6EFD" w14:textId="77777777" w:rsidR="00991E72" w:rsidRPr="00F57304"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1</w:t>
            </w:r>
            <w:r>
              <w:rPr>
                <w:rFonts w:cs="Arial"/>
                <w:szCs w:val="14"/>
              </w:rPr>
              <w:t>,</w:t>
            </w:r>
            <w:r w:rsidRPr="00191FE2">
              <w:rPr>
                <w:rFonts w:cs="Arial"/>
                <w:szCs w:val="14"/>
              </w:rPr>
              <w:t>787</w:t>
            </w:r>
            <w:r>
              <w:rPr>
                <w:rFonts w:cs="Arial"/>
                <w:szCs w:val="14"/>
              </w:rPr>
              <w:t>,</w:t>
            </w:r>
            <w:r w:rsidRPr="00191FE2">
              <w:rPr>
                <w:rFonts w:cs="Arial"/>
                <w:szCs w:val="14"/>
              </w:rPr>
              <w:t>547</w:t>
            </w:r>
          </w:p>
        </w:tc>
        <w:tc>
          <w:tcPr>
            <w:tcW w:w="993" w:type="dxa"/>
            <w:tcBorders>
              <w:top w:val="nil"/>
              <w:bottom w:val="nil"/>
            </w:tcBorders>
            <w:shd w:val="clear" w:color="auto" w:fill="auto"/>
            <w:vAlign w:val="center"/>
          </w:tcPr>
          <w:p w14:paraId="37CABC73"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794</w:t>
            </w:r>
            <w:r>
              <w:rPr>
                <w:rFonts w:cs="Arial"/>
                <w:szCs w:val="14"/>
              </w:rPr>
              <w:t>,</w:t>
            </w:r>
            <w:r w:rsidRPr="00F57304">
              <w:rPr>
                <w:rFonts w:cs="Arial"/>
                <w:szCs w:val="14"/>
              </w:rPr>
              <w:t>544</w:t>
            </w:r>
          </w:p>
        </w:tc>
      </w:tr>
      <w:tr w:rsidR="00991E72" w:rsidRPr="001D6BE8" w14:paraId="793C586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274A08B1" w14:textId="77777777" w:rsidR="00991E72" w:rsidRPr="0038031F" w:rsidRDefault="00991E72" w:rsidP="00991E72">
            <w:pPr>
              <w:pStyle w:val="08-Tabelageral"/>
              <w:jc w:val="left"/>
              <w:rPr>
                <w:b w:val="0"/>
              </w:rPr>
            </w:pPr>
          </w:p>
        </w:tc>
        <w:tc>
          <w:tcPr>
            <w:tcW w:w="702" w:type="dxa"/>
            <w:tcBorders>
              <w:top w:val="nil"/>
              <w:bottom w:val="nil"/>
            </w:tcBorders>
            <w:shd w:val="clear" w:color="auto" w:fill="auto"/>
            <w:vAlign w:val="center"/>
          </w:tcPr>
          <w:p w14:paraId="5E3C23B9"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23" w:type="dxa"/>
            <w:tcBorders>
              <w:top w:val="nil"/>
              <w:bottom w:val="nil"/>
            </w:tcBorders>
            <w:shd w:val="clear" w:color="auto" w:fill="auto"/>
            <w:vAlign w:val="center"/>
          </w:tcPr>
          <w:p w14:paraId="44335D9A"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019ABE48"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5" w:type="dxa"/>
            <w:gridSpan w:val="2"/>
            <w:tcBorders>
              <w:top w:val="nil"/>
              <w:bottom w:val="nil"/>
            </w:tcBorders>
            <w:shd w:val="clear" w:color="auto" w:fill="auto"/>
            <w:vAlign w:val="center"/>
          </w:tcPr>
          <w:p w14:paraId="288281C3"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31B8D2C2"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1A7A354F"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5D5BC4D8"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tcBorders>
              <w:top w:val="nil"/>
              <w:bottom w:val="nil"/>
            </w:tcBorders>
            <w:shd w:val="clear" w:color="auto" w:fill="auto"/>
            <w:vAlign w:val="center"/>
          </w:tcPr>
          <w:p w14:paraId="249B69F3"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1D6BE8" w14:paraId="2E36F9AA"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B18726A" w14:textId="77777777" w:rsidR="00991E72" w:rsidRPr="00CD3714" w:rsidRDefault="00991E72" w:rsidP="00991E72">
            <w:pPr>
              <w:pStyle w:val="08-Tabelageral"/>
              <w:jc w:val="left"/>
            </w:pPr>
            <w:r w:rsidRPr="00C27294">
              <w:t>Total Liabilities</w:t>
            </w:r>
          </w:p>
        </w:tc>
        <w:tc>
          <w:tcPr>
            <w:tcW w:w="702" w:type="dxa"/>
            <w:tcBorders>
              <w:top w:val="nil"/>
              <w:bottom w:val="nil"/>
            </w:tcBorders>
            <w:shd w:val="clear" w:color="auto" w:fill="auto"/>
            <w:vAlign w:val="center"/>
          </w:tcPr>
          <w:p w14:paraId="13E9FDE3"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23" w:type="dxa"/>
            <w:tcBorders>
              <w:top w:val="nil"/>
              <w:bottom w:val="nil"/>
            </w:tcBorders>
            <w:shd w:val="clear" w:color="auto" w:fill="auto"/>
            <w:vAlign w:val="center"/>
          </w:tcPr>
          <w:p w14:paraId="12BDBBD8"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szCs w:val="14"/>
              </w:rPr>
              <w:t>11</w:t>
            </w:r>
            <w:r>
              <w:rPr>
                <w:rFonts w:cs="Arial"/>
                <w:b/>
                <w:szCs w:val="14"/>
              </w:rPr>
              <w:t>,</w:t>
            </w:r>
            <w:r w:rsidRPr="009A6BF2">
              <w:rPr>
                <w:rFonts w:cs="Arial"/>
                <w:b/>
                <w:szCs w:val="14"/>
              </w:rPr>
              <w:t>766</w:t>
            </w:r>
          </w:p>
        </w:tc>
        <w:tc>
          <w:tcPr>
            <w:tcW w:w="1172" w:type="dxa"/>
            <w:tcBorders>
              <w:top w:val="nil"/>
              <w:bottom w:val="nil"/>
            </w:tcBorders>
            <w:shd w:val="clear" w:color="auto" w:fill="auto"/>
            <w:vAlign w:val="center"/>
          </w:tcPr>
          <w:p w14:paraId="13DC00CC"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8C773A">
              <w:rPr>
                <w:rFonts w:cs="Arial"/>
                <w:b/>
                <w:szCs w:val="14"/>
              </w:rPr>
              <w:t>3</w:t>
            </w:r>
            <w:r>
              <w:rPr>
                <w:rFonts w:cs="Arial"/>
                <w:b/>
                <w:szCs w:val="14"/>
              </w:rPr>
              <w:t>,</w:t>
            </w:r>
            <w:r w:rsidRPr="008C773A">
              <w:rPr>
                <w:rFonts w:cs="Arial"/>
                <w:b/>
                <w:szCs w:val="14"/>
              </w:rPr>
              <w:t>686</w:t>
            </w:r>
            <w:r>
              <w:rPr>
                <w:rFonts w:cs="Arial"/>
                <w:b/>
                <w:szCs w:val="14"/>
              </w:rPr>
              <w:t>,</w:t>
            </w:r>
            <w:r w:rsidRPr="008C773A">
              <w:rPr>
                <w:rFonts w:cs="Arial"/>
                <w:b/>
                <w:szCs w:val="14"/>
              </w:rPr>
              <w:t>32</w:t>
            </w:r>
            <w:r>
              <w:rPr>
                <w:rFonts w:cs="Arial"/>
                <w:b/>
                <w:szCs w:val="14"/>
              </w:rPr>
              <w:t>3</w:t>
            </w:r>
          </w:p>
        </w:tc>
        <w:tc>
          <w:tcPr>
            <w:tcW w:w="995" w:type="dxa"/>
            <w:gridSpan w:val="2"/>
            <w:tcBorders>
              <w:top w:val="nil"/>
              <w:bottom w:val="nil"/>
            </w:tcBorders>
            <w:shd w:val="clear" w:color="auto" w:fill="auto"/>
            <w:vAlign w:val="center"/>
          </w:tcPr>
          <w:p w14:paraId="7A1755D7"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843</w:t>
            </w:r>
            <w:r>
              <w:rPr>
                <w:rFonts w:cs="Arial"/>
                <w:b/>
                <w:szCs w:val="14"/>
              </w:rPr>
              <w:t>,</w:t>
            </w:r>
            <w:r w:rsidRPr="00EE1C73">
              <w:rPr>
                <w:rFonts w:cs="Arial"/>
                <w:b/>
                <w:szCs w:val="14"/>
              </w:rPr>
              <w:t>002</w:t>
            </w:r>
          </w:p>
        </w:tc>
        <w:tc>
          <w:tcPr>
            <w:tcW w:w="286" w:type="dxa"/>
            <w:gridSpan w:val="2"/>
            <w:tcBorders>
              <w:top w:val="nil"/>
              <w:bottom w:val="nil"/>
            </w:tcBorders>
            <w:shd w:val="clear" w:color="auto" w:fill="auto"/>
            <w:vAlign w:val="center"/>
          </w:tcPr>
          <w:p w14:paraId="6C452119"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6" w:type="dxa"/>
            <w:gridSpan w:val="3"/>
            <w:tcBorders>
              <w:top w:val="nil"/>
              <w:bottom w:val="nil"/>
            </w:tcBorders>
            <w:shd w:val="clear" w:color="auto" w:fill="auto"/>
            <w:vAlign w:val="center"/>
          </w:tcPr>
          <w:p w14:paraId="3313AFFF"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67720">
              <w:rPr>
                <w:rFonts w:cs="Arial"/>
                <w:b/>
                <w:bCs/>
                <w:szCs w:val="14"/>
              </w:rPr>
              <w:t>4</w:t>
            </w:r>
            <w:r>
              <w:rPr>
                <w:rFonts w:cs="Arial"/>
                <w:b/>
                <w:bCs/>
                <w:szCs w:val="14"/>
              </w:rPr>
              <w:t>,</w:t>
            </w:r>
            <w:r w:rsidRPr="00A67720">
              <w:rPr>
                <w:rFonts w:cs="Arial"/>
                <w:b/>
                <w:bCs/>
                <w:szCs w:val="14"/>
              </w:rPr>
              <w:t>350</w:t>
            </w:r>
            <w:r>
              <w:rPr>
                <w:rFonts w:cs="Arial"/>
                <w:b/>
                <w:bCs/>
                <w:szCs w:val="14"/>
              </w:rPr>
              <w:t>,</w:t>
            </w:r>
            <w:r w:rsidRPr="00A67720">
              <w:rPr>
                <w:rFonts w:cs="Arial"/>
                <w:b/>
                <w:bCs/>
                <w:szCs w:val="14"/>
              </w:rPr>
              <w:t>5</w:t>
            </w:r>
            <w:r>
              <w:rPr>
                <w:rFonts w:cs="Arial"/>
                <w:b/>
                <w:bCs/>
                <w:szCs w:val="14"/>
              </w:rPr>
              <w:t>10</w:t>
            </w:r>
          </w:p>
        </w:tc>
        <w:tc>
          <w:tcPr>
            <w:tcW w:w="992" w:type="dxa"/>
            <w:gridSpan w:val="2"/>
            <w:tcBorders>
              <w:top w:val="nil"/>
              <w:bottom w:val="nil"/>
            </w:tcBorders>
            <w:shd w:val="clear" w:color="auto" w:fill="auto"/>
            <w:vAlign w:val="center"/>
          </w:tcPr>
          <w:p w14:paraId="1553A37B"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91FE2">
              <w:rPr>
                <w:rFonts w:cs="Arial"/>
                <w:b/>
                <w:bCs/>
                <w:szCs w:val="14"/>
              </w:rPr>
              <w:t>8</w:t>
            </w:r>
            <w:r>
              <w:rPr>
                <w:rFonts w:cs="Arial"/>
                <w:b/>
                <w:bCs/>
                <w:szCs w:val="14"/>
              </w:rPr>
              <w:t>,</w:t>
            </w:r>
            <w:r w:rsidRPr="00191FE2">
              <w:rPr>
                <w:rFonts w:cs="Arial"/>
                <w:b/>
                <w:bCs/>
                <w:szCs w:val="14"/>
              </w:rPr>
              <w:t>533</w:t>
            </w:r>
            <w:r>
              <w:rPr>
                <w:rFonts w:cs="Arial"/>
                <w:b/>
                <w:bCs/>
                <w:szCs w:val="14"/>
              </w:rPr>
              <w:t>,</w:t>
            </w:r>
            <w:r w:rsidRPr="00191FE2">
              <w:rPr>
                <w:rFonts w:cs="Arial"/>
                <w:b/>
                <w:bCs/>
                <w:szCs w:val="14"/>
              </w:rPr>
              <w:t>73</w:t>
            </w:r>
            <w:r>
              <w:rPr>
                <w:rFonts w:cs="Arial"/>
                <w:b/>
                <w:bCs/>
                <w:szCs w:val="14"/>
              </w:rPr>
              <w:t>1</w:t>
            </w:r>
          </w:p>
        </w:tc>
        <w:tc>
          <w:tcPr>
            <w:tcW w:w="993" w:type="dxa"/>
            <w:tcBorders>
              <w:top w:val="nil"/>
              <w:bottom w:val="nil"/>
            </w:tcBorders>
            <w:shd w:val="clear" w:color="auto" w:fill="auto"/>
            <w:vAlign w:val="center"/>
          </w:tcPr>
          <w:p w14:paraId="44B350FE"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6</w:t>
            </w:r>
            <w:r>
              <w:rPr>
                <w:rFonts w:cs="Arial"/>
                <w:b/>
                <w:bCs/>
                <w:szCs w:val="14"/>
              </w:rPr>
              <w:t>,</w:t>
            </w:r>
            <w:r w:rsidRPr="00EE1C73">
              <w:rPr>
                <w:rFonts w:cs="Arial"/>
                <w:b/>
                <w:bCs/>
                <w:szCs w:val="14"/>
              </w:rPr>
              <w:t>032</w:t>
            </w:r>
            <w:r>
              <w:rPr>
                <w:rFonts w:cs="Arial"/>
                <w:b/>
                <w:bCs/>
                <w:szCs w:val="14"/>
              </w:rPr>
              <w:t>,</w:t>
            </w:r>
            <w:r w:rsidRPr="00EE1C73">
              <w:rPr>
                <w:rFonts w:cs="Arial"/>
                <w:b/>
                <w:bCs/>
                <w:szCs w:val="14"/>
              </w:rPr>
              <w:t>805</w:t>
            </w:r>
          </w:p>
        </w:tc>
      </w:tr>
      <w:tr w:rsidR="00991E72" w:rsidRPr="001D6BE8" w14:paraId="519D51B2"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0E14BCFC" w14:textId="77777777" w:rsidR="00991E72" w:rsidRPr="0038031F" w:rsidRDefault="00991E72" w:rsidP="00991E72">
            <w:pPr>
              <w:pStyle w:val="08-Tabelageral"/>
              <w:jc w:val="left"/>
              <w:rPr>
                <w:b w:val="0"/>
              </w:rPr>
            </w:pPr>
          </w:p>
        </w:tc>
        <w:tc>
          <w:tcPr>
            <w:tcW w:w="702" w:type="dxa"/>
            <w:tcBorders>
              <w:top w:val="nil"/>
              <w:bottom w:val="nil"/>
            </w:tcBorders>
            <w:shd w:val="clear" w:color="auto" w:fill="auto"/>
            <w:vAlign w:val="center"/>
          </w:tcPr>
          <w:p w14:paraId="4CA2DB4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23" w:type="dxa"/>
            <w:tcBorders>
              <w:top w:val="nil"/>
              <w:bottom w:val="nil"/>
            </w:tcBorders>
            <w:shd w:val="clear" w:color="auto" w:fill="auto"/>
            <w:vAlign w:val="center"/>
          </w:tcPr>
          <w:p w14:paraId="1EC3E4F4"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5C331F29"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5" w:type="dxa"/>
            <w:gridSpan w:val="2"/>
            <w:tcBorders>
              <w:top w:val="nil"/>
              <w:bottom w:val="nil"/>
            </w:tcBorders>
            <w:shd w:val="clear" w:color="auto" w:fill="auto"/>
            <w:vAlign w:val="center"/>
          </w:tcPr>
          <w:p w14:paraId="303F3C6A"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86" w:type="dxa"/>
            <w:gridSpan w:val="2"/>
            <w:tcBorders>
              <w:top w:val="nil"/>
              <w:bottom w:val="nil"/>
            </w:tcBorders>
            <w:shd w:val="clear" w:color="auto" w:fill="auto"/>
            <w:vAlign w:val="center"/>
          </w:tcPr>
          <w:p w14:paraId="04FD8428"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0CC39740"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468E25E0"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993" w:type="dxa"/>
            <w:tcBorders>
              <w:top w:val="nil"/>
              <w:bottom w:val="nil"/>
            </w:tcBorders>
            <w:shd w:val="clear" w:color="auto" w:fill="auto"/>
            <w:vAlign w:val="center"/>
          </w:tcPr>
          <w:p w14:paraId="564FE1FC"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1D6BE8" w14:paraId="525F4803"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B53E8A4" w14:textId="77777777" w:rsidR="00991E72" w:rsidRPr="00CD3714" w:rsidRDefault="00991E72" w:rsidP="00991E72">
            <w:pPr>
              <w:pStyle w:val="08-Tabelageral"/>
              <w:jc w:val="left"/>
            </w:pPr>
            <w:r w:rsidRPr="00C27294">
              <w:t>Equity</w:t>
            </w:r>
          </w:p>
        </w:tc>
        <w:tc>
          <w:tcPr>
            <w:tcW w:w="702" w:type="dxa"/>
            <w:tcBorders>
              <w:top w:val="nil"/>
              <w:bottom w:val="nil"/>
            </w:tcBorders>
            <w:shd w:val="clear" w:color="auto" w:fill="auto"/>
            <w:vAlign w:val="center"/>
          </w:tcPr>
          <w:p w14:paraId="7D10A049"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23" w:type="dxa"/>
            <w:tcBorders>
              <w:top w:val="nil"/>
              <w:left w:val="nil"/>
              <w:bottom w:val="nil"/>
              <w:right w:val="nil"/>
            </w:tcBorders>
            <w:shd w:val="clear" w:color="auto" w:fill="auto"/>
            <w:vAlign w:val="center"/>
          </w:tcPr>
          <w:p w14:paraId="01E20004"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color w:val="000000"/>
                <w:szCs w:val="14"/>
              </w:rPr>
              <w:t>10</w:t>
            </w:r>
            <w:r>
              <w:rPr>
                <w:rFonts w:cs="Arial"/>
                <w:b/>
                <w:bCs/>
                <w:color w:val="000000"/>
                <w:szCs w:val="14"/>
              </w:rPr>
              <w:t>,</w:t>
            </w:r>
            <w:r w:rsidRPr="009A6BF2">
              <w:rPr>
                <w:rFonts w:cs="Arial"/>
                <w:b/>
                <w:bCs/>
                <w:color w:val="000000"/>
                <w:szCs w:val="14"/>
              </w:rPr>
              <w:t>047</w:t>
            </w:r>
            <w:r>
              <w:rPr>
                <w:rFonts w:cs="Arial"/>
                <w:b/>
                <w:bCs/>
                <w:color w:val="000000"/>
                <w:szCs w:val="14"/>
              </w:rPr>
              <w:t>,</w:t>
            </w:r>
            <w:r w:rsidRPr="009A6BF2">
              <w:rPr>
                <w:rFonts w:cs="Arial"/>
                <w:b/>
                <w:bCs/>
                <w:color w:val="000000"/>
                <w:szCs w:val="14"/>
              </w:rPr>
              <w:t>334</w:t>
            </w:r>
          </w:p>
        </w:tc>
        <w:tc>
          <w:tcPr>
            <w:tcW w:w="1172" w:type="dxa"/>
            <w:tcBorders>
              <w:top w:val="nil"/>
              <w:left w:val="nil"/>
              <w:bottom w:val="nil"/>
              <w:right w:val="nil"/>
            </w:tcBorders>
            <w:shd w:val="clear" w:color="auto" w:fill="auto"/>
            <w:vAlign w:val="center"/>
          </w:tcPr>
          <w:p w14:paraId="562757B8"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szCs w:val="14"/>
              </w:rPr>
              <w:t>8</w:t>
            </w:r>
            <w:r>
              <w:rPr>
                <w:rFonts w:cs="Arial"/>
                <w:b/>
                <w:bCs/>
                <w:szCs w:val="14"/>
              </w:rPr>
              <w:t>,</w:t>
            </w:r>
            <w:r w:rsidRPr="009A6BF2">
              <w:rPr>
                <w:rFonts w:cs="Arial"/>
                <w:b/>
                <w:bCs/>
                <w:szCs w:val="14"/>
              </w:rPr>
              <w:t>028</w:t>
            </w:r>
            <w:r>
              <w:rPr>
                <w:rFonts w:cs="Arial"/>
                <w:b/>
                <w:bCs/>
                <w:szCs w:val="14"/>
              </w:rPr>
              <w:t>,</w:t>
            </w:r>
            <w:r w:rsidRPr="009A6BF2">
              <w:rPr>
                <w:rFonts w:cs="Arial"/>
                <w:b/>
                <w:bCs/>
                <w:szCs w:val="14"/>
              </w:rPr>
              <w:t>171</w:t>
            </w:r>
          </w:p>
        </w:tc>
        <w:tc>
          <w:tcPr>
            <w:tcW w:w="995" w:type="dxa"/>
            <w:gridSpan w:val="2"/>
            <w:tcBorders>
              <w:top w:val="nil"/>
              <w:bottom w:val="nil"/>
            </w:tcBorders>
            <w:shd w:val="clear" w:color="auto" w:fill="auto"/>
            <w:vAlign w:val="center"/>
          </w:tcPr>
          <w:p w14:paraId="3E5D0583"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9A6BF2">
              <w:rPr>
                <w:rFonts w:cs="Arial"/>
                <w:b/>
                <w:bCs/>
                <w:szCs w:val="14"/>
              </w:rPr>
              <w:t>7</w:t>
            </w:r>
            <w:r>
              <w:rPr>
                <w:rFonts w:cs="Arial"/>
                <w:b/>
                <w:bCs/>
                <w:szCs w:val="14"/>
              </w:rPr>
              <w:t>,</w:t>
            </w:r>
            <w:r w:rsidRPr="009A6BF2">
              <w:rPr>
                <w:rFonts w:cs="Arial"/>
                <w:b/>
                <w:bCs/>
                <w:szCs w:val="14"/>
              </w:rPr>
              <w:t>396</w:t>
            </w:r>
            <w:r>
              <w:rPr>
                <w:rFonts w:cs="Arial"/>
                <w:b/>
                <w:bCs/>
                <w:szCs w:val="14"/>
              </w:rPr>
              <w:t>,</w:t>
            </w:r>
            <w:r w:rsidRPr="009A6BF2">
              <w:rPr>
                <w:rFonts w:cs="Arial"/>
                <w:b/>
                <w:bCs/>
                <w:szCs w:val="14"/>
              </w:rPr>
              <w:t>557</w:t>
            </w:r>
          </w:p>
        </w:tc>
        <w:tc>
          <w:tcPr>
            <w:tcW w:w="286" w:type="dxa"/>
            <w:gridSpan w:val="2"/>
            <w:tcBorders>
              <w:top w:val="nil"/>
              <w:bottom w:val="nil"/>
            </w:tcBorders>
            <w:shd w:val="clear" w:color="auto" w:fill="auto"/>
            <w:vAlign w:val="center"/>
          </w:tcPr>
          <w:p w14:paraId="11A95101"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276" w:type="dxa"/>
            <w:gridSpan w:val="3"/>
            <w:tcBorders>
              <w:top w:val="nil"/>
              <w:left w:val="nil"/>
              <w:bottom w:val="nil"/>
              <w:right w:val="nil"/>
            </w:tcBorders>
            <w:shd w:val="clear" w:color="auto" w:fill="auto"/>
            <w:vAlign w:val="center"/>
          </w:tcPr>
          <w:p w14:paraId="279541BF"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color w:val="000000"/>
                <w:szCs w:val="14"/>
              </w:rPr>
              <w:t>10</w:t>
            </w:r>
            <w:r>
              <w:rPr>
                <w:rFonts w:cs="Arial"/>
                <w:b/>
                <w:bCs/>
                <w:color w:val="000000"/>
                <w:szCs w:val="14"/>
              </w:rPr>
              <w:t>,</w:t>
            </w:r>
            <w:r w:rsidRPr="009A6BF2">
              <w:rPr>
                <w:rFonts w:cs="Arial"/>
                <w:b/>
                <w:bCs/>
                <w:color w:val="000000"/>
                <w:szCs w:val="14"/>
              </w:rPr>
              <w:t>047</w:t>
            </w:r>
            <w:r>
              <w:rPr>
                <w:rFonts w:cs="Arial"/>
                <w:b/>
                <w:bCs/>
                <w:color w:val="000000"/>
                <w:szCs w:val="14"/>
              </w:rPr>
              <w:t>,</w:t>
            </w:r>
            <w:r w:rsidRPr="009A6BF2">
              <w:rPr>
                <w:rFonts w:cs="Arial"/>
                <w:b/>
                <w:bCs/>
                <w:color w:val="000000"/>
                <w:szCs w:val="14"/>
              </w:rPr>
              <w:t>334</w:t>
            </w:r>
          </w:p>
        </w:tc>
        <w:tc>
          <w:tcPr>
            <w:tcW w:w="992" w:type="dxa"/>
            <w:gridSpan w:val="2"/>
            <w:tcBorders>
              <w:top w:val="nil"/>
              <w:left w:val="nil"/>
              <w:bottom w:val="nil"/>
              <w:right w:val="nil"/>
            </w:tcBorders>
            <w:shd w:val="clear" w:color="auto" w:fill="auto"/>
            <w:vAlign w:val="center"/>
          </w:tcPr>
          <w:p w14:paraId="24080093"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9A6BF2">
              <w:rPr>
                <w:rFonts w:cs="Arial"/>
                <w:b/>
                <w:bCs/>
                <w:szCs w:val="14"/>
              </w:rPr>
              <w:t>8</w:t>
            </w:r>
            <w:r>
              <w:rPr>
                <w:rFonts w:cs="Arial"/>
                <w:b/>
                <w:bCs/>
                <w:szCs w:val="14"/>
              </w:rPr>
              <w:t>,</w:t>
            </w:r>
            <w:r w:rsidRPr="009A6BF2">
              <w:rPr>
                <w:rFonts w:cs="Arial"/>
                <w:b/>
                <w:bCs/>
                <w:szCs w:val="14"/>
              </w:rPr>
              <w:t>028</w:t>
            </w:r>
            <w:r>
              <w:rPr>
                <w:rFonts w:cs="Arial"/>
                <w:b/>
                <w:bCs/>
                <w:szCs w:val="14"/>
              </w:rPr>
              <w:t>,</w:t>
            </w:r>
            <w:r w:rsidRPr="009A6BF2">
              <w:rPr>
                <w:rFonts w:cs="Arial"/>
                <w:b/>
                <w:bCs/>
                <w:szCs w:val="14"/>
              </w:rPr>
              <w:t>171</w:t>
            </w:r>
          </w:p>
        </w:tc>
        <w:tc>
          <w:tcPr>
            <w:tcW w:w="993" w:type="dxa"/>
            <w:tcBorders>
              <w:top w:val="nil"/>
              <w:bottom w:val="nil"/>
            </w:tcBorders>
            <w:shd w:val="clear" w:color="auto" w:fill="auto"/>
            <w:vAlign w:val="center"/>
          </w:tcPr>
          <w:p w14:paraId="620AC61E" w14:textId="77777777" w:rsidR="00991E72" w:rsidRPr="006B5975"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9A6BF2">
              <w:rPr>
                <w:rFonts w:cs="Arial"/>
                <w:b/>
                <w:bCs/>
                <w:szCs w:val="14"/>
              </w:rPr>
              <w:t>7</w:t>
            </w:r>
            <w:r>
              <w:rPr>
                <w:rFonts w:cs="Arial"/>
                <w:b/>
                <w:bCs/>
                <w:szCs w:val="14"/>
              </w:rPr>
              <w:t>,</w:t>
            </w:r>
            <w:r w:rsidRPr="009A6BF2">
              <w:rPr>
                <w:rFonts w:cs="Arial"/>
                <w:b/>
                <w:bCs/>
                <w:szCs w:val="14"/>
              </w:rPr>
              <w:t>396</w:t>
            </w:r>
            <w:r>
              <w:rPr>
                <w:rFonts w:cs="Arial"/>
                <w:b/>
                <w:bCs/>
                <w:szCs w:val="14"/>
              </w:rPr>
              <w:t>,</w:t>
            </w:r>
            <w:r w:rsidRPr="009A6BF2">
              <w:rPr>
                <w:rFonts w:cs="Arial"/>
                <w:b/>
                <w:bCs/>
                <w:szCs w:val="14"/>
              </w:rPr>
              <w:t>557</w:t>
            </w:r>
          </w:p>
        </w:tc>
      </w:tr>
      <w:tr w:rsidR="00991E72" w:rsidRPr="001D6BE8" w14:paraId="52163EDD"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2C5A7023" w14:textId="77777777" w:rsidR="00991E72" w:rsidRPr="0038031F" w:rsidRDefault="00991E72" w:rsidP="00991E72">
            <w:pPr>
              <w:pStyle w:val="08-Tabelageral"/>
              <w:ind w:left="113"/>
              <w:jc w:val="left"/>
              <w:rPr>
                <w:b w:val="0"/>
              </w:rPr>
            </w:pPr>
            <w:r w:rsidRPr="00C27294">
              <w:rPr>
                <w:b w:val="0"/>
              </w:rPr>
              <w:t>Capital</w:t>
            </w:r>
          </w:p>
        </w:tc>
        <w:tc>
          <w:tcPr>
            <w:tcW w:w="702" w:type="dxa"/>
            <w:tcBorders>
              <w:top w:val="nil"/>
              <w:bottom w:val="nil"/>
            </w:tcBorders>
            <w:shd w:val="clear" w:color="auto" w:fill="auto"/>
            <w:vAlign w:val="center"/>
          </w:tcPr>
          <w:p w14:paraId="248CA869"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[25.a]</w:t>
            </w:r>
          </w:p>
        </w:tc>
        <w:tc>
          <w:tcPr>
            <w:tcW w:w="1123" w:type="dxa"/>
            <w:tcBorders>
              <w:top w:val="nil"/>
              <w:left w:val="nil"/>
              <w:bottom w:val="nil"/>
              <w:right w:val="nil"/>
            </w:tcBorders>
            <w:shd w:val="clear" w:color="auto" w:fill="auto"/>
            <w:vAlign w:val="center"/>
          </w:tcPr>
          <w:p w14:paraId="432598BD"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6,269,692</w:t>
            </w:r>
          </w:p>
        </w:tc>
        <w:tc>
          <w:tcPr>
            <w:tcW w:w="1172" w:type="dxa"/>
            <w:tcBorders>
              <w:top w:val="nil"/>
              <w:left w:val="nil"/>
              <w:bottom w:val="nil"/>
              <w:right w:val="nil"/>
            </w:tcBorders>
            <w:shd w:val="clear" w:color="auto" w:fill="auto"/>
            <w:vAlign w:val="center"/>
          </w:tcPr>
          <w:p w14:paraId="14616746"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6</w:t>
            </w:r>
            <w:r>
              <w:rPr>
                <w:rFonts w:cs="Arial"/>
                <w:szCs w:val="14"/>
              </w:rPr>
              <w:t>,</w:t>
            </w:r>
            <w:r w:rsidRPr="00AA591E">
              <w:rPr>
                <w:rFonts w:cs="Arial"/>
                <w:szCs w:val="14"/>
              </w:rPr>
              <w:t>269</w:t>
            </w:r>
            <w:r>
              <w:rPr>
                <w:rFonts w:cs="Arial"/>
                <w:szCs w:val="14"/>
              </w:rPr>
              <w:t>,</w:t>
            </w:r>
            <w:r w:rsidRPr="00AA591E">
              <w:rPr>
                <w:rFonts w:cs="Arial"/>
                <w:szCs w:val="14"/>
              </w:rPr>
              <w:t>692</w:t>
            </w:r>
          </w:p>
        </w:tc>
        <w:tc>
          <w:tcPr>
            <w:tcW w:w="995" w:type="dxa"/>
            <w:gridSpan w:val="2"/>
            <w:tcBorders>
              <w:top w:val="nil"/>
              <w:bottom w:val="nil"/>
            </w:tcBorders>
            <w:shd w:val="clear" w:color="auto" w:fill="auto"/>
            <w:vAlign w:val="center"/>
          </w:tcPr>
          <w:p w14:paraId="77C3AF62"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c>
          <w:tcPr>
            <w:tcW w:w="286" w:type="dxa"/>
            <w:gridSpan w:val="2"/>
            <w:tcBorders>
              <w:top w:val="nil"/>
              <w:bottom w:val="nil"/>
            </w:tcBorders>
            <w:shd w:val="clear" w:color="auto" w:fill="auto"/>
            <w:vAlign w:val="center"/>
          </w:tcPr>
          <w:p w14:paraId="292C4355"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221FC9C1"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6,269,692</w:t>
            </w:r>
          </w:p>
        </w:tc>
        <w:tc>
          <w:tcPr>
            <w:tcW w:w="992" w:type="dxa"/>
            <w:gridSpan w:val="2"/>
            <w:tcBorders>
              <w:top w:val="nil"/>
              <w:left w:val="nil"/>
              <w:bottom w:val="nil"/>
              <w:right w:val="nil"/>
            </w:tcBorders>
            <w:shd w:val="clear" w:color="auto" w:fill="auto"/>
            <w:vAlign w:val="center"/>
          </w:tcPr>
          <w:p w14:paraId="388BBB98"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6</w:t>
            </w:r>
            <w:r>
              <w:rPr>
                <w:rFonts w:cs="Arial"/>
                <w:szCs w:val="14"/>
              </w:rPr>
              <w:t>,</w:t>
            </w:r>
            <w:r w:rsidRPr="00AA591E">
              <w:rPr>
                <w:rFonts w:cs="Arial"/>
                <w:szCs w:val="14"/>
              </w:rPr>
              <w:t>269</w:t>
            </w:r>
            <w:r>
              <w:rPr>
                <w:rFonts w:cs="Arial"/>
                <w:szCs w:val="14"/>
              </w:rPr>
              <w:t>,</w:t>
            </w:r>
            <w:r w:rsidRPr="00AA591E">
              <w:rPr>
                <w:rFonts w:cs="Arial"/>
                <w:szCs w:val="14"/>
              </w:rPr>
              <w:t>692</w:t>
            </w:r>
          </w:p>
        </w:tc>
        <w:tc>
          <w:tcPr>
            <w:tcW w:w="993" w:type="dxa"/>
            <w:tcBorders>
              <w:top w:val="nil"/>
              <w:bottom w:val="nil"/>
            </w:tcBorders>
            <w:shd w:val="clear" w:color="auto" w:fill="auto"/>
            <w:vAlign w:val="center"/>
          </w:tcPr>
          <w:p w14:paraId="63A87ED3"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r>
      <w:tr w:rsidR="00991E72" w:rsidRPr="001D6BE8" w14:paraId="6D86D77B"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3A7698CD" w14:textId="77777777" w:rsidR="00991E72" w:rsidRPr="0038031F" w:rsidRDefault="00991E72" w:rsidP="00991E72">
            <w:pPr>
              <w:pStyle w:val="08-Tabelageral"/>
              <w:ind w:left="113"/>
              <w:jc w:val="left"/>
              <w:rPr>
                <w:b w:val="0"/>
              </w:rPr>
            </w:pPr>
            <w:r w:rsidRPr="00C27294">
              <w:rPr>
                <w:b w:val="0"/>
              </w:rPr>
              <w:t>Capital reserves</w:t>
            </w:r>
          </w:p>
        </w:tc>
        <w:tc>
          <w:tcPr>
            <w:tcW w:w="702" w:type="dxa"/>
            <w:tcBorders>
              <w:top w:val="nil"/>
              <w:bottom w:val="nil"/>
            </w:tcBorders>
            <w:shd w:val="clear" w:color="auto" w:fill="auto"/>
            <w:vAlign w:val="center"/>
          </w:tcPr>
          <w:p w14:paraId="72D0B541"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[25.b]</w:t>
            </w:r>
          </w:p>
        </w:tc>
        <w:tc>
          <w:tcPr>
            <w:tcW w:w="1123" w:type="dxa"/>
            <w:tcBorders>
              <w:top w:val="nil"/>
              <w:left w:val="nil"/>
              <w:bottom w:val="nil"/>
              <w:right w:val="nil"/>
            </w:tcBorders>
            <w:shd w:val="clear" w:color="auto" w:fill="auto"/>
            <w:vAlign w:val="center"/>
          </w:tcPr>
          <w:p w14:paraId="4BC67513"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1,801</w:t>
            </w:r>
          </w:p>
        </w:tc>
        <w:tc>
          <w:tcPr>
            <w:tcW w:w="1172" w:type="dxa"/>
            <w:tcBorders>
              <w:top w:val="nil"/>
              <w:left w:val="nil"/>
              <w:bottom w:val="nil"/>
              <w:right w:val="nil"/>
            </w:tcBorders>
            <w:shd w:val="clear" w:color="auto" w:fill="auto"/>
            <w:vAlign w:val="center"/>
          </w:tcPr>
          <w:p w14:paraId="17863A7D"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571</w:t>
            </w:r>
          </w:p>
        </w:tc>
        <w:tc>
          <w:tcPr>
            <w:tcW w:w="995" w:type="dxa"/>
            <w:gridSpan w:val="2"/>
            <w:tcBorders>
              <w:top w:val="nil"/>
              <w:bottom w:val="nil"/>
            </w:tcBorders>
            <w:shd w:val="clear" w:color="auto" w:fill="auto"/>
            <w:vAlign w:val="center"/>
          </w:tcPr>
          <w:p w14:paraId="137E860F"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c>
          <w:tcPr>
            <w:tcW w:w="286" w:type="dxa"/>
            <w:gridSpan w:val="2"/>
            <w:tcBorders>
              <w:top w:val="nil"/>
              <w:bottom w:val="nil"/>
            </w:tcBorders>
            <w:shd w:val="clear" w:color="auto" w:fill="auto"/>
            <w:vAlign w:val="center"/>
          </w:tcPr>
          <w:p w14:paraId="77E9AD36"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5AA6E08F"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1,801</w:t>
            </w:r>
          </w:p>
        </w:tc>
        <w:tc>
          <w:tcPr>
            <w:tcW w:w="992" w:type="dxa"/>
            <w:gridSpan w:val="2"/>
            <w:tcBorders>
              <w:top w:val="nil"/>
              <w:left w:val="nil"/>
              <w:bottom w:val="nil"/>
              <w:right w:val="nil"/>
            </w:tcBorders>
            <w:shd w:val="clear" w:color="auto" w:fill="auto"/>
            <w:vAlign w:val="center"/>
          </w:tcPr>
          <w:p w14:paraId="4F01B62D"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571</w:t>
            </w:r>
          </w:p>
        </w:tc>
        <w:tc>
          <w:tcPr>
            <w:tcW w:w="993" w:type="dxa"/>
            <w:tcBorders>
              <w:top w:val="nil"/>
              <w:bottom w:val="nil"/>
            </w:tcBorders>
            <w:shd w:val="clear" w:color="auto" w:fill="auto"/>
            <w:vAlign w:val="center"/>
          </w:tcPr>
          <w:p w14:paraId="0FB6A93A"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r>
      <w:tr w:rsidR="00991E72" w:rsidRPr="001D6BE8" w14:paraId="74AA8466"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69057979" w14:textId="77777777" w:rsidR="00991E72" w:rsidRPr="0038031F" w:rsidRDefault="00991E72" w:rsidP="00991E72">
            <w:pPr>
              <w:pStyle w:val="08-Tabelageral"/>
              <w:ind w:left="113"/>
              <w:jc w:val="left"/>
              <w:rPr>
                <w:b w:val="0"/>
              </w:rPr>
            </w:pPr>
            <w:r w:rsidRPr="00C27294">
              <w:rPr>
                <w:b w:val="0"/>
              </w:rPr>
              <w:t>Income reserves</w:t>
            </w:r>
          </w:p>
        </w:tc>
        <w:tc>
          <w:tcPr>
            <w:tcW w:w="702" w:type="dxa"/>
            <w:tcBorders>
              <w:top w:val="nil"/>
              <w:bottom w:val="nil"/>
            </w:tcBorders>
            <w:shd w:val="clear" w:color="auto" w:fill="auto"/>
            <w:vAlign w:val="center"/>
          </w:tcPr>
          <w:p w14:paraId="12121776"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[25.b]</w:t>
            </w:r>
          </w:p>
        </w:tc>
        <w:tc>
          <w:tcPr>
            <w:tcW w:w="1123" w:type="dxa"/>
            <w:tcBorders>
              <w:top w:val="nil"/>
              <w:left w:val="nil"/>
              <w:bottom w:val="nil"/>
              <w:right w:val="nil"/>
            </w:tcBorders>
            <w:shd w:val="clear" w:color="auto" w:fill="auto"/>
            <w:vAlign w:val="center"/>
          </w:tcPr>
          <w:p w14:paraId="5B1AD10C"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1,552,229</w:t>
            </w:r>
          </w:p>
        </w:tc>
        <w:tc>
          <w:tcPr>
            <w:tcW w:w="1172" w:type="dxa"/>
            <w:tcBorders>
              <w:top w:val="nil"/>
              <w:left w:val="nil"/>
              <w:bottom w:val="nil"/>
              <w:right w:val="nil"/>
            </w:tcBorders>
            <w:shd w:val="clear" w:color="auto" w:fill="auto"/>
            <w:vAlign w:val="center"/>
          </w:tcPr>
          <w:p w14:paraId="2ED2A8A1"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552</w:t>
            </w:r>
            <w:r>
              <w:rPr>
                <w:rFonts w:cs="Arial"/>
                <w:szCs w:val="14"/>
              </w:rPr>
              <w:t>,</w:t>
            </w:r>
            <w:r w:rsidRPr="00AA591E">
              <w:rPr>
                <w:rFonts w:cs="Arial"/>
                <w:szCs w:val="14"/>
              </w:rPr>
              <w:t>229</w:t>
            </w:r>
          </w:p>
        </w:tc>
        <w:tc>
          <w:tcPr>
            <w:tcW w:w="995" w:type="dxa"/>
            <w:gridSpan w:val="2"/>
            <w:tcBorders>
              <w:top w:val="nil"/>
              <w:bottom w:val="nil"/>
            </w:tcBorders>
            <w:shd w:val="clear" w:color="auto" w:fill="auto"/>
            <w:vAlign w:val="center"/>
          </w:tcPr>
          <w:p w14:paraId="629BF836"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c>
          <w:tcPr>
            <w:tcW w:w="286" w:type="dxa"/>
            <w:gridSpan w:val="2"/>
            <w:tcBorders>
              <w:top w:val="nil"/>
              <w:bottom w:val="nil"/>
            </w:tcBorders>
            <w:shd w:val="clear" w:color="auto" w:fill="auto"/>
            <w:vAlign w:val="center"/>
          </w:tcPr>
          <w:p w14:paraId="148E13A6"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29948D97"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1,552,229</w:t>
            </w:r>
          </w:p>
        </w:tc>
        <w:tc>
          <w:tcPr>
            <w:tcW w:w="992" w:type="dxa"/>
            <w:gridSpan w:val="2"/>
            <w:tcBorders>
              <w:top w:val="nil"/>
              <w:left w:val="nil"/>
              <w:bottom w:val="nil"/>
              <w:right w:val="nil"/>
            </w:tcBorders>
            <w:shd w:val="clear" w:color="auto" w:fill="auto"/>
            <w:vAlign w:val="center"/>
          </w:tcPr>
          <w:p w14:paraId="43089BDE"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552</w:t>
            </w:r>
            <w:r>
              <w:rPr>
                <w:rFonts w:cs="Arial"/>
                <w:szCs w:val="14"/>
              </w:rPr>
              <w:t>,</w:t>
            </w:r>
            <w:r w:rsidRPr="00AA591E">
              <w:rPr>
                <w:rFonts w:cs="Arial"/>
                <w:szCs w:val="14"/>
              </w:rPr>
              <w:t>229</w:t>
            </w:r>
          </w:p>
        </w:tc>
        <w:tc>
          <w:tcPr>
            <w:tcW w:w="993" w:type="dxa"/>
            <w:tcBorders>
              <w:top w:val="nil"/>
              <w:bottom w:val="nil"/>
            </w:tcBorders>
            <w:shd w:val="clear" w:color="auto" w:fill="auto"/>
            <w:vAlign w:val="center"/>
          </w:tcPr>
          <w:p w14:paraId="3C506E76"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r>
      <w:tr w:rsidR="00991E72" w:rsidRPr="001D6BE8" w14:paraId="7F474A2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4CA62D99" w14:textId="77777777" w:rsidR="00991E72" w:rsidRPr="0038031F" w:rsidRDefault="00991E72" w:rsidP="00991E72">
            <w:pPr>
              <w:pStyle w:val="08-Tabelageral"/>
              <w:ind w:left="113"/>
              <w:jc w:val="left"/>
              <w:rPr>
                <w:b w:val="0"/>
              </w:rPr>
            </w:pPr>
            <w:r w:rsidRPr="00C27294">
              <w:rPr>
                <w:b w:val="0"/>
              </w:rPr>
              <w:t>Treasury shares</w:t>
            </w:r>
          </w:p>
        </w:tc>
        <w:tc>
          <w:tcPr>
            <w:tcW w:w="702" w:type="dxa"/>
            <w:tcBorders>
              <w:top w:val="nil"/>
              <w:bottom w:val="nil"/>
            </w:tcBorders>
            <w:shd w:val="clear" w:color="auto" w:fill="auto"/>
            <w:vAlign w:val="center"/>
          </w:tcPr>
          <w:p w14:paraId="1E3019D4"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[25.g</w:t>
            </w:r>
            <w:r>
              <w:t>.4</w:t>
            </w:r>
            <w:r w:rsidRPr="00616539">
              <w:t>]</w:t>
            </w:r>
          </w:p>
        </w:tc>
        <w:tc>
          <w:tcPr>
            <w:tcW w:w="1123" w:type="dxa"/>
            <w:tcBorders>
              <w:top w:val="nil"/>
              <w:left w:val="nil"/>
              <w:bottom w:val="nil"/>
              <w:right w:val="nil"/>
            </w:tcBorders>
            <w:shd w:val="clear" w:color="auto" w:fill="auto"/>
            <w:vAlign w:val="center"/>
          </w:tcPr>
          <w:p w14:paraId="365BAC4A"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(79,758)</w:t>
            </w:r>
          </w:p>
        </w:tc>
        <w:tc>
          <w:tcPr>
            <w:tcW w:w="1172" w:type="dxa"/>
            <w:tcBorders>
              <w:top w:val="nil"/>
              <w:left w:val="nil"/>
              <w:bottom w:val="nil"/>
              <w:right w:val="nil"/>
            </w:tcBorders>
            <w:shd w:val="clear" w:color="auto" w:fill="auto"/>
            <w:vAlign w:val="center"/>
          </w:tcPr>
          <w:p w14:paraId="75ED574A"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(80</w:t>
            </w:r>
            <w:r>
              <w:rPr>
                <w:rFonts w:cs="Arial"/>
                <w:szCs w:val="14"/>
              </w:rPr>
              <w:t>,</w:t>
            </w:r>
            <w:r w:rsidRPr="00AA591E">
              <w:rPr>
                <w:rFonts w:cs="Arial"/>
                <w:szCs w:val="14"/>
              </w:rPr>
              <w:t>34</w:t>
            </w:r>
            <w:r>
              <w:rPr>
                <w:rFonts w:cs="Arial"/>
                <w:szCs w:val="14"/>
              </w:rPr>
              <w:t>4</w:t>
            </w:r>
            <w:r w:rsidRPr="00AA591E">
              <w:rPr>
                <w:rFonts w:cs="Arial"/>
                <w:szCs w:val="14"/>
              </w:rPr>
              <w:t>)</w:t>
            </w:r>
          </w:p>
        </w:tc>
        <w:tc>
          <w:tcPr>
            <w:tcW w:w="995" w:type="dxa"/>
            <w:gridSpan w:val="2"/>
            <w:tcBorders>
              <w:top w:val="nil"/>
              <w:bottom w:val="nil"/>
            </w:tcBorders>
            <w:shd w:val="clear" w:color="auto" w:fill="auto"/>
            <w:vAlign w:val="center"/>
          </w:tcPr>
          <w:p w14:paraId="2D3AABDE"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c>
          <w:tcPr>
            <w:tcW w:w="286" w:type="dxa"/>
            <w:gridSpan w:val="2"/>
            <w:tcBorders>
              <w:top w:val="nil"/>
              <w:bottom w:val="nil"/>
            </w:tcBorders>
            <w:shd w:val="clear" w:color="auto" w:fill="auto"/>
            <w:vAlign w:val="center"/>
          </w:tcPr>
          <w:p w14:paraId="3EE03266"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left w:val="nil"/>
              <w:bottom w:val="nil"/>
              <w:right w:val="nil"/>
            </w:tcBorders>
            <w:shd w:val="clear" w:color="auto" w:fill="auto"/>
            <w:vAlign w:val="center"/>
          </w:tcPr>
          <w:p w14:paraId="39FA4939"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(79,758)</w:t>
            </w:r>
          </w:p>
        </w:tc>
        <w:tc>
          <w:tcPr>
            <w:tcW w:w="992" w:type="dxa"/>
            <w:gridSpan w:val="2"/>
            <w:tcBorders>
              <w:top w:val="nil"/>
              <w:left w:val="nil"/>
              <w:bottom w:val="nil"/>
              <w:right w:val="nil"/>
            </w:tcBorders>
            <w:shd w:val="clear" w:color="auto" w:fill="auto"/>
            <w:vAlign w:val="center"/>
          </w:tcPr>
          <w:p w14:paraId="51D7E533" w14:textId="77777777" w:rsidR="00991E72" w:rsidRPr="00EE1C7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(80</w:t>
            </w:r>
            <w:r>
              <w:rPr>
                <w:rFonts w:cs="Arial"/>
                <w:szCs w:val="14"/>
              </w:rPr>
              <w:t>,</w:t>
            </w:r>
            <w:r w:rsidRPr="00AA591E">
              <w:rPr>
                <w:rFonts w:cs="Arial"/>
                <w:szCs w:val="14"/>
              </w:rPr>
              <w:t>34</w:t>
            </w:r>
            <w:r>
              <w:rPr>
                <w:rFonts w:cs="Arial"/>
                <w:szCs w:val="14"/>
              </w:rPr>
              <w:t>4</w:t>
            </w:r>
            <w:r w:rsidRPr="00AA591E">
              <w:rPr>
                <w:rFonts w:cs="Arial"/>
                <w:szCs w:val="14"/>
              </w:rPr>
              <w:t>)</w:t>
            </w:r>
          </w:p>
        </w:tc>
        <w:tc>
          <w:tcPr>
            <w:tcW w:w="993" w:type="dxa"/>
            <w:tcBorders>
              <w:top w:val="nil"/>
              <w:bottom w:val="nil"/>
            </w:tcBorders>
            <w:shd w:val="clear" w:color="auto" w:fill="auto"/>
            <w:vAlign w:val="center"/>
          </w:tcPr>
          <w:p w14:paraId="6280B908"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r>
      <w:tr w:rsidR="00991E72" w:rsidRPr="00490B0B" w14:paraId="6F8ECFE6"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6CF3FF92" w14:textId="77777777" w:rsidR="00991E72" w:rsidRPr="00490B0B" w:rsidRDefault="00991E72" w:rsidP="00991E72">
            <w:pPr>
              <w:pStyle w:val="08-Tabelageral"/>
              <w:ind w:left="113"/>
              <w:jc w:val="left"/>
              <w:rPr>
                <w:b w:val="0"/>
              </w:rPr>
            </w:pPr>
            <w:r w:rsidRPr="00C27294">
              <w:rPr>
                <w:b w:val="0"/>
              </w:rPr>
              <w:t>Other accumulated comprehensive income</w:t>
            </w:r>
          </w:p>
        </w:tc>
        <w:tc>
          <w:tcPr>
            <w:tcW w:w="702" w:type="dxa"/>
            <w:tcBorders>
              <w:top w:val="nil"/>
              <w:bottom w:val="nil"/>
            </w:tcBorders>
            <w:shd w:val="clear" w:color="auto" w:fill="auto"/>
            <w:vAlign w:val="center"/>
          </w:tcPr>
          <w:p w14:paraId="67A082BE" w14:textId="77777777" w:rsidR="00991E72" w:rsidRPr="00490B0B"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616539">
              <w:t>[25.e]</w:t>
            </w:r>
          </w:p>
        </w:tc>
        <w:tc>
          <w:tcPr>
            <w:tcW w:w="1123" w:type="dxa"/>
            <w:tcBorders>
              <w:top w:val="nil"/>
              <w:left w:val="nil"/>
              <w:bottom w:val="nil"/>
              <w:right w:val="nil"/>
            </w:tcBorders>
            <w:shd w:val="clear" w:color="auto" w:fill="auto"/>
            <w:vAlign w:val="center"/>
          </w:tcPr>
          <w:p w14:paraId="13C492DC" w14:textId="77777777" w:rsidR="00991E72" w:rsidRPr="00490B0B"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9A6BF2">
              <w:rPr>
                <w:rFonts w:cs="Arial"/>
                <w:color w:val="000000"/>
                <w:szCs w:val="14"/>
              </w:rPr>
              <w:t>203</w:t>
            </w:r>
            <w:r>
              <w:rPr>
                <w:rFonts w:cs="Arial"/>
                <w:color w:val="000000"/>
                <w:szCs w:val="14"/>
              </w:rPr>
              <w:t>,</w:t>
            </w:r>
            <w:r w:rsidRPr="009A6BF2">
              <w:rPr>
                <w:rFonts w:cs="Arial"/>
                <w:color w:val="000000"/>
                <w:szCs w:val="14"/>
              </w:rPr>
              <w:t>426</w:t>
            </w:r>
          </w:p>
        </w:tc>
        <w:tc>
          <w:tcPr>
            <w:tcW w:w="1172" w:type="dxa"/>
            <w:tcBorders>
              <w:top w:val="nil"/>
              <w:left w:val="nil"/>
              <w:bottom w:val="nil"/>
              <w:right w:val="nil"/>
            </w:tcBorders>
            <w:shd w:val="clear" w:color="auto" w:fill="auto"/>
            <w:vAlign w:val="center"/>
          </w:tcPr>
          <w:p w14:paraId="7742C19C" w14:textId="77777777" w:rsidR="00991E72" w:rsidRPr="00EE1C73"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9A6BF2">
              <w:t>18</w:t>
            </w:r>
            <w:r>
              <w:t>,</w:t>
            </w:r>
            <w:r w:rsidRPr="009A6BF2">
              <w:t>038</w:t>
            </w:r>
          </w:p>
        </w:tc>
        <w:tc>
          <w:tcPr>
            <w:tcW w:w="995" w:type="dxa"/>
            <w:gridSpan w:val="2"/>
            <w:tcBorders>
              <w:top w:val="nil"/>
              <w:bottom w:val="nil"/>
            </w:tcBorders>
            <w:shd w:val="clear" w:color="auto" w:fill="auto"/>
            <w:vAlign w:val="center"/>
          </w:tcPr>
          <w:p w14:paraId="570A66A5" w14:textId="77777777" w:rsidR="00991E72" w:rsidRPr="00490B0B"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F15850">
              <w:t>(158</w:t>
            </w:r>
            <w:r>
              <w:t>,</w:t>
            </w:r>
            <w:r w:rsidRPr="00F15850">
              <w:t>464)</w:t>
            </w:r>
          </w:p>
        </w:tc>
        <w:tc>
          <w:tcPr>
            <w:tcW w:w="286" w:type="dxa"/>
            <w:gridSpan w:val="2"/>
            <w:tcBorders>
              <w:top w:val="nil"/>
              <w:bottom w:val="nil"/>
            </w:tcBorders>
            <w:shd w:val="clear" w:color="auto" w:fill="auto"/>
            <w:vAlign w:val="center"/>
          </w:tcPr>
          <w:p w14:paraId="4510B436" w14:textId="77777777" w:rsidR="00991E72" w:rsidRPr="00490B0B"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276" w:type="dxa"/>
            <w:gridSpan w:val="3"/>
            <w:tcBorders>
              <w:top w:val="nil"/>
              <w:left w:val="nil"/>
              <w:bottom w:val="nil"/>
              <w:right w:val="nil"/>
            </w:tcBorders>
            <w:shd w:val="clear" w:color="auto" w:fill="auto"/>
            <w:vAlign w:val="center"/>
          </w:tcPr>
          <w:p w14:paraId="2CDE6784" w14:textId="77777777" w:rsidR="00991E72" w:rsidRPr="00490B0B"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9A6BF2">
              <w:rPr>
                <w:rFonts w:cs="Arial"/>
                <w:color w:val="000000"/>
                <w:szCs w:val="14"/>
              </w:rPr>
              <w:t>203</w:t>
            </w:r>
            <w:r>
              <w:rPr>
                <w:rFonts w:cs="Arial"/>
                <w:color w:val="000000"/>
                <w:szCs w:val="14"/>
              </w:rPr>
              <w:t>,</w:t>
            </w:r>
            <w:r w:rsidRPr="009A6BF2">
              <w:rPr>
                <w:rFonts w:cs="Arial"/>
                <w:color w:val="000000"/>
                <w:szCs w:val="14"/>
              </w:rPr>
              <w:t>426</w:t>
            </w:r>
          </w:p>
        </w:tc>
        <w:tc>
          <w:tcPr>
            <w:tcW w:w="992" w:type="dxa"/>
            <w:gridSpan w:val="2"/>
            <w:tcBorders>
              <w:top w:val="nil"/>
              <w:left w:val="nil"/>
              <w:bottom w:val="nil"/>
              <w:right w:val="nil"/>
            </w:tcBorders>
            <w:shd w:val="clear" w:color="auto" w:fill="auto"/>
            <w:vAlign w:val="center"/>
          </w:tcPr>
          <w:p w14:paraId="6B35FC02" w14:textId="77777777" w:rsidR="00991E72" w:rsidRPr="00EE1C73"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9A6BF2">
              <w:t>18</w:t>
            </w:r>
            <w:r>
              <w:t>,</w:t>
            </w:r>
            <w:r w:rsidRPr="009A6BF2">
              <w:t>038</w:t>
            </w:r>
          </w:p>
        </w:tc>
        <w:tc>
          <w:tcPr>
            <w:tcW w:w="993" w:type="dxa"/>
            <w:tcBorders>
              <w:top w:val="nil"/>
              <w:bottom w:val="nil"/>
            </w:tcBorders>
            <w:shd w:val="clear" w:color="auto" w:fill="auto"/>
            <w:vAlign w:val="center"/>
          </w:tcPr>
          <w:p w14:paraId="1111B664" w14:textId="77777777" w:rsidR="00991E72" w:rsidRPr="00490B0B"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01344D">
              <w:t>(158</w:t>
            </w:r>
            <w:r>
              <w:t>,</w:t>
            </w:r>
            <w:r w:rsidRPr="0001344D">
              <w:t>464)</w:t>
            </w:r>
          </w:p>
        </w:tc>
      </w:tr>
      <w:tr w:rsidR="00991E72" w:rsidRPr="00490B0B" w14:paraId="10614669"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54CAA5E3" w14:textId="77777777" w:rsidR="00991E72" w:rsidRPr="00C27294" w:rsidRDefault="00991E72" w:rsidP="00991E72">
            <w:pPr>
              <w:pStyle w:val="08-Tabelageral"/>
              <w:ind w:left="113"/>
              <w:jc w:val="left"/>
            </w:pPr>
          </w:p>
        </w:tc>
        <w:tc>
          <w:tcPr>
            <w:tcW w:w="702" w:type="dxa"/>
            <w:tcBorders>
              <w:top w:val="nil"/>
              <w:bottom w:val="nil"/>
            </w:tcBorders>
            <w:shd w:val="clear" w:color="auto" w:fill="auto"/>
            <w:vAlign w:val="center"/>
          </w:tcPr>
          <w:p w14:paraId="7D4ACEB3" w14:textId="77777777" w:rsidR="00991E72" w:rsidRPr="0061653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123" w:type="dxa"/>
            <w:tcBorders>
              <w:top w:val="nil"/>
              <w:left w:val="nil"/>
              <w:bottom w:val="nil"/>
              <w:right w:val="nil"/>
            </w:tcBorders>
            <w:shd w:val="clear" w:color="auto" w:fill="auto"/>
            <w:vAlign w:val="center"/>
          </w:tcPr>
          <w:p w14:paraId="39E8B60B" w14:textId="77777777" w:rsidR="00991E72" w:rsidRPr="00490B0B"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9A6BF2">
              <w:rPr>
                <w:rFonts w:cs="Arial"/>
                <w:color w:val="000000"/>
                <w:szCs w:val="14"/>
              </w:rPr>
              <w:t>2</w:t>
            </w:r>
            <w:r>
              <w:rPr>
                <w:rFonts w:cs="Arial"/>
                <w:color w:val="000000"/>
                <w:szCs w:val="14"/>
              </w:rPr>
              <w:t>,</w:t>
            </w:r>
            <w:r w:rsidRPr="009A6BF2">
              <w:rPr>
                <w:rFonts w:cs="Arial"/>
                <w:color w:val="000000"/>
                <w:szCs w:val="14"/>
              </w:rPr>
              <w:t>099</w:t>
            </w:r>
            <w:r>
              <w:rPr>
                <w:rFonts w:cs="Arial"/>
                <w:color w:val="000000"/>
                <w:szCs w:val="14"/>
              </w:rPr>
              <w:t>,</w:t>
            </w:r>
            <w:r w:rsidRPr="009A6BF2">
              <w:rPr>
                <w:rFonts w:cs="Arial"/>
                <w:color w:val="000000"/>
                <w:szCs w:val="14"/>
              </w:rPr>
              <w:t>944</w:t>
            </w:r>
          </w:p>
        </w:tc>
        <w:tc>
          <w:tcPr>
            <w:tcW w:w="1172" w:type="dxa"/>
            <w:tcBorders>
              <w:top w:val="nil"/>
              <w:left w:val="nil"/>
              <w:bottom w:val="nil"/>
              <w:right w:val="nil"/>
            </w:tcBorders>
            <w:shd w:val="clear" w:color="auto" w:fill="auto"/>
            <w:vAlign w:val="center"/>
          </w:tcPr>
          <w:p w14:paraId="2F9C9824" w14:textId="77777777" w:rsidR="00991E72" w:rsidRPr="00AA591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9A6BF2">
              <w:t>266</w:t>
            </w:r>
            <w:r>
              <w:t>,</w:t>
            </w:r>
            <w:r w:rsidRPr="009A6BF2">
              <w:t>985</w:t>
            </w:r>
          </w:p>
        </w:tc>
        <w:tc>
          <w:tcPr>
            <w:tcW w:w="995" w:type="dxa"/>
            <w:gridSpan w:val="2"/>
            <w:tcBorders>
              <w:top w:val="nil"/>
              <w:bottom w:val="nil"/>
            </w:tcBorders>
            <w:shd w:val="clear" w:color="auto" w:fill="auto"/>
            <w:vAlign w:val="center"/>
          </w:tcPr>
          <w:p w14:paraId="2585763F" w14:textId="77777777" w:rsidR="00991E72" w:rsidRPr="00490B0B"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F253FC">
              <w:t>115</w:t>
            </w:r>
            <w:r>
              <w:t>,</w:t>
            </w:r>
            <w:r w:rsidRPr="00F253FC">
              <w:t>141</w:t>
            </w:r>
          </w:p>
        </w:tc>
        <w:tc>
          <w:tcPr>
            <w:tcW w:w="286" w:type="dxa"/>
            <w:gridSpan w:val="2"/>
            <w:tcBorders>
              <w:top w:val="nil"/>
              <w:bottom w:val="nil"/>
            </w:tcBorders>
            <w:shd w:val="clear" w:color="auto" w:fill="auto"/>
            <w:vAlign w:val="center"/>
          </w:tcPr>
          <w:p w14:paraId="0C160836" w14:textId="77777777" w:rsidR="00991E72" w:rsidRPr="00490B0B"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276" w:type="dxa"/>
            <w:gridSpan w:val="3"/>
            <w:tcBorders>
              <w:top w:val="nil"/>
              <w:left w:val="nil"/>
              <w:bottom w:val="nil"/>
              <w:right w:val="nil"/>
            </w:tcBorders>
            <w:shd w:val="clear" w:color="auto" w:fill="auto"/>
            <w:vAlign w:val="center"/>
          </w:tcPr>
          <w:p w14:paraId="4445B15F" w14:textId="77777777" w:rsidR="00991E72" w:rsidRPr="00490B0B"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F253FC">
              <w:rPr>
                <w:rFonts w:cs="Arial"/>
                <w:color w:val="000000"/>
                <w:szCs w:val="14"/>
              </w:rPr>
              <w:t>2</w:t>
            </w:r>
            <w:r>
              <w:rPr>
                <w:rFonts w:cs="Arial"/>
                <w:color w:val="000000"/>
                <w:szCs w:val="14"/>
              </w:rPr>
              <w:t>,</w:t>
            </w:r>
            <w:r w:rsidRPr="00F253FC">
              <w:rPr>
                <w:rFonts w:cs="Arial"/>
                <w:color w:val="000000"/>
                <w:szCs w:val="14"/>
              </w:rPr>
              <w:t>099</w:t>
            </w:r>
            <w:r>
              <w:rPr>
                <w:rFonts w:cs="Arial"/>
                <w:color w:val="000000"/>
                <w:szCs w:val="14"/>
              </w:rPr>
              <w:t>,</w:t>
            </w:r>
            <w:r w:rsidRPr="00F253FC">
              <w:rPr>
                <w:rFonts w:cs="Arial"/>
                <w:color w:val="000000"/>
                <w:szCs w:val="14"/>
              </w:rPr>
              <w:t>944</w:t>
            </w:r>
          </w:p>
        </w:tc>
        <w:tc>
          <w:tcPr>
            <w:tcW w:w="992" w:type="dxa"/>
            <w:gridSpan w:val="2"/>
            <w:tcBorders>
              <w:top w:val="nil"/>
              <w:left w:val="nil"/>
              <w:bottom w:val="nil"/>
              <w:right w:val="nil"/>
            </w:tcBorders>
            <w:shd w:val="clear" w:color="auto" w:fill="auto"/>
            <w:vAlign w:val="center"/>
          </w:tcPr>
          <w:p w14:paraId="40B2545E" w14:textId="77777777" w:rsidR="00991E72" w:rsidRPr="00AA591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F253FC">
              <w:t>266</w:t>
            </w:r>
            <w:r>
              <w:t>,</w:t>
            </w:r>
            <w:r w:rsidRPr="00F253FC">
              <w:t>985</w:t>
            </w:r>
          </w:p>
        </w:tc>
        <w:tc>
          <w:tcPr>
            <w:tcW w:w="993" w:type="dxa"/>
            <w:tcBorders>
              <w:top w:val="nil"/>
              <w:bottom w:val="nil"/>
            </w:tcBorders>
            <w:shd w:val="clear" w:color="auto" w:fill="auto"/>
            <w:vAlign w:val="center"/>
          </w:tcPr>
          <w:p w14:paraId="145B5F3C" w14:textId="77777777" w:rsidR="00991E72" w:rsidRPr="00490B0B"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F253FC">
              <w:t>115</w:t>
            </w:r>
            <w:r>
              <w:t>,</w:t>
            </w:r>
            <w:r w:rsidRPr="00F253FC">
              <w:t>141</w:t>
            </w:r>
          </w:p>
        </w:tc>
      </w:tr>
      <w:tr w:rsidR="00991E72" w:rsidRPr="002A31B8" w14:paraId="4649FDF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7ED6D3CD" w14:textId="77777777" w:rsidR="00991E72" w:rsidRPr="002A31B8" w:rsidRDefault="00991E72" w:rsidP="00991E72">
            <w:pPr>
              <w:pStyle w:val="08-Tabelageral"/>
              <w:jc w:val="left"/>
            </w:pPr>
            <w:r w:rsidRPr="00C27294">
              <w:t>Total Equity</w:t>
            </w:r>
          </w:p>
        </w:tc>
        <w:tc>
          <w:tcPr>
            <w:tcW w:w="702" w:type="dxa"/>
            <w:tcBorders>
              <w:top w:val="nil"/>
              <w:bottom w:val="nil"/>
            </w:tcBorders>
            <w:shd w:val="clear" w:color="auto" w:fill="auto"/>
            <w:vAlign w:val="center"/>
          </w:tcPr>
          <w:p w14:paraId="12885F61" w14:textId="77777777" w:rsidR="00991E72" w:rsidRPr="002A31B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23" w:type="dxa"/>
            <w:tcBorders>
              <w:top w:val="nil"/>
              <w:left w:val="nil"/>
              <w:bottom w:val="nil"/>
              <w:right w:val="nil"/>
            </w:tcBorders>
            <w:shd w:val="clear" w:color="auto" w:fill="auto"/>
            <w:vAlign w:val="center"/>
          </w:tcPr>
          <w:p w14:paraId="14BFC21D"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rFonts w:cs="Arial"/>
                <w:b/>
                <w:bCs/>
                <w:color w:val="000000"/>
                <w:szCs w:val="14"/>
              </w:rPr>
              <w:t>10</w:t>
            </w:r>
            <w:r>
              <w:rPr>
                <w:rFonts w:cs="Arial"/>
                <w:b/>
                <w:bCs/>
                <w:color w:val="000000"/>
                <w:szCs w:val="14"/>
              </w:rPr>
              <w:t>,</w:t>
            </w:r>
            <w:r w:rsidRPr="009A6BF2">
              <w:rPr>
                <w:rFonts w:cs="Arial"/>
                <w:b/>
                <w:bCs/>
                <w:color w:val="000000"/>
                <w:szCs w:val="14"/>
              </w:rPr>
              <w:t>047</w:t>
            </w:r>
            <w:r>
              <w:rPr>
                <w:rFonts w:cs="Arial"/>
                <w:b/>
                <w:bCs/>
                <w:color w:val="000000"/>
                <w:szCs w:val="14"/>
              </w:rPr>
              <w:t>,</w:t>
            </w:r>
            <w:r w:rsidRPr="009A6BF2">
              <w:rPr>
                <w:rFonts w:cs="Arial"/>
                <w:b/>
                <w:bCs/>
                <w:color w:val="000000"/>
                <w:szCs w:val="14"/>
              </w:rPr>
              <w:t>334</w:t>
            </w:r>
          </w:p>
        </w:tc>
        <w:tc>
          <w:tcPr>
            <w:tcW w:w="1172" w:type="dxa"/>
            <w:tcBorders>
              <w:top w:val="nil"/>
              <w:left w:val="nil"/>
              <w:bottom w:val="nil"/>
              <w:right w:val="nil"/>
            </w:tcBorders>
            <w:shd w:val="clear" w:color="auto" w:fill="auto"/>
            <w:vAlign w:val="center"/>
          </w:tcPr>
          <w:p w14:paraId="1B869D04"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9A6BF2">
              <w:rPr>
                <w:b/>
                <w:bCs/>
              </w:rPr>
              <w:t>8</w:t>
            </w:r>
            <w:r>
              <w:rPr>
                <w:b/>
                <w:bCs/>
              </w:rPr>
              <w:t>,</w:t>
            </w:r>
            <w:r w:rsidRPr="009A6BF2">
              <w:rPr>
                <w:b/>
                <w:bCs/>
              </w:rPr>
              <w:t>028</w:t>
            </w:r>
            <w:r>
              <w:rPr>
                <w:b/>
                <w:bCs/>
              </w:rPr>
              <w:t>,</w:t>
            </w:r>
            <w:r w:rsidRPr="009A6BF2">
              <w:rPr>
                <w:b/>
                <w:bCs/>
              </w:rPr>
              <w:t>171</w:t>
            </w:r>
          </w:p>
        </w:tc>
        <w:tc>
          <w:tcPr>
            <w:tcW w:w="995" w:type="dxa"/>
            <w:gridSpan w:val="2"/>
            <w:tcBorders>
              <w:top w:val="nil"/>
              <w:bottom w:val="nil"/>
            </w:tcBorders>
            <w:shd w:val="clear" w:color="auto" w:fill="auto"/>
            <w:vAlign w:val="center"/>
          </w:tcPr>
          <w:p w14:paraId="16426B10"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b/>
              </w:rPr>
              <w:t>7</w:t>
            </w:r>
            <w:r>
              <w:rPr>
                <w:b/>
              </w:rPr>
              <w:t>,</w:t>
            </w:r>
            <w:r w:rsidRPr="009A6BF2">
              <w:rPr>
                <w:b/>
              </w:rPr>
              <w:t>396</w:t>
            </w:r>
            <w:r>
              <w:rPr>
                <w:b/>
              </w:rPr>
              <w:t>,</w:t>
            </w:r>
            <w:r w:rsidRPr="009A6BF2">
              <w:rPr>
                <w:b/>
              </w:rPr>
              <w:t>557</w:t>
            </w:r>
          </w:p>
        </w:tc>
        <w:tc>
          <w:tcPr>
            <w:tcW w:w="286" w:type="dxa"/>
            <w:gridSpan w:val="2"/>
            <w:tcBorders>
              <w:top w:val="nil"/>
              <w:bottom w:val="nil"/>
            </w:tcBorders>
            <w:shd w:val="clear" w:color="auto" w:fill="auto"/>
            <w:vAlign w:val="center"/>
          </w:tcPr>
          <w:p w14:paraId="0D11F8AB"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276" w:type="dxa"/>
            <w:gridSpan w:val="3"/>
            <w:tcBorders>
              <w:top w:val="nil"/>
              <w:left w:val="nil"/>
              <w:bottom w:val="nil"/>
              <w:right w:val="nil"/>
            </w:tcBorders>
            <w:shd w:val="clear" w:color="auto" w:fill="auto"/>
            <w:vAlign w:val="center"/>
          </w:tcPr>
          <w:p w14:paraId="057D5FE9"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rFonts w:cs="Arial"/>
                <w:b/>
                <w:bCs/>
                <w:color w:val="000000"/>
                <w:szCs w:val="14"/>
              </w:rPr>
              <w:t>10</w:t>
            </w:r>
            <w:r>
              <w:rPr>
                <w:rFonts w:cs="Arial"/>
                <w:b/>
                <w:bCs/>
                <w:color w:val="000000"/>
                <w:szCs w:val="14"/>
              </w:rPr>
              <w:t>,</w:t>
            </w:r>
            <w:r w:rsidRPr="009A6BF2">
              <w:rPr>
                <w:rFonts w:cs="Arial"/>
                <w:b/>
                <w:bCs/>
                <w:color w:val="000000"/>
                <w:szCs w:val="14"/>
              </w:rPr>
              <w:t>047</w:t>
            </w:r>
            <w:r>
              <w:rPr>
                <w:rFonts w:cs="Arial"/>
                <w:b/>
                <w:bCs/>
                <w:color w:val="000000"/>
                <w:szCs w:val="14"/>
              </w:rPr>
              <w:t>,</w:t>
            </w:r>
            <w:r w:rsidRPr="009A6BF2">
              <w:rPr>
                <w:rFonts w:cs="Arial"/>
                <w:b/>
                <w:bCs/>
                <w:color w:val="000000"/>
                <w:szCs w:val="14"/>
              </w:rPr>
              <w:t>334</w:t>
            </w:r>
          </w:p>
        </w:tc>
        <w:tc>
          <w:tcPr>
            <w:tcW w:w="992" w:type="dxa"/>
            <w:gridSpan w:val="2"/>
            <w:tcBorders>
              <w:top w:val="nil"/>
              <w:left w:val="nil"/>
              <w:bottom w:val="nil"/>
              <w:right w:val="nil"/>
            </w:tcBorders>
            <w:shd w:val="clear" w:color="auto" w:fill="auto"/>
            <w:vAlign w:val="center"/>
          </w:tcPr>
          <w:p w14:paraId="35D5326E"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b/>
                <w:bCs/>
              </w:rPr>
              <w:t>8</w:t>
            </w:r>
            <w:r>
              <w:rPr>
                <w:b/>
                <w:bCs/>
              </w:rPr>
              <w:t>,</w:t>
            </w:r>
            <w:r w:rsidRPr="009A6BF2">
              <w:rPr>
                <w:b/>
                <w:bCs/>
              </w:rPr>
              <w:t>028</w:t>
            </w:r>
            <w:r>
              <w:rPr>
                <w:b/>
                <w:bCs/>
              </w:rPr>
              <w:t>,</w:t>
            </w:r>
            <w:r w:rsidRPr="009A6BF2">
              <w:rPr>
                <w:b/>
                <w:bCs/>
              </w:rPr>
              <w:t>171</w:t>
            </w:r>
          </w:p>
        </w:tc>
        <w:tc>
          <w:tcPr>
            <w:tcW w:w="993" w:type="dxa"/>
            <w:tcBorders>
              <w:top w:val="nil"/>
              <w:bottom w:val="nil"/>
            </w:tcBorders>
            <w:shd w:val="clear" w:color="auto" w:fill="auto"/>
            <w:vAlign w:val="center"/>
          </w:tcPr>
          <w:p w14:paraId="4EFC760F"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b/>
                <w:bCs/>
              </w:rPr>
              <w:t>7</w:t>
            </w:r>
            <w:r>
              <w:rPr>
                <w:b/>
                <w:bCs/>
              </w:rPr>
              <w:t>,</w:t>
            </w:r>
            <w:r w:rsidRPr="009A6BF2">
              <w:rPr>
                <w:b/>
                <w:bCs/>
              </w:rPr>
              <w:t>396</w:t>
            </w:r>
            <w:r>
              <w:rPr>
                <w:b/>
                <w:bCs/>
              </w:rPr>
              <w:t>,</w:t>
            </w:r>
            <w:r w:rsidRPr="009A6BF2">
              <w:rPr>
                <w:b/>
                <w:bCs/>
              </w:rPr>
              <w:t>557</w:t>
            </w:r>
          </w:p>
        </w:tc>
      </w:tr>
      <w:tr w:rsidR="00991E72" w:rsidRPr="001D6BE8" w14:paraId="417EE7CF"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vAlign w:val="center"/>
          </w:tcPr>
          <w:p w14:paraId="1FA0780C" w14:textId="77777777" w:rsidR="00991E72" w:rsidRPr="0038031F" w:rsidRDefault="00991E72" w:rsidP="00991E72">
            <w:pPr>
              <w:pStyle w:val="08-Tabelageral"/>
              <w:ind w:left="113"/>
              <w:jc w:val="left"/>
            </w:pPr>
          </w:p>
        </w:tc>
        <w:tc>
          <w:tcPr>
            <w:tcW w:w="702" w:type="dxa"/>
            <w:tcBorders>
              <w:top w:val="nil"/>
              <w:bottom w:val="nil"/>
            </w:tcBorders>
            <w:shd w:val="clear" w:color="auto" w:fill="auto"/>
            <w:vAlign w:val="center"/>
          </w:tcPr>
          <w:p w14:paraId="6A2A283E"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23" w:type="dxa"/>
            <w:tcBorders>
              <w:top w:val="nil"/>
              <w:bottom w:val="nil"/>
            </w:tcBorders>
            <w:shd w:val="clear" w:color="auto" w:fill="auto"/>
            <w:vAlign w:val="center"/>
          </w:tcPr>
          <w:p w14:paraId="6E56C217" w14:textId="77777777" w:rsidR="00991E72" w:rsidRPr="00440BB1"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72" w:type="dxa"/>
            <w:tcBorders>
              <w:top w:val="nil"/>
              <w:bottom w:val="nil"/>
            </w:tcBorders>
            <w:shd w:val="clear" w:color="auto" w:fill="auto"/>
            <w:vAlign w:val="center"/>
          </w:tcPr>
          <w:p w14:paraId="1160D7F5"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995" w:type="dxa"/>
            <w:gridSpan w:val="2"/>
            <w:tcBorders>
              <w:top w:val="nil"/>
              <w:bottom w:val="nil"/>
            </w:tcBorders>
            <w:shd w:val="clear" w:color="auto" w:fill="auto"/>
            <w:vAlign w:val="center"/>
          </w:tcPr>
          <w:p w14:paraId="4B497F2F"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286" w:type="dxa"/>
            <w:gridSpan w:val="2"/>
            <w:tcBorders>
              <w:top w:val="nil"/>
              <w:bottom w:val="nil"/>
            </w:tcBorders>
            <w:shd w:val="clear" w:color="auto" w:fill="auto"/>
            <w:vAlign w:val="center"/>
          </w:tcPr>
          <w:p w14:paraId="5DA11C38"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276" w:type="dxa"/>
            <w:gridSpan w:val="3"/>
            <w:tcBorders>
              <w:top w:val="nil"/>
              <w:bottom w:val="nil"/>
            </w:tcBorders>
            <w:shd w:val="clear" w:color="auto" w:fill="auto"/>
            <w:vAlign w:val="center"/>
          </w:tcPr>
          <w:p w14:paraId="08C46AA3" w14:textId="77777777" w:rsidR="00991E72" w:rsidRPr="006128A8"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992" w:type="dxa"/>
            <w:gridSpan w:val="2"/>
            <w:tcBorders>
              <w:top w:val="nil"/>
              <w:bottom w:val="nil"/>
            </w:tcBorders>
            <w:shd w:val="clear" w:color="auto" w:fill="auto"/>
            <w:vAlign w:val="center"/>
          </w:tcPr>
          <w:p w14:paraId="723B9DF8"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993" w:type="dxa"/>
            <w:tcBorders>
              <w:top w:val="nil"/>
              <w:bottom w:val="nil"/>
            </w:tcBorders>
            <w:shd w:val="clear" w:color="auto" w:fill="auto"/>
            <w:vAlign w:val="center"/>
          </w:tcPr>
          <w:p w14:paraId="74281A1E"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r>
      <w:tr w:rsidR="00991E72" w:rsidRPr="001D6BE8" w14:paraId="18114C5F"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2" w:space="0" w:color="1F4E79" w:themeColor="accent1" w:themeShade="80"/>
            </w:tcBorders>
            <w:shd w:val="clear" w:color="auto" w:fill="auto"/>
            <w:vAlign w:val="center"/>
          </w:tcPr>
          <w:p w14:paraId="3C8FD43B" w14:textId="77777777" w:rsidR="00991E72" w:rsidRPr="00CD3714" w:rsidRDefault="00991E72" w:rsidP="00991E72">
            <w:pPr>
              <w:pStyle w:val="08-Tabelageral"/>
              <w:jc w:val="left"/>
              <w:rPr>
                <w:rFonts w:cs="Arial"/>
                <w:szCs w:val="14"/>
              </w:rPr>
            </w:pPr>
            <w:r w:rsidRPr="00C27294">
              <w:t xml:space="preserve">Total Liabilities </w:t>
            </w:r>
            <w:r>
              <w:t>a</w:t>
            </w:r>
            <w:r w:rsidRPr="00C27294">
              <w:t>nd Equity</w:t>
            </w:r>
          </w:p>
        </w:tc>
        <w:tc>
          <w:tcPr>
            <w:tcW w:w="702" w:type="dxa"/>
            <w:tcBorders>
              <w:top w:val="nil"/>
              <w:bottom w:val="single" w:sz="2" w:space="0" w:color="1F4E79" w:themeColor="accent1" w:themeShade="80"/>
            </w:tcBorders>
            <w:shd w:val="clear" w:color="auto" w:fill="auto"/>
            <w:vAlign w:val="center"/>
          </w:tcPr>
          <w:p w14:paraId="74CDA1B7"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23" w:type="dxa"/>
            <w:tcBorders>
              <w:top w:val="nil"/>
              <w:bottom w:val="single" w:sz="2" w:space="0" w:color="1F4E79" w:themeColor="accent1" w:themeShade="80"/>
            </w:tcBorders>
            <w:shd w:val="clear" w:color="auto" w:fill="auto"/>
            <w:vAlign w:val="center"/>
          </w:tcPr>
          <w:p w14:paraId="0FC1D1DC"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A6BF2">
              <w:rPr>
                <w:rFonts w:cs="Arial"/>
                <w:b/>
                <w:szCs w:val="14"/>
              </w:rPr>
              <w:t>10</w:t>
            </w:r>
            <w:r>
              <w:rPr>
                <w:rFonts w:cs="Arial"/>
                <w:b/>
                <w:szCs w:val="14"/>
              </w:rPr>
              <w:t>,</w:t>
            </w:r>
            <w:r w:rsidRPr="009A6BF2">
              <w:rPr>
                <w:rFonts w:cs="Arial"/>
                <w:b/>
                <w:szCs w:val="14"/>
              </w:rPr>
              <w:t>059</w:t>
            </w:r>
            <w:r>
              <w:rPr>
                <w:rFonts w:cs="Arial"/>
                <w:b/>
                <w:szCs w:val="14"/>
              </w:rPr>
              <w:t>,</w:t>
            </w:r>
            <w:r w:rsidRPr="009A6BF2">
              <w:rPr>
                <w:rFonts w:cs="Arial"/>
                <w:b/>
                <w:szCs w:val="14"/>
              </w:rPr>
              <w:t>100</w:t>
            </w:r>
          </w:p>
        </w:tc>
        <w:tc>
          <w:tcPr>
            <w:tcW w:w="1172" w:type="dxa"/>
            <w:tcBorders>
              <w:top w:val="nil"/>
              <w:bottom w:val="single" w:sz="2" w:space="0" w:color="1F4E79" w:themeColor="accent1" w:themeShade="80"/>
            </w:tcBorders>
            <w:shd w:val="clear" w:color="auto" w:fill="auto"/>
            <w:vAlign w:val="center"/>
          </w:tcPr>
          <w:p w14:paraId="199C9973" w14:textId="77777777" w:rsidR="00991E72" w:rsidRPr="000547DB"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9A6BF2">
              <w:rPr>
                <w:rFonts w:cs="Arial"/>
                <w:b/>
                <w:bCs/>
                <w:szCs w:val="14"/>
              </w:rPr>
              <w:t>11</w:t>
            </w:r>
            <w:r>
              <w:rPr>
                <w:rFonts w:cs="Arial"/>
                <w:b/>
                <w:bCs/>
                <w:szCs w:val="14"/>
              </w:rPr>
              <w:t>,</w:t>
            </w:r>
            <w:r w:rsidRPr="009A6BF2">
              <w:rPr>
                <w:rFonts w:cs="Arial"/>
                <w:b/>
                <w:bCs/>
                <w:szCs w:val="14"/>
              </w:rPr>
              <w:t>714</w:t>
            </w:r>
            <w:r>
              <w:rPr>
                <w:rFonts w:cs="Arial"/>
                <w:b/>
                <w:bCs/>
                <w:szCs w:val="14"/>
              </w:rPr>
              <w:t>,</w:t>
            </w:r>
            <w:r w:rsidRPr="009A6BF2">
              <w:rPr>
                <w:rFonts w:cs="Arial"/>
                <w:b/>
                <w:bCs/>
                <w:szCs w:val="14"/>
              </w:rPr>
              <w:t>494</w:t>
            </w:r>
          </w:p>
        </w:tc>
        <w:tc>
          <w:tcPr>
            <w:tcW w:w="995" w:type="dxa"/>
            <w:gridSpan w:val="2"/>
            <w:tcBorders>
              <w:top w:val="nil"/>
              <w:bottom w:val="single" w:sz="2" w:space="0" w:color="1F4E79" w:themeColor="accent1" w:themeShade="80"/>
            </w:tcBorders>
            <w:shd w:val="clear" w:color="auto" w:fill="auto"/>
            <w:vAlign w:val="center"/>
          </w:tcPr>
          <w:p w14:paraId="27B790EB"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rFonts w:cs="Arial"/>
                <w:b/>
                <w:szCs w:val="14"/>
              </w:rPr>
              <w:t>9</w:t>
            </w:r>
            <w:r>
              <w:rPr>
                <w:rFonts w:cs="Arial"/>
                <w:b/>
                <w:szCs w:val="14"/>
              </w:rPr>
              <w:t>,</w:t>
            </w:r>
            <w:r w:rsidRPr="009A6BF2">
              <w:rPr>
                <w:rFonts w:cs="Arial"/>
                <w:b/>
                <w:szCs w:val="14"/>
              </w:rPr>
              <w:t>239</w:t>
            </w:r>
            <w:r>
              <w:rPr>
                <w:rFonts w:cs="Arial"/>
                <w:b/>
                <w:szCs w:val="14"/>
              </w:rPr>
              <w:t>,</w:t>
            </w:r>
            <w:r w:rsidRPr="009A6BF2">
              <w:rPr>
                <w:rFonts w:cs="Arial"/>
                <w:b/>
                <w:szCs w:val="14"/>
              </w:rPr>
              <w:t>559</w:t>
            </w:r>
          </w:p>
        </w:tc>
        <w:tc>
          <w:tcPr>
            <w:tcW w:w="286" w:type="dxa"/>
            <w:gridSpan w:val="2"/>
            <w:tcBorders>
              <w:top w:val="nil"/>
              <w:bottom w:val="single" w:sz="2" w:space="0" w:color="1F4E79" w:themeColor="accent1" w:themeShade="80"/>
            </w:tcBorders>
            <w:shd w:val="clear" w:color="auto" w:fill="auto"/>
            <w:vAlign w:val="center"/>
          </w:tcPr>
          <w:p w14:paraId="483F4D6E"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276" w:type="dxa"/>
            <w:gridSpan w:val="3"/>
            <w:tcBorders>
              <w:top w:val="nil"/>
              <w:bottom w:val="single" w:sz="2" w:space="0" w:color="1F4E79" w:themeColor="accent1" w:themeShade="80"/>
            </w:tcBorders>
            <w:shd w:val="clear" w:color="auto" w:fill="auto"/>
            <w:vAlign w:val="center"/>
          </w:tcPr>
          <w:p w14:paraId="3F8A486E"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A6BF2">
              <w:rPr>
                <w:rFonts w:cs="Arial"/>
                <w:b/>
                <w:bCs/>
                <w:szCs w:val="14"/>
              </w:rPr>
              <w:t>14</w:t>
            </w:r>
            <w:r>
              <w:rPr>
                <w:rFonts w:cs="Arial"/>
                <w:b/>
                <w:bCs/>
                <w:szCs w:val="14"/>
              </w:rPr>
              <w:t>,</w:t>
            </w:r>
            <w:r w:rsidRPr="009A6BF2">
              <w:rPr>
                <w:rFonts w:cs="Arial"/>
                <w:b/>
                <w:bCs/>
                <w:szCs w:val="14"/>
              </w:rPr>
              <w:t>397</w:t>
            </w:r>
            <w:r>
              <w:rPr>
                <w:rFonts w:cs="Arial"/>
                <w:b/>
                <w:bCs/>
                <w:szCs w:val="14"/>
              </w:rPr>
              <w:t>,</w:t>
            </w:r>
            <w:r w:rsidRPr="009A6BF2">
              <w:rPr>
                <w:rFonts w:cs="Arial"/>
                <w:b/>
                <w:bCs/>
                <w:szCs w:val="14"/>
              </w:rPr>
              <w:t>844</w:t>
            </w:r>
          </w:p>
        </w:tc>
        <w:tc>
          <w:tcPr>
            <w:tcW w:w="992" w:type="dxa"/>
            <w:gridSpan w:val="2"/>
            <w:tcBorders>
              <w:top w:val="nil"/>
              <w:bottom w:val="single" w:sz="2" w:space="0" w:color="1F4E79" w:themeColor="accent1" w:themeShade="80"/>
            </w:tcBorders>
            <w:shd w:val="clear" w:color="auto" w:fill="auto"/>
            <w:vAlign w:val="center"/>
          </w:tcPr>
          <w:p w14:paraId="37098B23" w14:textId="77777777" w:rsidR="00991E72" w:rsidRPr="00EE1C7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A6BF2">
              <w:rPr>
                <w:rFonts w:cs="Arial"/>
                <w:b/>
                <w:bCs/>
                <w:szCs w:val="14"/>
              </w:rPr>
              <w:t>16</w:t>
            </w:r>
            <w:r>
              <w:rPr>
                <w:rFonts w:cs="Arial"/>
                <w:b/>
                <w:bCs/>
                <w:szCs w:val="14"/>
              </w:rPr>
              <w:t>,</w:t>
            </w:r>
            <w:r w:rsidRPr="009A6BF2">
              <w:rPr>
                <w:rFonts w:cs="Arial"/>
                <w:b/>
                <w:bCs/>
                <w:szCs w:val="14"/>
              </w:rPr>
              <w:t>561</w:t>
            </w:r>
            <w:r>
              <w:rPr>
                <w:rFonts w:cs="Arial"/>
                <w:b/>
                <w:bCs/>
                <w:szCs w:val="14"/>
              </w:rPr>
              <w:t>,</w:t>
            </w:r>
            <w:r w:rsidRPr="009A6BF2">
              <w:rPr>
                <w:rFonts w:cs="Arial"/>
                <w:b/>
                <w:bCs/>
                <w:szCs w:val="14"/>
              </w:rPr>
              <w:t>902</w:t>
            </w:r>
          </w:p>
        </w:tc>
        <w:tc>
          <w:tcPr>
            <w:tcW w:w="993" w:type="dxa"/>
            <w:tcBorders>
              <w:top w:val="nil"/>
              <w:bottom w:val="single" w:sz="2" w:space="0" w:color="1F4E79" w:themeColor="accent1" w:themeShade="80"/>
            </w:tcBorders>
            <w:shd w:val="clear" w:color="auto" w:fill="auto"/>
            <w:vAlign w:val="center"/>
          </w:tcPr>
          <w:p w14:paraId="042B9C21" w14:textId="77777777" w:rsidR="00991E72" w:rsidRPr="004E46CF"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9A6BF2">
              <w:rPr>
                <w:rFonts w:cs="Arial"/>
                <w:b/>
                <w:bCs/>
                <w:szCs w:val="14"/>
              </w:rPr>
              <w:t>13</w:t>
            </w:r>
            <w:r>
              <w:rPr>
                <w:rFonts w:cs="Arial"/>
                <w:b/>
                <w:bCs/>
                <w:szCs w:val="14"/>
              </w:rPr>
              <w:t>,</w:t>
            </w:r>
            <w:r w:rsidRPr="009A6BF2">
              <w:rPr>
                <w:rFonts w:cs="Arial"/>
                <w:b/>
                <w:bCs/>
                <w:szCs w:val="14"/>
              </w:rPr>
              <w:t>429</w:t>
            </w:r>
            <w:r>
              <w:rPr>
                <w:rFonts w:cs="Arial"/>
                <w:b/>
                <w:bCs/>
                <w:szCs w:val="14"/>
              </w:rPr>
              <w:t>,</w:t>
            </w:r>
            <w:r w:rsidRPr="009A6BF2">
              <w:rPr>
                <w:rFonts w:cs="Arial"/>
                <w:b/>
                <w:bCs/>
                <w:szCs w:val="14"/>
              </w:rPr>
              <w:t>362</w:t>
            </w:r>
          </w:p>
        </w:tc>
      </w:tr>
    </w:tbl>
    <w:p w14:paraId="6AAB9CB2" w14:textId="77777777" w:rsidR="00991E72" w:rsidRPr="00C929DB" w:rsidRDefault="00991E72" w:rsidP="00991E72">
      <w:pPr>
        <w:rPr>
          <w:rFonts w:cs="Arial"/>
          <w:sz w:val="14"/>
          <w:szCs w:val="14"/>
          <w:lang w:val="en-US"/>
        </w:rPr>
      </w:pPr>
      <w:r w:rsidRPr="00C929DB">
        <w:rPr>
          <w:rFonts w:cs="Arial"/>
          <w:sz w:val="14"/>
          <w:szCs w:val="14"/>
          <w:lang w:val="en-US"/>
        </w:rPr>
        <w:t xml:space="preserve">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 </w:t>
      </w:r>
      <w:r w:rsidRPr="00C929DB">
        <w:rPr>
          <w:lang w:val="en-US"/>
        </w:rPr>
        <w:br w:type="page"/>
      </w:r>
    </w:p>
    <w:p w14:paraId="54A73DBE" w14:textId="77777777" w:rsidR="00991E72" w:rsidRPr="00BA4C93" w:rsidRDefault="00991E72" w:rsidP="00991E72">
      <w:pPr>
        <w:pStyle w:val="Ttulo1"/>
        <w:rPr>
          <w:b w:val="0"/>
          <w:bCs w:val="0"/>
        </w:rPr>
      </w:pPr>
      <w:bookmarkStart w:id="10" w:name="_Toc134823559"/>
      <w:r w:rsidRPr="00BA4C93">
        <w:lastRenderedPageBreak/>
        <w:t>STATEMENT OF CASH FLOWS</w:t>
      </w:r>
      <w:bookmarkEnd w:id="10"/>
    </w:p>
    <w:p w14:paraId="2EF87D23" w14:textId="77777777" w:rsidR="00991E72" w:rsidRPr="00BD6C7E" w:rsidRDefault="00991E72" w:rsidP="00991E72">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639" w:type="dxa"/>
        <w:jc w:val="center"/>
        <w:tblLayout w:type="fixed"/>
        <w:tblLook w:val="04A0" w:firstRow="1" w:lastRow="0" w:firstColumn="1" w:lastColumn="0" w:noHBand="0" w:noVBand="1"/>
      </w:tblPr>
      <w:tblGrid>
        <w:gridCol w:w="2977"/>
        <w:gridCol w:w="781"/>
        <w:gridCol w:w="1345"/>
        <w:gridCol w:w="1418"/>
        <w:gridCol w:w="281"/>
        <w:gridCol w:w="1420"/>
        <w:gridCol w:w="1417"/>
      </w:tblGrid>
      <w:tr w:rsidR="00991E72" w14:paraId="48EC7374" w14:textId="77777777" w:rsidTr="00991E7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0DE57CC3" w14:textId="77777777" w:rsidR="00991E72" w:rsidRPr="00BD6C7E" w:rsidRDefault="00991E72" w:rsidP="00991E72">
            <w:pPr>
              <w:jc w:val="center"/>
              <w:rPr>
                <w:rFonts w:cs="Arial"/>
                <w:b w:val="0"/>
                <w:szCs w:val="18"/>
                <w:lang w:val="en-US"/>
              </w:rPr>
            </w:pPr>
          </w:p>
        </w:tc>
        <w:tc>
          <w:tcPr>
            <w:tcW w:w="781" w:type="dxa"/>
            <w:tcBorders>
              <w:top w:val="single" w:sz="2" w:space="0" w:color="1F4E79" w:themeColor="accent1" w:themeShade="80"/>
              <w:bottom w:val="nil"/>
            </w:tcBorders>
            <w:shd w:val="clear" w:color="auto" w:fill="auto"/>
            <w:vAlign w:val="center"/>
          </w:tcPr>
          <w:p w14:paraId="37EFFE89" w14:textId="77777777" w:rsidR="00991E72" w:rsidRPr="00BD6C7E" w:rsidRDefault="00991E72" w:rsidP="00991E72">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763" w:type="dxa"/>
            <w:gridSpan w:val="2"/>
            <w:tcBorders>
              <w:top w:val="single" w:sz="2" w:space="0" w:color="1F4E79" w:themeColor="accent1" w:themeShade="80"/>
              <w:bottom w:val="single" w:sz="2" w:space="0" w:color="1F4E79" w:themeColor="accent1" w:themeShade="80"/>
            </w:tcBorders>
            <w:shd w:val="clear" w:color="auto" w:fill="auto"/>
            <w:vAlign w:val="center"/>
          </w:tcPr>
          <w:p w14:paraId="0D04A25E"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1" w:type="dxa"/>
            <w:tcBorders>
              <w:top w:val="single" w:sz="2" w:space="0" w:color="1F4E79" w:themeColor="accent1" w:themeShade="80"/>
              <w:bottom w:val="nil"/>
            </w:tcBorders>
            <w:shd w:val="clear" w:color="auto" w:fill="auto"/>
            <w:vAlign w:val="center"/>
          </w:tcPr>
          <w:p w14:paraId="05D5A667" w14:textId="77777777" w:rsidR="00991E72" w:rsidRPr="001D6BE8" w:rsidRDefault="00991E72" w:rsidP="00991E72">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7" w:type="dxa"/>
            <w:gridSpan w:val="2"/>
            <w:tcBorders>
              <w:top w:val="single" w:sz="2" w:space="0" w:color="1F4E79" w:themeColor="accent1" w:themeShade="80"/>
              <w:bottom w:val="single" w:sz="2" w:space="0" w:color="1F4E79" w:themeColor="accent1" w:themeShade="80"/>
            </w:tcBorders>
            <w:shd w:val="clear" w:color="auto" w:fill="auto"/>
            <w:vAlign w:val="center"/>
          </w:tcPr>
          <w:p w14:paraId="705D5E02"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991E72" w:rsidRPr="001D6BE8" w14:paraId="70256072" w14:textId="77777777" w:rsidTr="00991E72">
        <w:trPr>
          <w:cnfStyle w:val="000000100000" w:firstRow="0" w:lastRow="0" w:firstColumn="0" w:lastColumn="0" w:oddVBand="0" w:evenVBand="0" w:oddHBand="1" w:evenHBand="0" w:firstRowFirstColumn="0" w:firstRowLastColumn="0" w:lastRowFirstColumn="0" w:lastRowLastColumn="0"/>
          <w:trHeight w:hRule="exact" w:val="453"/>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32160561" w14:textId="77777777" w:rsidR="00991E72" w:rsidRPr="001D6BE8" w:rsidRDefault="00991E72" w:rsidP="00991E72">
            <w:pPr>
              <w:pStyle w:val="08-Tabelageral"/>
              <w:jc w:val="left"/>
              <w:rPr>
                <w:rFonts w:cs="Arial"/>
                <w:b w:val="0"/>
              </w:rPr>
            </w:pPr>
          </w:p>
        </w:tc>
        <w:tc>
          <w:tcPr>
            <w:tcW w:w="781" w:type="dxa"/>
            <w:tcBorders>
              <w:top w:val="nil"/>
              <w:bottom w:val="single" w:sz="2" w:space="0" w:color="1F4E79" w:themeColor="accent1" w:themeShade="80"/>
            </w:tcBorders>
            <w:shd w:val="clear" w:color="auto" w:fill="auto"/>
            <w:vAlign w:val="center"/>
          </w:tcPr>
          <w:p w14:paraId="11D924B8" w14:textId="77777777" w:rsidR="00991E72" w:rsidRPr="001D6BE8"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345" w:type="dxa"/>
            <w:tcBorders>
              <w:top w:val="single" w:sz="2" w:space="0" w:color="1F4E79" w:themeColor="accent1" w:themeShade="80"/>
              <w:bottom w:val="single" w:sz="2" w:space="0" w:color="1F4E79" w:themeColor="accent1" w:themeShade="80"/>
            </w:tcBorders>
            <w:shd w:val="clear" w:color="auto" w:fill="auto"/>
          </w:tcPr>
          <w:p w14:paraId="52626F73"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w:t>
            </w:r>
            <w:r>
              <w:rPr>
                <w:rFonts w:cs="Arial"/>
                <w:b/>
                <w:bCs/>
                <w:szCs w:val="14"/>
              </w:rPr>
              <w:t>3</w:t>
            </w:r>
            <w:r w:rsidRPr="00CF21E0">
              <w:rPr>
                <w:rFonts w:cs="Arial"/>
                <w:b/>
                <w:bCs/>
                <w:szCs w:val="14"/>
              </w:rPr>
              <w:t xml:space="preserve"> </w:t>
            </w:r>
          </w:p>
        </w:tc>
        <w:tc>
          <w:tcPr>
            <w:tcW w:w="1418" w:type="dxa"/>
            <w:tcBorders>
              <w:top w:val="single" w:sz="2" w:space="0" w:color="1F4E79" w:themeColor="accent1" w:themeShade="80"/>
              <w:bottom w:val="single" w:sz="2" w:space="0" w:color="1F4E79" w:themeColor="accent1" w:themeShade="80"/>
            </w:tcBorders>
            <w:shd w:val="clear" w:color="auto" w:fill="auto"/>
          </w:tcPr>
          <w:p w14:paraId="255A68FE"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2</w:t>
            </w:r>
          </w:p>
          <w:p w14:paraId="187AA66D"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2E1E12">
              <w:rPr>
                <w:rFonts w:cs="Arial"/>
                <w:b/>
              </w:rPr>
              <w:t>Restated balances</w:t>
            </w:r>
          </w:p>
        </w:tc>
        <w:tc>
          <w:tcPr>
            <w:tcW w:w="281" w:type="dxa"/>
            <w:tcBorders>
              <w:top w:val="nil"/>
              <w:bottom w:val="single" w:sz="2" w:space="0" w:color="1F4E79" w:themeColor="accent1" w:themeShade="80"/>
            </w:tcBorders>
            <w:shd w:val="clear" w:color="auto" w:fill="auto"/>
          </w:tcPr>
          <w:p w14:paraId="344F6862" w14:textId="77777777" w:rsidR="00991E72" w:rsidRPr="001D6BE8"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420" w:type="dxa"/>
            <w:tcBorders>
              <w:top w:val="single" w:sz="2" w:space="0" w:color="1F4E79" w:themeColor="accent1" w:themeShade="80"/>
              <w:bottom w:val="single" w:sz="2" w:space="0" w:color="1F4E79" w:themeColor="accent1" w:themeShade="80"/>
            </w:tcBorders>
            <w:shd w:val="clear" w:color="auto" w:fill="auto"/>
          </w:tcPr>
          <w:p w14:paraId="656447B3" w14:textId="77777777" w:rsidR="00991E72" w:rsidRPr="001D6BE8"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w:t>
            </w:r>
            <w:r>
              <w:rPr>
                <w:rFonts w:cs="Arial"/>
                <w:b/>
                <w:bCs/>
                <w:szCs w:val="14"/>
              </w:rPr>
              <w:t>3</w:t>
            </w:r>
            <w:r w:rsidRPr="00CF21E0">
              <w:rPr>
                <w:rFonts w:cs="Arial"/>
                <w:b/>
                <w:bCs/>
                <w:szCs w:val="14"/>
              </w:rPr>
              <w:t xml:space="preserve"> </w:t>
            </w:r>
          </w:p>
        </w:tc>
        <w:tc>
          <w:tcPr>
            <w:tcW w:w="1417" w:type="dxa"/>
            <w:tcBorders>
              <w:top w:val="single" w:sz="2" w:space="0" w:color="1F4E79" w:themeColor="accent1" w:themeShade="80"/>
              <w:bottom w:val="single" w:sz="2" w:space="0" w:color="1F4E79" w:themeColor="accent1" w:themeShade="80"/>
            </w:tcBorders>
            <w:shd w:val="clear" w:color="auto" w:fill="auto"/>
          </w:tcPr>
          <w:p w14:paraId="531F7E89" w14:textId="77777777" w:rsidR="00991E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F21E0">
              <w:rPr>
                <w:rFonts w:cs="Arial"/>
                <w:b/>
                <w:bCs/>
                <w:szCs w:val="14"/>
              </w:rPr>
              <w:t>1st Quarter 202</w:t>
            </w:r>
            <w:r>
              <w:rPr>
                <w:rFonts w:cs="Arial"/>
                <w:b/>
                <w:bCs/>
                <w:szCs w:val="14"/>
              </w:rPr>
              <w:t>2</w:t>
            </w:r>
          </w:p>
          <w:p w14:paraId="7A4625CF" w14:textId="77777777" w:rsidR="00991E72" w:rsidRPr="00453FA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2E1E12">
              <w:rPr>
                <w:rFonts w:cs="Arial"/>
                <w:b/>
              </w:rPr>
              <w:t>Restated balances</w:t>
            </w:r>
          </w:p>
        </w:tc>
      </w:tr>
      <w:tr w:rsidR="00991E72" w:rsidRPr="002E1E12" w14:paraId="63313A70"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64F1E521" w14:textId="77777777" w:rsidR="00991E72" w:rsidRPr="00BD6C7E" w:rsidRDefault="00991E72" w:rsidP="00991E72">
            <w:pPr>
              <w:pStyle w:val="08-Tabelageral"/>
              <w:jc w:val="left"/>
              <w:rPr>
                <w:b w:val="0"/>
                <w:lang w:val="en-US"/>
              </w:rPr>
            </w:pPr>
            <w:r w:rsidRPr="00BD6C7E">
              <w:rPr>
                <w:lang w:val="en-US"/>
              </w:rPr>
              <w:t>Cash flow from operating activities</w:t>
            </w:r>
          </w:p>
        </w:tc>
        <w:tc>
          <w:tcPr>
            <w:tcW w:w="781" w:type="dxa"/>
            <w:tcBorders>
              <w:top w:val="single" w:sz="2" w:space="0" w:color="1F4E79" w:themeColor="accent1" w:themeShade="80"/>
              <w:bottom w:val="nil"/>
            </w:tcBorders>
            <w:shd w:val="clear" w:color="auto" w:fill="auto"/>
            <w:vAlign w:val="center"/>
          </w:tcPr>
          <w:p w14:paraId="2EF01C99" w14:textId="77777777" w:rsidR="00991E72" w:rsidRPr="00BD6C7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45" w:type="dxa"/>
            <w:tcBorders>
              <w:top w:val="single" w:sz="2" w:space="0" w:color="1F4E79" w:themeColor="accent1" w:themeShade="80"/>
              <w:bottom w:val="nil"/>
            </w:tcBorders>
            <w:shd w:val="clear" w:color="auto" w:fill="auto"/>
            <w:vAlign w:val="center"/>
          </w:tcPr>
          <w:p w14:paraId="4C85EBDA" w14:textId="77777777" w:rsidR="00991E72" w:rsidRPr="00BD6C7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single" w:sz="2" w:space="0" w:color="1F4E79" w:themeColor="accent1" w:themeShade="80"/>
              <w:bottom w:val="nil"/>
            </w:tcBorders>
            <w:shd w:val="clear" w:color="auto" w:fill="auto"/>
            <w:vAlign w:val="center"/>
          </w:tcPr>
          <w:p w14:paraId="48B5F4F8" w14:textId="77777777" w:rsidR="00991E72" w:rsidRPr="00BD6C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0783A1B8" w14:textId="77777777" w:rsidR="00991E72" w:rsidRPr="00BD6C7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20" w:type="dxa"/>
            <w:tcBorders>
              <w:top w:val="single" w:sz="2" w:space="0" w:color="1F4E79" w:themeColor="accent1" w:themeShade="80"/>
              <w:bottom w:val="nil"/>
            </w:tcBorders>
            <w:shd w:val="clear" w:color="auto" w:fill="auto"/>
            <w:vAlign w:val="center"/>
          </w:tcPr>
          <w:p w14:paraId="5FDFB83A" w14:textId="77777777" w:rsidR="00991E72" w:rsidRPr="00BD6C7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7" w:type="dxa"/>
            <w:tcBorders>
              <w:top w:val="single" w:sz="2" w:space="0" w:color="1F4E79" w:themeColor="accent1" w:themeShade="80"/>
              <w:bottom w:val="nil"/>
            </w:tcBorders>
            <w:shd w:val="clear" w:color="auto" w:fill="auto"/>
            <w:vAlign w:val="center"/>
          </w:tcPr>
          <w:p w14:paraId="24AB859A" w14:textId="77777777" w:rsidR="00991E72" w:rsidRPr="00BD6C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991E72" w:rsidRPr="00351E1D" w14:paraId="4CF147A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29BBE31" w14:textId="77777777" w:rsidR="00991E72" w:rsidRPr="00351E1D" w:rsidRDefault="00991E72" w:rsidP="00991E72">
            <w:pPr>
              <w:pStyle w:val="08-Tabelageral"/>
              <w:ind w:left="113"/>
              <w:jc w:val="left"/>
            </w:pPr>
            <w:r w:rsidRPr="004F2E05">
              <w:rPr>
                <w:bCs w:val="0"/>
              </w:rPr>
              <w:t>Net profit</w:t>
            </w:r>
            <w:r w:rsidRPr="00E03629">
              <w:t xml:space="preserve"> </w:t>
            </w:r>
          </w:p>
        </w:tc>
        <w:tc>
          <w:tcPr>
            <w:tcW w:w="781" w:type="dxa"/>
            <w:tcBorders>
              <w:top w:val="nil"/>
              <w:bottom w:val="nil"/>
            </w:tcBorders>
            <w:shd w:val="clear" w:color="auto" w:fill="auto"/>
            <w:vAlign w:val="center"/>
          </w:tcPr>
          <w:p w14:paraId="5BDC4008" w14:textId="77777777" w:rsidR="00991E72" w:rsidRPr="00351E1D"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45" w:type="dxa"/>
            <w:tcBorders>
              <w:top w:val="nil"/>
              <w:bottom w:val="nil"/>
            </w:tcBorders>
            <w:shd w:val="clear" w:color="auto" w:fill="auto"/>
            <w:vAlign w:val="center"/>
          </w:tcPr>
          <w:p w14:paraId="2B9151D8" w14:textId="77777777" w:rsidR="00991E72" w:rsidRPr="002D3429"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454C9">
              <w:rPr>
                <w:rFonts w:cs="Arial"/>
                <w:b/>
                <w:szCs w:val="14"/>
              </w:rPr>
              <w:t>1</w:t>
            </w:r>
            <w:r>
              <w:rPr>
                <w:rFonts w:cs="Arial"/>
                <w:b/>
                <w:szCs w:val="14"/>
              </w:rPr>
              <w:t>,</w:t>
            </w:r>
            <w:r w:rsidRPr="00A454C9">
              <w:rPr>
                <w:rFonts w:cs="Arial"/>
                <w:b/>
                <w:szCs w:val="14"/>
              </w:rPr>
              <w:t>832</w:t>
            </w:r>
            <w:r>
              <w:rPr>
                <w:rFonts w:cs="Arial"/>
                <w:b/>
                <w:szCs w:val="14"/>
              </w:rPr>
              <w:t>,</w:t>
            </w:r>
            <w:r w:rsidRPr="00A454C9">
              <w:rPr>
                <w:rFonts w:cs="Arial"/>
                <w:b/>
                <w:szCs w:val="14"/>
              </w:rPr>
              <w:t>959</w:t>
            </w:r>
          </w:p>
        </w:tc>
        <w:tc>
          <w:tcPr>
            <w:tcW w:w="1418" w:type="dxa"/>
            <w:tcBorders>
              <w:top w:val="nil"/>
              <w:bottom w:val="nil"/>
            </w:tcBorders>
            <w:shd w:val="clear" w:color="auto" w:fill="auto"/>
            <w:vAlign w:val="center"/>
          </w:tcPr>
          <w:p w14:paraId="00FD8445" w14:textId="77777777" w:rsidR="00991E72" w:rsidRPr="002D34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A454C9">
              <w:rPr>
                <w:rFonts w:cs="Arial"/>
                <w:b/>
                <w:szCs w:val="14"/>
              </w:rPr>
              <w:t>1</w:t>
            </w:r>
            <w:r>
              <w:rPr>
                <w:rFonts w:cs="Arial"/>
                <w:b/>
                <w:szCs w:val="14"/>
              </w:rPr>
              <w:t>,</w:t>
            </w:r>
            <w:r w:rsidRPr="00A454C9">
              <w:rPr>
                <w:rFonts w:cs="Arial"/>
                <w:b/>
                <w:szCs w:val="14"/>
              </w:rPr>
              <w:t>209</w:t>
            </w:r>
            <w:r>
              <w:rPr>
                <w:rFonts w:cs="Arial"/>
                <w:b/>
                <w:szCs w:val="14"/>
              </w:rPr>
              <w:t>,</w:t>
            </w:r>
            <w:r w:rsidRPr="00A454C9">
              <w:rPr>
                <w:rFonts w:cs="Arial"/>
                <w:b/>
                <w:szCs w:val="14"/>
              </w:rPr>
              <w:t>517</w:t>
            </w:r>
          </w:p>
        </w:tc>
        <w:tc>
          <w:tcPr>
            <w:tcW w:w="281" w:type="dxa"/>
            <w:tcBorders>
              <w:top w:val="nil"/>
              <w:bottom w:val="nil"/>
            </w:tcBorders>
            <w:shd w:val="clear" w:color="auto" w:fill="auto"/>
            <w:vAlign w:val="center"/>
          </w:tcPr>
          <w:p w14:paraId="18C7F268" w14:textId="77777777" w:rsidR="00991E72" w:rsidRPr="002D3429"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0" w:type="dxa"/>
            <w:tcBorders>
              <w:top w:val="nil"/>
              <w:bottom w:val="nil"/>
            </w:tcBorders>
            <w:shd w:val="clear" w:color="auto" w:fill="auto"/>
            <w:vAlign w:val="center"/>
          </w:tcPr>
          <w:p w14:paraId="49AB411F" w14:textId="77777777" w:rsidR="00991E72" w:rsidRPr="002D3429"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454C9">
              <w:rPr>
                <w:rFonts w:cs="Arial"/>
                <w:b/>
                <w:bCs/>
                <w:szCs w:val="14"/>
              </w:rPr>
              <w:t>1</w:t>
            </w:r>
            <w:r>
              <w:rPr>
                <w:rFonts w:cs="Arial"/>
                <w:b/>
                <w:bCs/>
                <w:szCs w:val="14"/>
              </w:rPr>
              <w:t>,</w:t>
            </w:r>
            <w:r w:rsidRPr="00A454C9">
              <w:rPr>
                <w:rFonts w:cs="Arial"/>
                <w:b/>
                <w:bCs/>
                <w:szCs w:val="14"/>
              </w:rPr>
              <w:t>832</w:t>
            </w:r>
            <w:r>
              <w:rPr>
                <w:rFonts w:cs="Arial"/>
                <w:b/>
                <w:bCs/>
                <w:szCs w:val="14"/>
              </w:rPr>
              <w:t>,</w:t>
            </w:r>
            <w:r w:rsidRPr="00A454C9">
              <w:rPr>
                <w:rFonts w:cs="Arial"/>
                <w:b/>
                <w:bCs/>
                <w:szCs w:val="14"/>
              </w:rPr>
              <w:t>959</w:t>
            </w:r>
          </w:p>
        </w:tc>
        <w:tc>
          <w:tcPr>
            <w:tcW w:w="1417" w:type="dxa"/>
            <w:tcBorders>
              <w:top w:val="nil"/>
              <w:bottom w:val="nil"/>
            </w:tcBorders>
            <w:shd w:val="clear" w:color="auto" w:fill="auto"/>
            <w:vAlign w:val="center"/>
          </w:tcPr>
          <w:p w14:paraId="49EE1039" w14:textId="77777777" w:rsidR="00991E72" w:rsidRPr="002D3429"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A454C9">
              <w:rPr>
                <w:rFonts w:cs="Arial"/>
                <w:b/>
                <w:bCs/>
                <w:szCs w:val="14"/>
              </w:rPr>
              <w:t>1</w:t>
            </w:r>
            <w:r>
              <w:rPr>
                <w:rFonts w:cs="Arial"/>
                <w:b/>
                <w:bCs/>
                <w:szCs w:val="14"/>
              </w:rPr>
              <w:t>,</w:t>
            </w:r>
            <w:r w:rsidRPr="00A454C9">
              <w:rPr>
                <w:rFonts w:cs="Arial"/>
                <w:b/>
                <w:bCs/>
                <w:szCs w:val="14"/>
              </w:rPr>
              <w:t>209</w:t>
            </w:r>
            <w:r>
              <w:rPr>
                <w:rFonts w:cs="Arial"/>
                <w:b/>
                <w:bCs/>
                <w:szCs w:val="14"/>
              </w:rPr>
              <w:t>,</w:t>
            </w:r>
            <w:r w:rsidRPr="00A454C9">
              <w:rPr>
                <w:rFonts w:cs="Arial"/>
                <w:b/>
                <w:bCs/>
                <w:szCs w:val="14"/>
              </w:rPr>
              <w:t>517</w:t>
            </w:r>
          </w:p>
        </w:tc>
      </w:tr>
      <w:tr w:rsidR="00991E72" w:rsidRPr="004F2E05" w14:paraId="59E0775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F56AF8D" w14:textId="77777777" w:rsidR="00991E72" w:rsidRPr="004F2E05" w:rsidRDefault="00991E72" w:rsidP="00991E72">
            <w:pPr>
              <w:pStyle w:val="08-Tabelageral"/>
              <w:ind w:left="113"/>
              <w:jc w:val="left"/>
              <w:rPr>
                <w:bCs w:val="0"/>
              </w:rPr>
            </w:pPr>
            <w:r w:rsidRPr="004F2E05">
              <w:rPr>
                <w:bCs w:val="0"/>
              </w:rPr>
              <w:t>Adjustment to net profit:</w:t>
            </w:r>
          </w:p>
        </w:tc>
        <w:tc>
          <w:tcPr>
            <w:tcW w:w="781" w:type="dxa"/>
            <w:tcBorders>
              <w:top w:val="nil"/>
              <w:bottom w:val="nil"/>
            </w:tcBorders>
            <w:shd w:val="clear" w:color="auto" w:fill="auto"/>
            <w:vAlign w:val="center"/>
          </w:tcPr>
          <w:p w14:paraId="1B99A4EB" w14:textId="77777777" w:rsidR="00991E72" w:rsidRPr="004F2E05"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7058860A" w14:textId="77777777" w:rsidR="00991E72" w:rsidRPr="004F2E05"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bottom w:val="nil"/>
            </w:tcBorders>
            <w:shd w:val="clear" w:color="auto" w:fill="auto"/>
            <w:vAlign w:val="center"/>
          </w:tcPr>
          <w:p w14:paraId="0F1B1018" w14:textId="77777777" w:rsidR="00991E72" w:rsidRPr="004F2E05"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281" w:type="dxa"/>
            <w:tcBorders>
              <w:top w:val="nil"/>
              <w:bottom w:val="nil"/>
            </w:tcBorders>
            <w:shd w:val="clear" w:color="auto" w:fill="auto"/>
            <w:vAlign w:val="center"/>
          </w:tcPr>
          <w:p w14:paraId="1C450FE9" w14:textId="77777777" w:rsidR="00991E72" w:rsidRPr="004F2E05"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20" w:type="dxa"/>
            <w:tcBorders>
              <w:top w:val="nil"/>
              <w:bottom w:val="nil"/>
            </w:tcBorders>
            <w:shd w:val="clear" w:color="auto" w:fill="auto"/>
            <w:vAlign w:val="center"/>
          </w:tcPr>
          <w:p w14:paraId="2080110C" w14:textId="77777777" w:rsidR="00991E72" w:rsidRPr="004F2E05"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bottom w:val="nil"/>
            </w:tcBorders>
            <w:shd w:val="clear" w:color="auto" w:fill="auto"/>
            <w:vAlign w:val="center"/>
          </w:tcPr>
          <w:p w14:paraId="6C1AC40F" w14:textId="77777777" w:rsidR="00991E72" w:rsidRPr="004F2E05"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r>
      <w:tr w:rsidR="00991E72" w:rsidRPr="001C7112" w14:paraId="6D9F648B"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34E7902" w14:textId="77777777" w:rsidR="00991E72" w:rsidRPr="001C7112" w:rsidRDefault="00991E72" w:rsidP="00991E72">
            <w:pPr>
              <w:pStyle w:val="08-Tabelageral"/>
              <w:ind w:left="113"/>
              <w:jc w:val="left"/>
              <w:rPr>
                <w:b w:val="0"/>
              </w:rPr>
            </w:pPr>
            <w:r w:rsidRPr="00E03629">
              <w:rPr>
                <w:b w:val="0"/>
              </w:rPr>
              <w:t>Equity income</w:t>
            </w:r>
          </w:p>
        </w:tc>
        <w:tc>
          <w:tcPr>
            <w:tcW w:w="781" w:type="dxa"/>
            <w:tcBorders>
              <w:top w:val="nil"/>
              <w:bottom w:val="nil"/>
            </w:tcBorders>
            <w:shd w:val="clear" w:color="auto" w:fill="auto"/>
            <w:vAlign w:val="center"/>
          </w:tcPr>
          <w:p w14:paraId="4484EAA3" w14:textId="77777777" w:rsidR="00991E72" w:rsidRPr="001C7112"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345" w:type="dxa"/>
            <w:tcBorders>
              <w:top w:val="nil"/>
              <w:bottom w:val="nil"/>
            </w:tcBorders>
            <w:shd w:val="clear" w:color="auto" w:fill="auto"/>
            <w:vAlign w:val="center"/>
          </w:tcPr>
          <w:p w14:paraId="3A2A4FCC"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r w:rsidRPr="00A454C9">
              <w:rPr>
                <w:rFonts w:cs="Arial"/>
                <w:szCs w:val="14"/>
              </w:rPr>
              <w:t>1</w:t>
            </w:r>
            <w:r>
              <w:rPr>
                <w:rFonts w:cs="Arial"/>
                <w:szCs w:val="14"/>
              </w:rPr>
              <w:t>,</w:t>
            </w:r>
            <w:r w:rsidRPr="00A454C9">
              <w:rPr>
                <w:rFonts w:cs="Arial"/>
                <w:szCs w:val="14"/>
              </w:rPr>
              <w:t>836</w:t>
            </w:r>
            <w:r>
              <w:rPr>
                <w:rFonts w:cs="Arial"/>
                <w:szCs w:val="14"/>
              </w:rPr>
              <w:t>,</w:t>
            </w:r>
            <w:r w:rsidRPr="00A454C9">
              <w:rPr>
                <w:rFonts w:cs="Arial"/>
                <w:szCs w:val="14"/>
              </w:rPr>
              <w:t>11</w:t>
            </w:r>
            <w:r>
              <w:rPr>
                <w:rFonts w:cs="Arial"/>
                <w:szCs w:val="14"/>
              </w:rPr>
              <w:t>2)</w:t>
            </w:r>
          </w:p>
        </w:tc>
        <w:tc>
          <w:tcPr>
            <w:tcW w:w="1418" w:type="dxa"/>
            <w:tcBorders>
              <w:top w:val="nil"/>
              <w:bottom w:val="nil"/>
            </w:tcBorders>
            <w:shd w:val="clear" w:color="auto" w:fill="auto"/>
            <w:vAlign w:val="center"/>
          </w:tcPr>
          <w:p w14:paraId="0444241F"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r w:rsidRPr="00A454C9">
              <w:rPr>
                <w:rFonts w:cs="Arial"/>
                <w:szCs w:val="14"/>
              </w:rPr>
              <w:t>1</w:t>
            </w:r>
            <w:r>
              <w:rPr>
                <w:rFonts w:cs="Arial"/>
                <w:szCs w:val="14"/>
              </w:rPr>
              <w:t>,</w:t>
            </w:r>
            <w:r w:rsidRPr="00A454C9">
              <w:rPr>
                <w:rFonts w:cs="Arial"/>
                <w:szCs w:val="14"/>
              </w:rPr>
              <w:t>209</w:t>
            </w:r>
            <w:r>
              <w:rPr>
                <w:rFonts w:cs="Arial"/>
                <w:szCs w:val="14"/>
              </w:rPr>
              <w:t>,</w:t>
            </w:r>
            <w:r w:rsidRPr="00A454C9">
              <w:rPr>
                <w:rFonts w:cs="Arial"/>
                <w:szCs w:val="14"/>
              </w:rPr>
              <w:t>170</w:t>
            </w:r>
            <w:r>
              <w:rPr>
                <w:rFonts w:cs="Arial"/>
                <w:szCs w:val="14"/>
              </w:rPr>
              <w:t>)</w:t>
            </w:r>
          </w:p>
        </w:tc>
        <w:tc>
          <w:tcPr>
            <w:tcW w:w="281" w:type="dxa"/>
            <w:tcBorders>
              <w:top w:val="nil"/>
              <w:bottom w:val="nil"/>
            </w:tcBorders>
            <w:shd w:val="clear" w:color="auto" w:fill="auto"/>
            <w:vAlign w:val="center"/>
          </w:tcPr>
          <w:p w14:paraId="452A7907" w14:textId="77777777" w:rsidR="00991E72" w:rsidRPr="001C7112"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0971CB20"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r w:rsidRPr="00A454C9">
              <w:rPr>
                <w:rFonts w:cs="Arial"/>
                <w:szCs w:val="14"/>
              </w:rPr>
              <w:t>1</w:t>
            </w:r>
            <w:r>
              <w:rPr>
                <w:rFonts w:cs="Arial"/>
                <w:szCs w:val="14"/>
              </w:rPr>
              <w:t>,</w:t>
            </w:r>
            <w:r w:rsidRPr="00A454C9">
              <w:rPr>
                <w:rFonts w:cs="Arial"/>
                <w:szCs w:val="14"/>
              </w:rPr>
              <w:t>125</w:t>
            </w:r>
            <w:r>
              <w:rPr>
                <w:rFonts w:cs="Arial"/>
                <w:szCs w:val="14"/>
              </w:rPr>
              <w:t>,</w:t>
            </w:r>
            <w:r w:rsidRPr="00A454C9">
              <w:rPr>
                <w:rFonts w:cs="Arial"/>
                <w:szCs w:val="14"/>
              </w:rPr>
              <w:t>031</w:t>
            </w:r>
            <w:r>
              <w:rPr>
                <w:rFonts w:cs="Arial"/>
                <w:szCs w:val="14"/>
              </w:rPr>
              <w:t>)</w:t>
            </w:r>
          </w:p>
        </w:tc>
        <w:tc>
          <w:tcPr>
            <w:tcW w:w="1417" w:type="dxa"/>
            <w:tcBorders>
              <w:top w:val="nil"/>
              <w:bottom w:val="nil"/>
            </w:tcBorders>
            <w:shd w:val="clear" w:color="auto" w:fill="auto"/>
            <w:vAlign w:val="center"/>
          </w:tcPr>
          <w:p w14:paraId="6D8A4C56"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r w:rsidRPr="00A454C9">
              <w:rPr>
                <w:rFonts w:cs="Arial"/>
                <w:szCs w:val="14"/>
              </w:rPr>
              <w:t>635</w:t>
            </w:r>
            <w:r>
              <w:rPr>
                <w:rFonts w:cs="Arial"/>
                <w:szCs w:val="14"/>
              </w:rPr>
              <w:t>,</w:t>
            </w:r>
            <w:r w:rsidRPr="00A454C9">
              <w:rPr>
                <w:rFonts w:cs="Arial"/>
                <w:szCs w:val="14"/>
              </w:rPr>
              <w:t>3</w:t>
            </w:r>
            <w:r>
              <w:rPr>
                <w:rFonts w:cs="Arial"/>
                <w:szCs w:val="14"/>
              </w:rPr>
              <w:t>70)</w:t>
            </w:r>
          </w:p>
        </w:tc>
      </w:tr>
      <w:tr w:rsidR="00991E72" w:rsidRPr="001C7112" w14:paraId="60529A00"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6E11884" w14:textId="77777777" w:rsidR="00991E72" w:rsidRPr="00BD6C7E" w:rsidRDefault="00991E72" w:rsidP="00991E72">
            <w:pPr>
              <w:pStyle w:val="08-Tabelageral"/>
              <w:ind w:left="113"/>
              <w:jc w:val="left"/>
              <w:rPr>
                <w:b w:val="0"/>
                <w:lang w:val="en-US"/>
              </w:rPr>
            </w:pPr>
            <w:r w:rsidRPr="00BD6C7E">
              <w:rPr>
                <w:b w:val="0"/>
                <w:lang w:val="en-US"/>
              </w:rPr>
              <w:t>Net increase in dividends and interest on shareholders' equity</w:t>
            </w:r>
          </w:p>
        </w:tc>
        <w:tc>
          <w:tcPr>
            <w:tcW w:w="781" w:type="dxa"/>
            <w:tcBorders>
              <w:top w:val="nil"/>
              <w:bottom w:val="nil"/>
            </w:tcBorders>
            <w:shd w:val="clear" w:color="auto" w:fill="auto"/>
            <w:vAlign w:val="center"/>
          </w:tcPr>
          <w:p w14:paraId="547648B5" w14:textId="77777777" w:rsidR="00991E72" w:rsidRPr="00BD6C7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58D02FE7" w14:textId="77777777" w:rsidR="00991E72" w:rsidRPr="001C7112"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36B6F">
              <w:rPr>
                <w:rFonts w:cs="Arial"/>
                <w:szCs w:val="14"/>
              </w:rPr>
              <w:t>(20</w:t>
            </w:r>
            <w:r>
              <w:rPr>
                <w:rFonts w:cs="Arial"/>
                <w:szCs w:val="14"/>
              </w:rPr>
              <w:t>4</w:t>
            </w:r>
            <w:r w:rsidRPr="00236B6F">
              <w:rPr>
                <w:rFonts w:cs="Arial"/>
                <w:szCs w:val="14"/>
              </w:rPr>
              <w:t>)</w:t>
            </w:r>
          </w:p>
        </w:tc>
        <w:tc>
          <w:tcPr>
            <w:tcW w:w="1418" w:type="dxa"/>
            <w:tcBorders>
              <w:top w:val="nil"/>
              <w:bottom w:val="nil"/>
            </w:tcBorders>
            <w:shd w:val="clear" w:color="auto" w:fill="auto"/>
            <w:vAlign w:val="center"/>
          </w:tcPr>
          <w:p w14:paraId="45CA9D30"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5B3390">
              <w:rPr>
                <w:rFonts w:cs="Arial"/>
                <w:szCs w:val="14"/>
              </w:rPr>
              <w:t>3</w:t>
            </w:r>
            <w:r>
              <w:rPr>
                <w:rFonts w:cs="Arial"/>
                <w:szCs w:val="14"/>
              </w:rPr>
              <w:t>,</w:t>
            </w:r>
            <w:r w:rsidRPr="005B3390">
              <w:rPr>
                <w:rFonts w:cs="Arial"/>
                <w:szCs w:val="14"/>
              </w:rPr>
              <w:t>639</w:t>
            </w:r>
          </w:p>
        </w:tc>
        <w:tc>
          <w:tcPr>
            <w:tcW w:w="281" w:type="dxa"/>
            <w:tcBorders>
              <w:top w:val="nil"/>
              <w:bottom w:val="nil"/>
            </w:tcBorders>
            <w:shd w:val="clear" w:color="auto" w:fill="auto"/>
            <w:vAlign w:val="center"/>
          </w:tcPr>
          <w:p w14:paraId="08FD2657" w14:textId="77777777" w:rsidR="00991E72" w:rsidRPr="001C7112"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72B47A4B" w14:textId="77777777" w:rsidR="00991E72" w:rsidRPr="001C7112"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94A52">
              <w:rPr>
                <w:rFonts w:cs="Arial"/>
                <w:szCs w:val="14"/>
              </w:rPr>
              <w:t>77</w:t>
            </w:r>
            <w:r>
              <w:rPr>
                <w:rFonts w:cs="Arial"/>
                <w:szCs w:val="14"/>
              </w:rPr>
              <w:t>,</w:t>
            </w:r>
            <w:r w:rsidRPr="00A94A52">
              <w:rPr>
                <w:rFonts w:cs="Arial"/>
                <w:szCs w:val="14"/>
              </w:rPr>
              <w:t>280</w:t>
            </w:r>
          </w:p>
        </w:tc>
        <w:tc>
          <w:tcPr>
            <w:tcW w:w="1417" w:type="dxa"/>
            <w:tcBorders>
              <w:top w:val="nil"/>
              <w:bottom w:val="nil"/>
            </w:tcBorders>
            <w:shd w:val="clear" w:color="auto" w:fill="auto"/>
            <w:vAlign w:val="center"/>
          </w:tcPr>
          <w:p w14:paraId="10C49346"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sidRPr="00EC280F">
              <w:rPr>
                <w:rFonts w:cs="Arial"/>
                <w:szCs w:val="14"/>
              </w:rPr>
              <w:t>25</w:t>
            </w:r>
            <w:r>
              <w:rPr>
                <w:rFonts w:cs="Arial"/>
                <w:szCs w:val="14"/>
              </w:rPr>
              <w:t>,</w:t>
            </w:r>
            <w:r w:rsidRPr="00EC280F">
              <w:rPr>
                <w:rFonts w:cs="Arial"/>
                <w:szCs w:val="14"/>
              </w:rPr>
              <w:t>745</w:t>
            </w:r>
          </w:p>
        </w:tc>
      </w:tr>
      <w:tr w:rsidR="00991E72" w:rsidRPr="001C7112" w14:paraId="43F92FAB"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BEAED55" w14:textId="77777777" w:rsidR="00991E72" w:rsidRPr="00617504" w:rsidRDefault="00991E72" w:rsidP="00991E72">
            <w:pPr>
              <w:pStyle w:val="08-Tabelageral"/>
              <w:ind w:left="113"/>
              <w:jc w:val="left"/>
              <w:rPr>
                <w:b w:val="0"/>
                <w:lang w:val="en-US"/>
              </w:rPr>
            </w:pPr>
            <w:r w:rsidRPr="00295DFF">
              <w:rPr>
                <w:b w:val="0"/>
                <w:lang w:val="en-US"/>
              </w:rPr>
              <w:t>Net increase</w:t>
            </w:r>
            <w:r>
              <w:rPr>
                <w:b w:val="0"/>
                <w:lang w:val="en-US"/>
              </w:rPr>
              <w:t xml:space="preserve"> in</w:t>
            </w:r>
            <w:r w:rsidRPr="00617504">
              <w:rPr>
                <w:b w:val="0"/>
                <w:lang w:val="en-US"/>
              </w:rPr>
              <w:t xml:space="preserve"> financial assets at amortized cost</w:t>
            </w:r>
          </w:p>
        </w:tc>
        <w:tc>
          <w:tcPr>
            <w:tcW w:w="781" w:type="dxa"/>
            <w:tcBorders>
              <w:top w:val="nil"/>
              <w:bottom w:val="nil"/>
            </w:tcBorders>
            <w:shd w:val="clear" w:color="auto" w:fill="auto"/>
            <w:vAlign w:val="center"/>
          </w:tcPr>
          <w:p w14:paraId="5E9FAEF8"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2F0838CF" w14:textId="77777777" w:rsidR="00991E72" w:rsidRPr="0006126C"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94A52">
              <w:rPr>
                <w:rFonts w:cs="Arial"/>
                <w:szCs w:val="14"/>
              </w:rPr>
              <w:t>--</w:t>
            </w:r>
          </w:p>
        </w:tc>
        <w:tc>
          <w:tcPr>
            <w:tcW w:w="1418" w:type="dxa"/>
            <w:tcBorders>
              <w:top w:val="nil"/>
              <w:bottom w:val="nil"/>
            </w:tcBorders>
            <w:shd w:val="clear" w:color="auto" w:fill="auto"/>
            <w:vAlign w:val="center"/>
          </w:tcPr>
          <w:p w14:paraId="6978396F" w14:textId="77777777" w:rsidR="00991E72" w:rsidRPr="00CE57AB"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A94A52">
              <w:rPr>
                <w:rFonts w:cs="Arial"/>
                <w:szCs w:val="14"/>
              </w:rPr>
              <w:t>--</w:t>
            </w:r>
          </w:p>
        </w:tc>
        <w:tc>
          <w:tcPr>
            <w:tcW w:w="281" w:type="dxa"/>
            <w:tcBorders>
              <w:top w:val="nil"/>
              <w:bottom w:val="nil"/>
            </w:tcBorders>
            <w:shd w:val="clear" w:color="auto" w:fill="auto"/>
            <w:vAlign w:val="center"/>
          </w:tcPr>
          <w:p w14:paraId="4440482B" w14:textId="77777777" w:rsidR="00991E72" w:rsidRPr="001C7112"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711D6239" w14:textId="77777777" w:rsidR="00991E72" w:rsidRPr="0071713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94A52">
              <w:rPr>
                <w:rFonts w:cs="Arial"/>
                <w:szCs w:val="14"/>
              </w:rPr>
              <w:t>(23</w:t>
            </w:r>
            <w:r>
              <w:rPr>
                <w:rFonts w:cs="Arial"/>
                <w:szCs w:val="14"/>
              </w:rPr>
              <w:t>,</w:t>
            </w:r>
            <w:r w:rsidRPr="00A94A52">
              <w:rPr>
                <w:rFonts w:cs="Arial"/>
                <w:szCs w:val="14"/>
              </w:rPr>
              <w:t>214)</w:t>
            </w:r>
          </w:p>
        </w:tc>
        <w:tc>
          <w:tcPr>
            <w:tcW w:w="1417" w:type="dxa"/>
            <w:tcBorders>
              <w:top w:val="nil"/>
              <w:bottom w:val="nil"/>
            </w:tcBorders>
            <w:shd w:val="clear" w:color="auto" w:fill="auto"/>
            <w:vAlign w:val="center"/>
          </w:tcPr>
          <w:p w14:paraId="0F4E254A" w14:textId="77777777" w:rsidR="00991E72" w:rsidRPr="009B325C"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A94A52">
              <w:rPr>
                <w:rFonts w:cs="Arial"/>
                <w:szCs w:val="14"/>
              </w:rPr>
              <w:t>--</w:t>
            </w:r>
          </w:p>
        </w:tc>
      </w:tr>
      <w:tr w:rsidR="00991E72" w:rsidRPr="001C7112" w14:paraId="663EB0D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9A69E45" w14:textId="77777777" w:rsidR="00991E72" w:rsidRPr="00342342" w:rsidRDefault="00991E72" w:rsidP="00991E72">
            <w:pPr>
              <w:pStyle w:val="08-Tabelageral"/>
              <w:ind w:left="113"/>
              <w:jc w:val="left"/>
              <w:rPr>
                <w:b w:val="0"/>
                <w:bCs w:val="0"/>
                <w:lang w:val="en-US"/>
              </w:rPr>
            </w:pPr>
            <w:r w:rsidRPr="00342342">
              <w:rPr>
                <w:b w:val="0"/>
                <w:bCs w:val="0"/>
                <w:lang w:val="en-US"/>
              </w:rPr>
              <w:t>Net increase in financial assets at fair value through profit or loss</w:t>
            </w:r>
          </w:p>
        </w:tc>
        <w:tc>
          <w:tcPr>
            <w:tcW w:w="781" w:type="dxa"/>
            <w:tcBorders>
              <w:top w:val="nil"/>
              <w:bottom w:val="nil"/>
            </w:tcBorders>
            <w:shd w:val="clear" w:color="auto" w:fill="auto"/>
            <w:vAlign w:val="center"/>
          </w:tcPr>
          <w:p w14:paraId="18128D2B" w14:textId="77777777" w:rsidR="00991E72" w:rsidRPr="001C7112"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pPr>
            <w:r w:rsidRPr="002F1A89">
              <w:rPr>
                <w:bCs/>
              </w:rPr>
              <w:t>[16.a]</w:t>
            </w:r>
          </w:p>
        </w:tc>
        <w:tc>
          <w:tcPr>
            <w:tcW w:w="1345" w:type="dxa"/>
            <w:tcBorders>
              <w:top w:val="nil"/>
              <w:bottom w:val="nil"/>
            </w:tcBorders>
            <w:shd w:val="clear" w:color="auto" w:fill="auto"/>
            <w:vAlign w:val="center"/>
          </w:tcPr>
          <w:p w14:paraId="1ABE64C5" w14:textId="77777777" w:rsidR="00991E72" w:rsidRPr="00371E3B"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36B6F">
              <w:rPr>
                <w:rFonts w:cs="Arial"/>
                <w:szCs w:val="14"/>
              </w:rPr>
              <w:t>1</w:t>
            </w:r>
            <w:r>
              <w:rPr>
                <w:rFonts w:cs="Arial"/>
                <w:szCs w:val="14"/>
              </w:rPr>
              <w:t>,</w:t>
            </w:r>
            <w:r w:rsidRPr="00236B6F">
              <w:rPr>
                <w:rFonts w:cs="Arial"/>
                <w:szCs w:val="14"/>
              </w:rPr>
              <w:t>02</w:t>
            </w:r>
            <w:r>
              <w:rPr>
                <w:rFonts w:cs="Arial"/>
                <w:szCs w:val="14"/>
              </w:rPr>
              <w:t>3</w:t>
            </w:r>
          </w:p>
        </w:tc>
        <w:tc>
          <w:tcPr>
            <w:tcW w:w="1418" w:type="dxa"/>
            <w:tcBorders>
              <w:top w:val="nil"/>
              <w:bottom w:val="nil"/>
            </w:tcBorders>
            <w:shd w:val="clear" w:color="auto" w:fill="auto"/>
            <w:vAlign w:val="center"/>
          </w:tcPr>
          <w:p w14:paraId="152C8B3F" w14:textId="77777777" w:rsidR="00991E72" w:rsidRPr="00DD419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B3390">
              <w:rPr>
                <w:rFonts w:cs="Arial"/>
                <w:szCs w:val="14"/>
              </w:rPr>
              <w:t>213</w:t>
            </w:r>
          </w:p>
        </w:tc>
        <w:tc>
          <w:tcPr>
            <w:tcW w:w="281" w:type="dxa"/>
            <w:tcBorders>
              <w:top w:val="nil"/>
              <w:bottom w:val="nil"/>
            </w:tcBorders>
            <w:shd w:val="clear" w:color="auto" w:fill="auto"/>
            <w:vAlign w:val="center"/>
          </w:tcPr>
          <w:p w14:paraId="68E6B3C5" w14:textId="77777777" w:rsidR="00991E72" w:rsidRPr="001C7112"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758B7C22" w14:textId="77777777" w:rsidR="00991E72" w:rsidRPr="00B01AA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94A52">
              <w:rPr>
                <w:rFonts w:cs="Arial"/>
                <w:szCs w:val="14"/>
              </w:rPr>
              <w:t>2</w:t>
            </w:r>
            <w:r>
              <w:rPr>
                <w:rFonts w:cs="Arial"/>
                <w:szCs w:val="14"/>
              </w:rPr>
              <w:t>,</w:t>
            </w:r>
            <w:r w:rsidRPr="00A94A52">
              <w:rPr>
                <w:rFonts w:cs="Arial"/>
                <w:szCs w:val="14"/>
              </w:rPr>
              <w:t>476</w:t>
            </w:r>
          </w:p>
        </w:tc>
        <w:tc>
          <w:tcPr>
            <w:tcW w:w="1417" w:type="dxa"/>
            <w:tcBorders>
              <w:top w:val="nil"/>
              <w:bottom w:val="nil"/>
            </w:tcBorders>
            <w:shd w:val="clear" w:color="auto" w:fill="auto"/>
            <w:vAlign w:val="center"/>
          </w:tcPr>
          <w:p w14:paraId="03260FF4" w14:textId="77777777" w:rsidR="00991E72" w:rsidRPr="005A104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EC280F">
              <w:rPr>
                <w:rFonts w:cs="Arial"/>
                <w:szCs w:val="14"/>
              </w:rPr>
              <w:t>32</w:t>
            </w:r>
            <w:r>
              <w:rPr>
                <w:rFonts w:cs="Arial"/>
                <w:szCs w:val="14"/>
              </w:rPr>
              <w:t>2</w:t>
            </w:r>
          </w:p>
        </w:tc>
      </w:tr>
      <w:tr w:rsidR="00991E72" w:rsidRPr="001C7112" w14:paraId="13731E10"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E125670" w14:textId="77777777" w:rsidR="00991E72" w:rsidRPr="001C7112" w:rsidRDefault="00991E72" w:rsidP="00991E72">
            <w:pPr>
              <w:pStyle w:val="08-Tabelageral"/>
              <w:ind w:left="113"/>
              <w:jc w:val="left"/>
              <w:rPr>
                <w:b w:val="0"/>
              </w:rPr>
            </w:pPr>
            <w:r w:rsidRPr="00E03629">
              <w:rPr>
                <w:b w:val="0"/>
              </w:rPr>
              <w:t>Other adjustments</w:t>
            </w:r>
          </w:p>
        </w:tc>
        <w:tc>
          <w:tcPr>
            <w:tcW w:w="781" w:type="dxa"/>
            <w:tcBorders>
              <w:top w:val="nil"/>
              <w:bottom w:val="nil"/>
            </w:tcBorders>
            <w:shd w:val="clear" w:color="auto" w:fill="auto"/>
            <w:vAlign w:val="center"/>
          </w:tcPr>
          <w:p w14:paraId="708AD19D" w14:textId="77777777" w:rsidR="00991E72" w:rsidRPr="001C7112"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45" w:type="dxa"/>
            <w:tcBorders>
              <w:top w:val="nil"/>
              <w:bottom w:val="nil"/>
            </w:tcBorders>
            <w:shd w:val="clear" w:color="auto" w:fill="auto"/>
            <w:vAlign w:val="center"/>
          </w:tcPr>
          <w:p w14:paraId="18986674" w14:textId="77777777" w:rsidR="00991E72" w:rsidRPr="001C711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236B6F">
              <w:rPr>
                <w:rFonts w:cs="Arial"/>
                <w:b/>
                <w:bCs/>
                <w:szCs w:val="14"/>
              </w:rPr>
              <w:t>(2</w:t>
            </w:r>
            <w:r>
              <w:rPr>
                <w:rFonts w:cs="Arial"/>
                <w:b/>
                <w:bCs/>
                <w:szCs w:val="14"/>
              </w:rPr>
              <w:t>,</w:t>
            </w:r>
            <w:r w:rsidRPr="00236B6F">
              <w:rPr>
                <w:rFonts w:cs="Arial"/>
                <w:b/>
                <w:bCs/>
                <w:szCs w:val="14"/>
              </w:rPr>
              <w:t>33</w:t>
            </w:r>
            <w:r>
              <w:rPr>
                <w:rFonts w:cs="Arial"/>
                <w:b/>
                <w:bCs/>
                <w:szCs w:val="14"/>
              </w:rPr>
              <w:t>4</w:t>
            </w:r>
            <w:r w:rsidRPr="00236B6F">
              <w:rPr>
                <w:rFonts w:cs="Arial"/>
                <w:b/>
                <w:bCs/>
                <w:szCs w:val="14"/>
              </w:rPr>
              <w:t>)</w:t>
            </w:r>
          </w:p>
        </w:tc>
        <w:tc>
          <w:tcPr>
            <w:tcW w:w="1418" w:type="dxa"/>
            <w:tcBorders>
              <w:top w:val="nil"/>
              <w:bottom w:val="nil"/>
            </w:tcBorders>
            <w:shd w:val="clear" w:color="auto" w:fill="auto"/>
            <w:vAlign w:val="center"/>
          </w:tcPr>
          <w:p w14:paraId="299F31B4"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5B3390">
              <w:rPr>
                <w:rFonts w:cs="Arial"/>
                <w:b/>
                <w:szCs w:val="14"/>
              </w:rPr>
              <w:t>4</w:t>
            </w:r>
            <w:r>
              <w:rPr>
                <w:rFonts w:cs="Arial"/>
                <w:b/>
                <w:szCs w:val="14"/>
              </w:rPr>
              <w:t>,</w:t>
            </w:r>
            <w:r w:rsidRPr="005B3390">
              <w:rPr>
                <w:rFonts w:cs="Arial"/>
                <w:b/>
                <w:szCs w:val="14"/>
              </w:rPr>
              <w:t>199</w:t>
            </w:r>
          </w:p>
        </w:tc>
        <w:tc>
          <w:tcPr>
            <w:tcW w:w="281" w:type="dxa"/>
            <w:tcBorders>
              <w:top w:val="nil"/>
              <w:bottom w:val="nil"/>
            </w:tcBorders>
            <w:shd w:val="clear" w:color="auto" w:fill="auto"/>
            <w:vAlign w:val="center"/>
          </w:tcPr>
          <w:p w14:paraId="5B429DC1" w14:textId="77777777" w:rsidR="00991E72" w:rsidRPr="001C7112"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25AAED60" w14:textId="77777777" w:rsidR="00991E72" w:rsidRPr="001C7112"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710B2">
              <w:rPr>
                <w:rFonts w:cs="Arial"/>
                <w:b/>
                <w:bCs/>
                <w:szCs w:val="14"/>
              </w:rPr>
              <w:t>764</w:t>
            </w:r>
            <w:r>
              <w:rPr>
                <w:rFonts w:cs="Arial"/>
                <w:b/>
                <w:bCs/>
                <w:szCs w:val="14"/>
              </w:rPr>
              <w:t>,</w:t>
            </w:r>
            <w:r w:rsidRPr="009710B2">
              <w:rPr>
                <w:rFonts w:cs="Arial"/>
                <w:b/>
                <w:bCs/>
                <w:szCs w:val="14"/>
              </w:rPr>
              <w:t>470</w:t>
            </w:r>
          </w:p>
        </w:tc>
        <w:tc>
          <w:tcPr>
            <w:tcW w:w="1417" w:type="dxa"/>
            <w:tcBorders>
              <w:top w:val="nil"/>
              <w:bottom w:val="nil"/>
            </w:tcBorders>
            <w:shd w:val="clear" w:color="auto" w:fill="auto"/>
            <w:vAlign w:val="center"/>
          </w:tcPr>
          <w:p w14:paraId="296143CF" w14:textId="77777777" w:rsidR="00991E72" w:rsidRPr="00073BA6"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r w:rsidRPr="009710B2">
              <w:rPr>
                <w:rFonts w:cs="Arial"/>
                <w:b/>
                <w:bCs/>
                <w:szCs w:val="14"/>
              </w:rPr>
              <w:t>600</w:t>
            </w:r>
            <w:r>
              <w:rPr>
                <w:rFonts w:cs="Arial"/>
                <w:b/>
                <w:bCs/>
                <w:szCs w:val="14"/>
              </w:rPr>
              <w:t>,</w:t>
            </w:r>
            <w:r w:rsidRPr="009710B2">
              <w:rPr>
                <w:rFonts w:cs="Arial"/>
                <w:b/>
                <w:bCs/>
                <w:szCs w:val="14"/>
              </w:rPr>
              <w:t>214</w:t>
            </w:r>
          </w:p>
        </w:tc>
      </w:tr>
      <w:tr w:rsidR="00991E72" w:rsidRPr="001D6BE8" w14:paraId="6A72F168"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25518B0" w14:textId="77777777" w:rsidR="00991E72" w:rsidRPr="002D3429" w:rsidRDefault="00991E72" w:rsidP="00991E72">
            <w:pPr>
              <w:pStyle w:val="08-Tabelageral"/>
              <w:ind w:left="113"/>
              <w:jc w:val="left"/>
              <w:rPr>
                <w:bCs w:val="0"/>
              </w:rPr>
            </w:pPr>
            <w:r w:rsidRPr="002D3429">
              <w:rPr>
                <w:bCs w:val="0"/>
              </w:rPr>
              <w:t>Adjustment to net profit</w:t>
            </w:r>
          </w:p>
        </w:tc>
        <w:tc>
          <w:tcPr>
            <w:tcW w:w="781" w:type="dxa"/>
            <w:tcBorders>
              <w:top w:val="nil"/>
              <w:bottom w:val="nil"/>
            </w:tcBorders>
            <w:shd w:val="clear" w:color="auto" w:fill="auto"/>
            <w:vAlign w:val="center"/>
          </w:tcPr>
          <w:p w14:paraId="55A0FFB6" w14:textId="77777777" w:rsidR="00991E72" w:rsidRPr="00CD3714"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1C7ED8EA" w14:textId="77777777" w:rsidR="00991E72" w:rsidRPr="00F0692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18" w:type="dxa"/>
            <w:tcBorders>
              <w:top w:val="nil"/>
              <w:bottom w:val="nil"/>
            </w:tcBorders>
            <w:shd w:val="clear" w:color="auto" w:fill="auto"/>
            <w:vAlign w:val="center"/>
          </w:tcPr>
          <w:p w14:paraId="49543CC8"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281" w:type="dxa"/>
            <w:tcBorders>
              <w:top w:val="nil"/>
              <w:bottom w:val="nil"/>
            </w:tcBorders>
            <w:shd w:val="clear" w:color="auto" w:fill="auto"/>
            <w:vAlign w:val="center"/>
          </w:tcPr>
          <w:p w14:paraId="3FACB234" w14:textId="77777777" w:rsidR="00991E72" w:rsidRPr="00F06920"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20" w:type="dxa"/>
            <w:tcBorders>
              <w:top w:val="nil"/>
              <w:bottom w:val="nil"/>
            </w:tcBorders>
            <w:shd w:val="clear" w:color="auto" w:fill="auto"/>
            <w:vAlign w:val="center"/>
          </w:tcPr>
          <w:p w14:paraId="5F3D3DCB" w14:textId="77777777" w:rsidR="00991E72" w:rsidRPr="00F0692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17" w:type="dxa"/>
            <w:tcBorders>
              <w:top w:val="nil"/>
              <w:bottom w:val="nil"/>
            </w:tcBorders>
            <w:shd w:val="clear" w:color="auto" w:fill="auto"/>
            <w:vAlign w:val="center"/>
          </w:tcPr>
          <w:p w14:paraId="4B788AD5"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r>
      <w:tr w:rsidR="00991E72" w:rsidRPr="002E1E12" w14:paraId="6F37832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6A40F6D" w14:textId="77777777" w:rsidR="00991E72" w:rsidRPr="0038283D" w:rsidRDefault="00991E72" w:rsidP="00991E72">
            <w:pPr>
              <w:pStyle w:val="08-Tabelageral"/>
              <w:ind w:left="113"/>
              <w:jc w:val="left"/>
              <w:rPr>
                <w:bCs w:val="0"/>
                <w:lang w:val="en-US"/>
              </w:rPr>
            </w:pPr>
            <w:r w:rsidRPr="0038283D">
              <w:rPr>
                <w:bCs w:val="0"/>
                <w:lang w:val="en-US"/>
              </w:rPr>
              <w:t>Changes in balance sheet items:</w:t>
            </w:r>
          </w:p>
        </w:tc>
        <w:tc>
          <w:tcPr>
            <w:tcW w:w="781" w:type="dxa"/>
            <w:tcBorders>
              <w:top w:val="nil"/>
              <w:bottom w:val="nil"/>
            </w:tcBorders>
            <w:shd w:val="clear" w:color="auto" w:fill="auto"/>
            <w:vAlign w:val="center"/>
          </w:tcPr>
          <w:p w14:paraId="6EF0B0F8" w14:textId="77777777" w:rsidR="00991E72" w:rsidRPr="0038283D"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345" w:type="dxa"/>
            <w:tcBorders>
              <w:top w:val="nil"/>
              <w:bottom w:val="nil"/>
            </w:tcBorders>
            <w:shd w:val="clear" w:color="auto" w:fill="auto"/>
            <w:vAlign w:val="center"/>
          </w:tcPr>
          <w:p w14:paraId="22C21B46" w14:textId="77777777" w:rsidR="00991E72" w:rsidRPr="0038283D"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18" w:type="dxa"/>
            <w:tcBorders>
              <w:top w:val="nil"/>
              <w:bottom w:val="nil"/>
            </w:tcBorders>
            <w:shd w:val="clear" w:color="auto" w:fill="auto"/>
            <w:vAlign w:val="center"/>
          </w:tcPr>
          <w:p w14:paraId="0B9D059A" w14:textId="77777777" w:rsidR="00991E72" w:rsidRPr="0038283D"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281" w:type="dxa"/>
            <w:tcBorders>
              <w:top w:val="nil"/>
              <w:bottom w:val="nil"/>
            </w:tcBorders>
            <w:shd w:val="clear" w:color="auto" w:fill="auto"/>
            <w:vAlign w:val="center"/>
          </w:tcPr>
          <w:p w14:paraId="21ECAF20" w14:textId="77777777" w:rsidR="00991E72" w:rsidRPr="0038283D"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20" w:type="dxa"/>
            <w:tcBorders>
              <w:top w:val="nil"/>
              <w:bottom w:val="nil"/>
            </w:tcBorders>
            <w:shd w:val="clear" w:color="auto" w:fill="auto"/>
            <w:vAlign w:val="center"/>
          </w:tcPr>
          <w:p w14:paraId="100731B9" w14:textId="77777777" w:rsidR="00991E72" w:rsidRPr="0038283D"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417" w:type="dxa"/>
            <w:tcBorders>
              <w:top w:val="nil"/>
              <w:bottom w:val="nil"/>
            </w:tcBorders>
            <w:shd w:val="clear" w:color="auto" w:fill="auto"/>
            <w:vAlign w:val="center"/>
          </w:tcPr>
          <w:p w14:paraId="7F0B4A8A" w14:textId="77777777" w:rsidR="00991E72" w:rsidRPr="0038283D"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r>
      <w:tr w:rsidR="00991E72" w:rsidRPr="000E70DE" w14:paraId="5FF18B2B"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FAF1BC0" w14:textId="77777777" w:rsidR="00991E72" w:rsidRPr="00BD6C7E" w:rsidRDefault="00991E72" w:rsidP="00991E72">
            <w:pPr>
              <w:pStyle w:val="08-Tabelageral"/>
              <w:ind w:left="113"/>
              <w:jc w:val="left"/>
              <w:rPr>
                <w:b w:val="0"/>
                <w:lang w:val="en-US"/>
              </w:rPr>
            </w:pPr>
            <w:r w:rsidRPr="00BD6C7E">
              <w:rPr>
                <w:b w:val="0"/>
                <w:lang w:val="en-US"/>
              </w:rPr>
              <w:t>Financial assets at fair value through profit or loss</w:t>
            </w:r>
          </w:p>
        </w:tc>
        <w:tc>
          <w:tcPr>
            <w:tcW w:w="781" w:type="dxa"/>
            <w:tcBorders>
              <w:top w:val="nil"/>
              <w:bottom w:val="nil"/>
            </w:tcBorders>
            <w:shd w:val="clear" w:color="auto" w:fill="auto"/>
            <w:vAlign w:val="center"/>
          </w:tcPr>
          <w:p w14:paraId="3BC87196" w14:textId="77777777" w:rsidR="00991E72" w:rsidRPr="00BD6C7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r w:rsidRPr="002F1A89">
              <w:rPr>
                <w:bCs/>
              </w:rPr>
              <w:t>[16.a]</w:t>
            </w:r>
          </w:p>
        </w:tc>
        <w:tc>
          <w:tcPr>
            <w:tcW w:w="1345" w:type="dxa"/>
            <w:tcBorders>
              <w:top w:val="nil"/>
              <w:bottom w:val="nil"/>
            </w:tcBorders>
            <w:shd w:val="clear" w:color="auto" w:fill="auto"/>
            <w:vAlign w:val="center"/>
          </w:tcPr>
          <w:p w14:paraId="13BA635B" w14:textId="77777777" w:rsidR="00991E72" w:rsidRPr="00881572"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236B6F">
              <w:rPr>
                <w:bCs/>
              </w:rPr>
              <w:t>818</w:t>
            </w:r>
          </w:p>
        </w:tc>
        <w:tc>
          <w:tcPr>
            <w:tcW w:w="1418" w:type="dxa"/>
            <w:tcBorders>
              <w:top w:val="nil"/>
              <w:bottom w:val="nil"/>
            </w:tcBorders>
            <w:shd w:val="clear" w:color="auto" w:fill="auto"/>
            <w:vAlign w:val="center"/>
          </w:tcPr>
          <w:p w14:paraId="7082680E"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5B3390">
              <w:t>(1</w:t>
            </w:r>
            <w:r>
              <w:t>,</w:t>
            </w:r>
            <w:r w:rsidRPr="005B3390">
              <w:t>978)</w:t>
            </w:r>
          </w:p>
        </w:tc>
        <w:tc>
          <w:tcPr>
            <w:tcW w:w="281" w:type="dxa"/>
            <w:tcBorders>
              <w:top w:val="nil"/>
              <w:bottom w:val="nil"/>
            </w:tcBorders>
            <w:shd w:val="clear" w:color="auto" w:fill="auto"/>
            <w:vAlign w:val="center"/>
          </w:tcPr>
          <w:p w14:paraId="55DEE4A9"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62F6FFBC"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94A52">
              <w:rPr>
                <w:bCs/>
              </w:rPr>
              <w:t>818</w:t>
            </w:r>
          </w:p>
        </w:tc>
        <w:tc>
          <w:tcPr>
            <w:tcW w:w="1417" w:type="dxa"/>
            <w:tcBorders>
              <w:top w:val="nil"/>
              <w:bottom w:val="nil"/>
            </w:tcBorders>
            <w:shd w:val="clear" w:color="auto" w:fill="auto"/>
            <w:vAlign w:val="center"/>
          </w:tcPr>
          <w:p w14:paraId="38BDAF0E"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C280F">
              <w:t>(1</w:t>
            </w:r>
            <w:r>
              <w:t>,</w:t>
            </w:r>
            <w:r w:rsidRPr="00EC280F">
              <w:t>978)</w:t>
            </w:r>
          </w:p>
        </w:tc>
      </w:tr>
      <w:tr w:rsidR="00991E72" w:rsidRPr="000E70DE" w14:paraId="79BBCC52"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074DDB7" w14:textId="77777777" w:rsidR="00991E72" w:rsidRPr="00BD6C7E" w:rsidRDefault="00991E72" w:rsidP="00991E72">
            <w:pPr>
              <w:pStyle w:val="08-Tabelageral"/>
              <w:ind w:left="113"/>
              <w:jc w:val="left"/>
              <w:rPr>
                <w:b w:val="0"/>
                <w:lang w:val="en-US"/>
              </w:rPr>
            </w:pPr>
            <w:r w:rsidRPr="00BD6C7E">
              <w:rPr>
                <w:b w:val="0"/>
                <w:lang w:val="en-US"/>
              </w:rPr>
              <w:t>Current tax assets and deferred tax assets</w:t>
            </w:r>
          </w:p>
        </w:tc>
        <w:tc>
          <w:tcPr>
            <w:tcW w:w="781" w:type="dxa"/>
            <w:tcBorders>
              <w:top w:val="nil"/>
              <w:bottom w:val="nil"/>
            </w:tcBorders>
            <w:shd w:val="clear" w:color="auto" w:fill="auto"/>
            <w:vAlign w:val="center"/>
          </w:tcPr>
          <w:p w14:paraId="2E6AA14E"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4BBAEF6C"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236B6F">
              <w:t>(16</w:t>
            </w:r>
            <w:r>
              <w:t>,</w:t>
            </w:r>
            <w:r w:rsidRPr="00236B6F">
              <w:t>108)</w:t>
            </w:r>
          </w:p>
        </w:tc>
        <w:tc>
          <w:tcPr>
            <w:tcW w:w="1418" w:type="dxa"/>
            <w:tcBorders>
              <w:top w:val="nil"/>
              <w:bottom w:val="nil"/>
            </w:tcBorders>
            <w:shd w:val="clear" w:color="auto" w:fill="auto"/>
            <w:vAlign w:val="center"/>
          </w:tcPr>
          <w:p w14:paraId="5D7FE404"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5B3390">
              <w:t>(12</w:t>
            </w:r>
            <w:r>
              <w:t>,</w:t>
            </w:r>
            <w:r w:rsidRPr="005B3390">
              <w:t>275)</w:t>
            </w:r>
          </w:p>
        </w:tc>
        <w:tc>
          <w:tcPr>
            <w:tcW w:w="281" w:type="dxa"/>
            <w:tcBorders>
              <w:top w:val="nil"/>
              <w:bottom w:val="nil"/>
            </w:tcBorders>
            <w:shd w:val="clear" w:color="auto" w:fill="auto"/>
            <w:vAlign w:val="center"/>
          </w:tcPr>
          <w:p w14:paraId="0E5B48DE"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5F073733"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A94A52">
              <w:t>(40</w:t>
            </w:r>
            <w:r>
              <w:t>,</w:t>
            </w:r>
            <w:r w:rsidRPr="00A94A52">
              <w:t>507)</w:t>
            </w:r>
          </w:p>
        </w:tc>
        <w:tc>
          <w:tcPr>
            <w:tcW w:w="1417" w:type="dxa"/>
            <w:tcBorders>
              <w:top w:val="nil"/>
              <w:bottom w:val="nil"/>
            </w:tcBorders>
            <w:shd w:val="clear" w:color="auto" w:fill="auto"/>
            <w:vAlign w:val="center"/>
          </w:tcPr>
          <w:p w14:paraId="32DD9577"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EC280F">
              <w:t>(31</w:t>
            </w:r>
            <w:r>
              <w:t>,</w:t>
            </w:r>
            <w:r w:rsidRPr="00EC280F">
              <w:t>895)</w:t>
            </w:r>
          </w:p>
        </w:tc>
      </w:tr>
      <w:tr w:rsidR="00991E72" w:rsidRPr="000E70DE" w14:paraId="3A476627"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49A5AAE" w14:textId="77777777" w:rsidR="00991E72" w:rsidRPr="000E70DE" w:rsidRDefault="00991E72" w:rsidP="00991E72">
            <w:pPr>
              <w:pStyle w:val="08-Tabelageral"/>
              <w:ind w:left="113"/>
              <w:jc w:val="left"/>
              <w:rPr>
                <w:b w:val="0"/>
              </w:rPr>
            </w:pPr>
            <w:r w:rsidRPr="00E03629">
              <w:rPr>
                <w:b w:val="0"/>
              </w:rPr>
              <w:t>Commissions receivable</w:t>
            </w:r>
          </w:p>
        </w:tc>
        <w:tc>
          <w:tcPr>
            <w:tcW w:w="781" w:type="dxa"/>
            <w:tcBorders>
              <w:top w:val="nil"/>
              <w:bottom w:val="nil"/>
            </w:tcBorders>
            <w:shd w:val="clear" w:color="auto" w:fill="auto"/>
            <w:vAlign w:val="center"/>
          </w:tcPr>
          <w:p w14:paraId="2095867A" w14:textId="77777777" w:rsidR="00991E72" w:rsidRPr="000E70D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2354B1D1"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418" w:type="dxa"/>
            <w:tcBorders>
              <w:top w:val="nil"/>
              <w:bottom w:val="nil"/>
            </w:tcBorders>
            <w:shd w:val="clear" w:color="auto" w:fill="auto"/>
            <w:vAlign w:val="center"/>
          </w:tcPr>
          <w:p w14:paraId="03365AF3"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1" w:type="dxa"/>
            <w:tcBorders>
              <w:top w:val="nil"/>
              <w:bottom w:val="nil"/>
            </w:tcBorders>
            <w:shd w:val="clear" w:color="auto" w:fill="auto"/>
            <w:vAlign w:val="center"/>
          </w:tcPr>
          <w:p w14:paraId="574BBC58"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0F857249"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94A52">
              <w:t>(17</w:t>
            </w:r>
            <w:r>
              <w:t>,</w:t>
            </w:r>
            <w:r w:rsidRPr="00A94A52">
              <w:t>554)</w:t>
            </w:r>
          </w:p>
        </w:tc>
        <w:tc>
          <w:tcPr>
            <w:tcW w:w="1417" w:type="dxa"/>
            <w:tcBorders>
              <w:top w:val="nil"/>
              <w:bottom w:val="nil"/>
            </w:tcBorders>
            <w:shd w:val="clear" w:color="auto" w:fill="auto"/>
            <w:vAlign w:val="center"/>
          </w:tcPr>
          <w:p w14:paraId="0D7E1DBC"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C280F">
              <w:t>305</w:t>
            </w:r>
            <w:r>
              <w:t>,</w:t>
            </w:r>
            <w:r w:rsidRPr="00EC280F">
              <w:t>937</w:t>
            </w:r>
          </w:p>
        </w:tc>
      </w:tr>
      <w:tr w:rsidR="00991E72" w:rsidRPr="000E70DE" w14:paraId="677D4E06"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026AA20" w14:textId="77777777" w:rsidR="00991E72" w:rsidRPr="000E70DE" w:rsidRDefault="00991E72" w:rsidP="00991E72">
            <w:pPr>
              <w:pStyle w:val="08-Tabelageral"/>
              <w:ind w:left="113"/>
              <w:jc w:val="left"/>
              <w:rPr>
                <w:b w:val="0"/>
              </w:rPr>
            </w:pPr>
            <w:r w:rsidRPr="00E03629">
              <w:rPr>
                <w:b w:val="0"/>
              </w:rPr>
              <w:t>Other assets</w:t>
            </w:r>
          </w:p>
        </w:tc>
        <w:tc>
          <w:tcPr>
            <w:tcW w:w="781" w:type="dxa"/>
            <w:tcBorders>
              <w:top w:val="nil"/>
              <w:bottom w:val="nil"/>
            </w:tcBorders>
            <w:shd w:val="clear" w:color="auto" w:fill="auto"/>
            <w:vAlign w:val="center"/>
          </w:tcPr>
          <w:p w14:paraId="46598429" w14:textId="77777777" w:rsidR="00991E72" w:rsidRPr="000E70D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45" w:type="dxa"/>
            <w:tcBorders>
              <w:top w:val="nil"/>
              <w:bottom w:val="nil"/>
            </w:tcBorders>
            <w:shd w:val="clear" w:color="auto" w:fill="auto"/>
            <w:vAlign w:val="center"/>
          </w:tcPr>
          <w:p w14:paraId="7330005E"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236B6F">
              <w:t>(1</w:t>
            </w:r>
            <w:r>
              <w:t>,</w:t>
            </w:r>
            <w:r w:rsidRPr="00236B6F">
              <w:t>613)</w:t>
            </w:r>
          </w:p>
        </w:tc>
        <w:tc>
          <w:tcPr>
            <w:tcW w:w="1418" w:type="dxa"/>
            <w:tcBorders>
              <w:top w:val="nil"/>
              <w:bottom w:val="nil"/>
            </w:tcBorders>
            <w:shd w:val="clear" w:color="auto" w:fill="auto"/>
            <w:vAlign w:val="center"/>
          </w:tcPr>
          <w:p w14:paraId="138B106F"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5B3390">
              <w:t>(343)</w:t>
            </w:r>
          </w:p>
        </w:tc>
        <w:tc>
          <w:tcPr>
            <w:tcW w:w="281" w:type="dxa"/>
            <w:tcBorders>
              <w:top w:val="nil"/>
              <w:bottom w:val="nil"/>
            </w:tcBorders>
            <w:shd w:val="clear" w:color="auto" w:fill="auto"/>
            <w:vAlign w:val="center"/>
          </w:tcPr>
          <w:p w14:paraId="59023695"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44F4DE2D"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A94A52">
              <w:t>(7</w:t>
            </w:r>
            <w:r>
              <w:t>,</w:t>
            </w:r>
            <w:r w:rsidRPr="00A94A52">
              <w:t>477)</w:t>
            </w:r>
          </w:p>
        </w:tc>
        <w:tc>
          <w:tcPr>
            <w:tcW w:w="1417" w:type="dxa"/>
            <w:tcBorders>
              <w:top w:val="nil"/>
              <w:bottom w:val="nil"/>
            </w:tcBorders>
            <w:shd w:val="clear" w:color="auto" w:fill="auto"/>
            <w:vAlign w:val="center"/>
          </w:tcPr>
          <w:p w14:paraId="00FC3B58"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EC280F">
              <w:t>(2</w:t>
            </w:r>
            <w:r>
              <w:t>,</w:t>
            </w:r>
            <w:r w:rsidRPr="00EC280F">
              <w:t>702)</w:t>
            </w:r>
          </w:p>
        </w:tc>
      </w:tr>
      <w:tr w:rsidR="00991E72" w:rsidRPr="00073BA6" w14:paraId="38503E4A"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D2718B8" w14:textId="77777777" w:rsidR="00991E72" w:rsidRPr="000E70DE" w:rsidRDefault="00991E72" w:rsidP="00991E72">
            <w:pPr>
              <w:pStyle w:val="08-Tabelageral"/>
              <w:ind w:left="113"/>
              <w:jc w:val="left"/>
              <w:rPr>
                <w:b w:val="0"/>
              </w:rPr>
            </w:pPr>
            <w:r w:rsidRPr="00E03629">
              <w:rPr>
                <w:b w:val="0"/>
              </w:rPr>
              <w:t>Unearned commissions</w:t>
            </w:r>
          </w:p>
        </w:tc>
        <w:tc>
          <w:tcPr>
            <w:tcW w:w="781" w:type="dxa"/>
            <w:tcBorders>
              <w:top w:val="nil"/>
              <w:bottom w:val="nil"/>
            </w:tcBorders>
            <w:shd w:val="clear" w:color="auto" w:fill="auto"/>
            <w:vAlign w:val="center"/>
          </w:tcPr>
          <w:p w14:paraId="6FEC164B" w14:textId="77777777" w:rsidR="00991E72" w:rsidRPr="000E70D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4F203813"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418" w:type="dxa"/>
            <w:tcBorders>
              <w:top w:val="nil"/>
              <w:bottom w:val="nil"/>
            </w:tcBorders>
            <w:shd w:val="clear" w:color="auto" w:fill="auto"/>
            <w:vAlign w:val="center"/>
          </w:tcPr>
          <w:p w14:paraId="2214226C"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1" w:type="dxa"/>
            <w:tcBorders>
              <w:top w:val="nil"/>
              <w:bottom w:val="nil"/>
            </w:tcBorders>
            <w:shd w:val="clear" w:color="auto" w:fill="auto"/>
            <w:vAlign w:val="center"/>
          </w:tcPr>
          <w:p w14:paraId="797943D3"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3C2BF781" w14:textId="77777777" w:rsidR="00991E72" w:rsidRPr="00073BA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94A52">
              <w:t>189</w:t>
            </w:r>
            <w:r>
              <w:t>,</w:t>
            </w:r>
            <w:r w:rsidRPr="00A94A52">
              <w:t>067</w:t>
            </w:r>
          </w:p>
        </w:tc>
        <w:tc>
          <w:tcPr>
            <w:tcW w:w="1417" w:type="dxa"/>
            <w:tcBorders>
              <w:top w:val="nil"/>
              <w:bottom w:val="nil"/>
            </w:tcBorders>
            <w:shd w:val="clear" w:color="auto" w:fill="auto"/>
            <w:vAlign w:val="center"/>
          </w:tcPr>
          <w:p w14:paraId="7DC2E175" w14:textId="77777777" w:rsidR="00991E72" w:rsidRPr="00073BA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C280F">
              <w:t>(71</w:t>
            </w:r>
            <w:r>
              <w:t>,</w:t>
            </w:r>
            <w:r w:rsidRPr="00EC280F">
              <w:t>922)</w:t>
            </w:r>
          </w:p>
        </w:tc>
      </w:tr>
      <w:tr w:rsidR="00991E72" w:rsidRPr="00073BA6" w14:paraId="5F23FB1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9726F3A" w14:textId="77777777" w:rsidR="00991E72" w:rsidRPr="00BD6C7E" w:rsidRDefault="00991E72" w:rsidP="00991E72">
            <w:pPr>
              <w:pStyle w:val="08-Tabelageral"/>
              <w:ind w:left="113"/>
              <w:jc w:val="left"/>
              <w:rPr>
                <w:b w:val="0"/>
                <w:lang w:val="en-US"/>
              </w:rPr>
            </w:pPr>
            <w:r w:rsidRPr="00BD6C7E">
              <w:rPr>
                <w:b w:val="0"/>
                <w:lang w:val="en-US"/>
              </w:rPr>
              <w:t>Current tax liabilities and deferred tax liabilities</w:t>
            </w:r>
          </w:p>
        </w:tc>
        <w:tc>
          <w:tcPr>
            <w:tcW w:w="781" w:type="dxa"/>
            <w:tcBorders>
              <w:top w:val="nil"/>
              <w:bottom w:val="nil"/>
            </w:tcBorders>
            <w:shd w:val="clear" w:color="auto" w:fill="auto"/>
            <w:vAlign w:val="center"/>
          </w:tcPr>
          <w:p w14:paraId="3621F5D0"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45" w:type="dxa"/>
            <w:tcBorders>
              <w:top w:val="nil"/>
              <w:bottom w:val="nil"/>
            </w:tcBorders>
            <w:shd w:val="clear" w:color="auto" w:fill="auto"/>
            <w:vAlign w:val="center"/>
          </w:tcPr>
          <w:p w14:paraId="4FDFFC36"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236B6F">
              <w:t>526</w:t>
            </w:r>
          </w:p>
        </w:tc>
        <w:tc>
          <w:tcPr>
            <w:tcW w:w="1418" w:type="dxa"/>
            <w:tcBorders>
              <w:top w:val="nil"/>
              <w:bottom w:val="nil"/>
            </w:tcBorders>
            <w:shd w:val="clear" w:color="auto" w:fill="auto"/>
            <w:vAlign w:val="center"/>
          </w:tcPr>
          <w:p w14:paraId="5EDB80AD"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5B3390">
              <w:t>(379)</w:t>
            </w:r>
          </w:p>
        </w:tc>
        <w:tc>
          <w:tcPr>
            <w:tcW w:w="281" w:type="dxa"/>
            <w:tcBorders>
              <w:top w:val="nil"/>
              <w:bottom w:val="nil"/>
            </w:tcBorders>
            <w:shd w:val="clear" w:color="auto" w:fill="auto"/>
            <w:vAlign w:val="center"/>
          </w:tcPr>
          <w:p w14:paraId="25E45D9E" w14:textId="77777777" w:rsidR="00991E72" w:rsidRPr="000E70DE"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44E83809" w14:textId="77777777" w:rsidR="00991E72" w:rsidRPr="00073BA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A94A52">
              <w:t>(705</w:t>
            </w:r>
            <w:r>
              <w:t>,</w:t>
            </w:r>
            <w:r w:rsidRPr="00A94A52">
              <w:t>202)</w:t>
            </w:r>
          </w:p>
        </w:tc>
        <w:tc>
          <w:tcPr>
            <w:tcW w:w="1417" w:type="dxa"/>
            <w:tcBorders>
              <w:top w:val="nil"/>
              <w:bottom w:val="nil"/>
            </w:tcBorders>
            <w:shd w:val="clear" w:color="auto" w:fill="auto"/>
            <w:vAlign w:val="center"/>
          </w:tcPr>
          <w:p w14:paraId="1BBA8F9B" w14:textId="77777777" w:rsidR="00991E72" w:rsidRPr="00073BA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EC280F">
              <w:t>(507</w:t>
            </w:r>
            <w:r>
              <w:t>,</w:t>
            </w:r>
            <w:r w:rsidRPr="00EC280F">
              <w:t>156)</w:t>
            </w:r>
          </w:p>
        </w:tc>
      </w:tr>
      <w:tr w:rsidR="00991E72" w:rsidRPr="00073BA6" w14:paraId="63B3645B"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264434D" w14:textId="77777777" w:rsidR="00991E72" w:rsidRPr="000E70DE" w:rsidRDefault="00991E72" w:rsidP="00991E72">
            <w:pPr>
              <w:pStyle w:val="08-Tabelageral"/>
              <w:ind w:left="113"/>
              <w:jc w:val="left"/>
              <w:rPr>
                <w:b w:val="0"/>
              </w:rPr>
            </w:pPr>
            <w:r w:rsidRPr="00E03629">
              <w:rPr>
                <w:b w:val="0"/>
              </w:rPr>
              <w:t>Other liabilities</w:t>
            </w:r>
          </w:p>
        </w:tc>
        <w:tc>
          <w:tcPr>
            <w:tcW w:w="781" w:type="dxa"/>
            <w:tcBorders>
              <w:top w:val="nil"/>
              <w:bottom w:val="nil"/>
            </w:tcBorders>
            <w:shd w:val="clear" w:color="auto" w:fill="auto"/>
            <w:vAlign w:val="center"/>
          </w:tcPr>
          <w:p w14:paraId="5B769F50" w14:textId="77777777" w:rsidR="00991E72" w:rsidRPr="000E70D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70CA9EB2"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236B6F">
              <w:t>(1</w:t>
            </w:r>
            <w:r>
              <w:t>,</w:t>
            </w:r>
            <w:r w:rsidRPr="00236B6F">
              <w:t>35</w:t>
            </w:r>
            <w:r>
              <w:t>5</w:t>
            </w:r>
            <w:r w:rsidRPr="00236B6F">
              <w:t>)</w:t>
            </w:r>
          </w:p>
        </w:tc>
        <w:tc>
          <w:tcPr>
            <w:tcW w:w="1418" w:type="dxa"/>
            <w:tcBorders>
              <w:top w:val="nil"/>
              <w:bottom w:val="nil"/>
            </w:tcBorders>
            <w:shd w:val="clear" w:color="auto" w:fill="auto"/>
            <w:vAlign w:val="center"/>
          </w:tcPr>
          <w:p w14:paraId="28371351"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5B3390">
              <w:t>(6</w:t>
            </w:r>
            <w:r>
              <w:t>19</w:t>
            </w:r>
            <w:r w:rsidRPr="005B3390">
              <w:t>)</w:t>
            </w:r>
          </w:p>
        </w:tc>
        <w:tc>
          <w:tcPr>
            <w:tcW w:w="281" w:type="dxa"/>
            <w:tcBorders>
              <w:top w:val="nil"/>
              <w:bottom w:val="nil"/>
            </w:tcBorders>
            <w:shd w:val="clear" w:color="auto" w:fill="auto"/>
            <w:vAlign w:val="center"/>
          </w:tcPr>
          <w:p w14:paraId="63ECDF9E"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114B9E65" w14:textId="77777777" w:rsidR="00991E72" w:rsidRPr="000E70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94A52">
              <w:t>5</w:t>
            </w:r>
            <w:r>
              <w:t>,</w:t>
            </w:r>
            <w:r w:rsidRPr="00A94A52">
              <w:t>186</w:t>
            </w:r>
          </w:p>
        </w:tc>
        <w:tc>
          <w:tcPr>
            <w:tcW w:w="1417" w:type="dxa"/>
            <w:tcBorders>
              <w:top w:val="nil"/>
              <w:bottom w:val="nil"/>
            </w:tcBorders>
            <w:shd w:val="clear" w:color="auto" w:fill="auto"/>
            <w:vAlign w:val="center"/>
          </w:tcPr>
          <w:p w14:paraId="1D08550C" w14:textId="77777777" w:rsidR="00991E72" w:rsidRPr="00073BA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C280F">
              <w:t>57</w:t>
            </w:r>
            <w:r>
              <w:t>,</w:t>
            </w:r>
            <w:r w:rsidRPr="00EC280F">
              <w:t>472</w:t>
            </w:r>
          </w:p>
        </w:tc>
      </w:tr>
      <w:tr w:rsidR="00991E72" w:rsidRPr="006C6DAA" w14:paraId="7749D56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1DDD55" w14:textId="77777777" w:rsidR="00991E72" w:rsidRPr="00BD6C7E" w:rsidRDefault="00991E72" w:rsidP="00991E72">
            <w:pPr>
              <w:pStyle w:val="08-Tabelageral"/>
              <w:jc w:val="left"/>
              <w:rPr>
                <w:b w:val="0"/>
                <w:lang w:val="en-US"/>
              </w:rPr>
            </w:pPr>
            <w:r w:rsidRPr="00BD6C7E">
              <w:rPr>
                <w:lang w:val="en-US"/>
              </w:rPr>
              <w:t>Cash provided by operating activities</w:t>
            </w:r>
          </w:p>
        </w:tc>
        <w:tc>
          <w:tcPr>
            <w:tcW w:w="781" w:type="dxa"/>
            <w:tcBorders>
              <w:top w:val="nil"/>
              <w:bottom w:val="nil"/>
            </w:tcBorders>
            <w:shd w:val="clear" w:color="auto" w:fill="auto"/>
            <w:vAlign w:val="center"/>
          </w:tcPr>
          <w:p w14:paraId="38C103C2"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5FBA094F" w14:textId="77777777" w:rsidR="00991E72" w:rsidRPr="006C6DA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FA0024">
              <w:rPr>
                <w:b/>
                <w:bCs/>
              </w:rPr>
              <w:t>(20</w:t>
            </w:r>
            <w:r>
              <w:rPr>
                <w:b/>
                <w:bCs/>
              </w:rPr>
              <w:t>,</w:t>
            </w:r>
            <w:r w:rsidRPr="00FA0024">
              <w:rPr>
                <w:b/>
                <w:bCs/>
              </w:rPr>
              <w:t>066)</w:t>
            </w:r>
          </w:p>
        </w:tc>
        <w:tc>
          <w:tcPr>
            <w:tcW w:w="1418" w:type="dxa"/>
            <w:tcBorders>
              <w:top w:val="nil"/>
              <w:bottom w:val="nil"/>
            </w:tcBorders>
            <w:shd w:val="clear" w:color="auto" w:fill="auto"/>
            <w:vAlign w:val="center"/>
          </w:tcPr>
          <w:p w14:paraId="7F0401BF" w14:textId="77777777" w:rsidR="00991E72" w:rsidRPr="006C6DA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6C6DAA">
              <w:rPr>
                <w:b/>
                <w:bCs/>
                <w:lang w:val="en-US"/>
              </w:rPr>
              <w:t>(11,395)</w:t>
            </w:r>
          </w:p>
        </w:tc>
        <w:tc>
          <w:tcPr>
            <w:tcW w:w="281" w:type="dxa"/>
            <w:tcBorders>
              <w:top w:val="nil"/>
              <w:bottom w:val="nil"/>
            </w:tcBorders>
            <w:shd w:val="clear" w:color="auto" w:fill="auto"/>
            <w:vAlign w:val="center"/>
          </w:tcPr>
          <w:p w14:paraId="57C40BB9" w14:textId="77777777" w:rsidR="00991E72" w:rsidRPr="006C6DA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20" w:type="dxa"/>
            <w:tcBorders>
              <w:top w:val="nil"/>
              <w:bottom w:val="nil"/>
            </w:tcBorders>
            <w:shd w:val="clear" w:color="auto" w:fill="auto"/>
            <w:vAlign w:val="center"/>
          </w:tcPr>
          <w:p w14:paraId="1702A47B" w14:textId="77777777" w:rsidR="00991E72" w:rsidRPr="006C6DA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A94A52">
              <w:rPr>
                <w:b/>
                <w:bCs/>
              </w:rPr>
              <w:t>188</w:t>
            </w:r>
            <w:r>
              <w:rPr>
                <w:b/>
                <w:bCs/>
              </w:rPr>
              <w:t>,</w:t>
            </w:r>
            <w:r w:rsidRPr="00A94A52">
              <w:rPr>
                <w:b/>
                <w:bCs/>
              </w:rPr>
              <w:t>801</w:t>
            </w:r>
          </w:p>
        </w:tc>
        <w:tc>
          <w:tcPr>
            <w:tcW w:w="1417" w:type="dxa"/>
            <w:tcBorders>
              <w:top w:val="nil"/>
              <w:bottom w:val="nil"/>
            </w:tcBorders>
            <w:shd w:val="clear" w:color="auto" w:fill="auto"/>
            <w:vAlign w:val="center"/>
          </w:tcPr>
          <w:p w14:paraId="5B6CC837" w14:textId="77777777" w:rsidR="00991E72" w:rsidRPr="006C6DA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A42F85">
              <w:rPr>
                <w:rFonts w:cs="Arial"/>
                <w:b/>
                <w:bCs/>
                <w:szCs w:val="14"/>
              </w:rPr>
              <w:t>347</w:t>
            </w:r>
            <w:r>
              <w:rPr>
                <w:rFonts w:cs="Arial"/>
                <w:b/>
                <w:bCs/>
                <w:szCs w:val="14"/>
              </w:rPr>
              <w:t>,</w:t>
            </w:r>
            <w:r w:rsidRPr="00A42F85">
              <w:rPr>
                <w:rFonts w:cs="Arial"/>
                <w:b/>
                <w:bCs/>
                <w:szCs w:val="14"/>
              </w:rPr>
              <w:t>970</w:t>
            </w:r>
          </w:p>
        </w:tc>
      </w:tr>
      <w:tr w:rsidR="00991E72" w:rsidRPr="006C6DAA" w14:paraId="2D3FEDC8"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68C87B7" w14:textId="77777777" w:rsidR="00991E72" w:rsidRPr="006C6DAA" w:rsidRDefault="00991E72" w:rsidP="00991E72">
            <w:pPr>
              <w:pStyle w:val="08-Tabelageral"/>
              <w:ind w:left="113"/>
              <w:jc w:val="left"/>
              <w:rPr>
                <w:b w:val="0"/>
                <w:lang w:val="en-US"/>
              </w:rPr>
            </w:pPr>
          </w:p>
        </w:tc>
        <w:tc>
          <w:tcPr>
            <w:tcW w:w="781" w:type="dxa"/>
            <w:tcBorders>
              <w:top w:val="nil"/>
              <w:bottom w:val="nil"/>
            </w:tcBorders>
            <w:shd w:val="clear" w:color="auto" w:fill="auto"/>
            <w:vAlign w:val="center"/>
          </w:tcPr>
          <w:p w14:paraId="383F536B" w14:textId="77777777" w:rsidR="00991E72" w:rsidRPr="006C6DAA"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707004D6" w14:textId="77777777" w:rsidR="00991E72" w:rsidRPr="006C6DA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14768533" w14:textId="77777777" w:rsidR="00991E72" w:rsidRPr="006C6DA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21E0A7F5" w14:textId="77777777" w:rsidR="00991E72" w:rsidRPr="006C6DA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20" w:type="dxa"/>
            <w:tcBorders>
              <w:top w:val="nil"/>
              <w:bottom w:val="nil"/>
            </w:tcBorders>
            <w:shd w:val="clear" w:color="auto" w:fill="auto"/>
            <w:vAlign w:val="center"/>
          </w:tcPr>
          <w:p w14:paraId="42981ED9" w14:textId="77777777" w:rsidR="00991E72" w:rsidRPr="006C6DA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7" w:type="dxa"/>
            <w:tcBorders>
              <w:top w:val="nil"/>
              <w:bottom w:val="nil"/>
            </w:tcBorders>
            <w:shd w:val="clear" w:color="auto" w:fill="auto"/>
            <w:vAlign w:val="center"/>
          </w:tcPr>
          <w:p w14:paraId="60E43130" w14:textId="77777777" w:rsidR="00991E72" w:rsidRPr="006C6DA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991E72" w:rsidRPr="002E1E12" w14:paraId="5B82510D"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891E85A" w14:textId="77777777" w:rsidR="00991E72" w:rsidRPr="00BD6C7E" w:rsidRDefault="00991E72" w:rsidP="00991E72">
            <w:pPr>
              <w:pStyle w:val="08-Tabelageral"/>
              <w:jc w:val="left"/>
              <w:rPr>
                <w:b w:val="0"/>
                <w:lang w:val="en-US"/>
              </w:rPr>
            </w:pPr>
            <w:r w:rsidRPr="00BD6C7E">
              <w:rPr>
                <w:lang w:val="en-US"/>
              </w:rPr>
              <w:t>Cash flow from investment activities</w:t>
            </w:r>
          </w:p>
        </w:tc>
        <w:tc>
          <w:tcPr>
            <w:tcW w:w="781" w:type="dxa"/>
            <w:tcBorders>
              <w:top w:val="nil"/>
              <w:bottom w:val="nil"/>
            </w:tcBorders>
            <w:shd w:val="clear" w:color="auto" w:fill="auto"/>
            <w:vAlign w:val="center"/>
          </w:tcPr>
          <w:p w14:paraId="608B7E3D"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6276D72E"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0429E492"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563254E2"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20" w:type="dxa"/>
            <w:tcBorders>
              <w:top w:val="nil"/>
              <w:bottom w:val="nil"/>
            </w:tcBorders>
            <w:shd w:val="clear" w:color="auto" w:fill="auto"/>
            <w:vAlign w:val="center"/>
          </w:tcPr>
          <w:p w14:paraId="63EF4382"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7" w:type="dxa"/>
            <w:tcBorders>
              <w:top w:val="nil"/>
              <w:bottom w:val="nil"/>
            </w:tcBorders>
            <w:shd w:val="clear" w:color="auto" w:fill="auto"/>
            <w:vAlign w:val="center"/>
          </w:tcPr>
          <w:p w14:paraId="6CFDB129"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lang w:val="en-US"/>
              </w:rPr>
            </w:pPr>
          </w:p>
        </w:tc>
      </w:tr>
      <w:tr w:rsidR="00991E72" w:rsidRPr="008A4FF4" w14:paraId="5B221B26"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16C53F0" w14:textId="77777777" w:rsidR="00991E72" w:rsidRPr="00342342" w:rsidRDefault="00991E72" w:rsidP="00991E72">
            <w:pPr>
              <w:pStyle w:val="08-Tabelageral"/>
              <w:ind w:left="113"/>
              <w:jc w:val="left"/>
              <w:rPr>
                <w:b w:val="0"/>
                <w:highlight w:val="yellow"/>
                <w:lang w:val="en-US"/>
              </w:rPr>
            </w:pPr>
            <w:r w:rsidRPr="00342342">
              <w:rPr>
                <w:b w:val="0"/>
                <w:lang w:val="en-US"/>
              </w:rPr>
              <w:t>Investments in financial assets</w:t>
            </w:r>
            <w:r>
              <w:rPr>
                <w:b w:val="0"/>
                <w:lang w:val="en-US"/>
              </w:rPr>
              <w:t xml:space="preserve"> </w:t>
            </w:r>
            <w:r w:rsidRPr="00342342">
              <w:rPr>
                <w:b w:val="0"/>
                <w:lang w:val="en-US"/>
              </w:rPr>
              <w:t>at fair value through profit or loss</w:t>
            </w:r>
          </w:p>
        </w:tc>
        <w:tc>
          <w:tcPr>
            <w:tcW w:w="781" w:type="dxa"/>
            <w:tcBorders>
              <w:top w:val="nil"/>
              <w:bottom w:val="nil"/>
            </w:tcBorders>
            <w:shd w:val="clear" w:color="auto" w:fill="auto"/>
            <w:vAlign w:val="center"/>
          </w:tcPr>
          <w:p w14:paraId="23DCED77" w14:textId="77777777" w:rsidR="00991E72" w:rsidRPr="008A4FF4"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[16.a]</w:t>
            </w:r>
          </w:p>
        </w:tc>
        <w:tc>
          <w:tcPr>
            <w:tcW w:w="1345" w:type="dxa"/>
            <w:tcBorders>
              <w:top w:val="nil"/>
              <w:bottom w:val="nil"/>
            </w:tcBorders>
            <w:shd w:val="clear" w:color="auto" w:fill="auto"/>
            <w:vAlign w:val="center"/>
          </w:tcPr>
          <w:p w14:paraId="6D8EA873" w14:textId="77777777" w:rsidR="00991E72" w:rsidRPr="008A4FF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Pr>
                <w:rFonts w:cs="Arial"/>
                <w:szCs w:val="14"/>
              </w:rPr>
              <w:t>--</w:t>
            </w:r>
          </w:p>
        </w:tc>
        <w:tc>
          <w:tcPr>
            <w:tcW w:w="1418" w:type="dxa"/>
            <w:tcBorders>
              <w:top w:val="nil"/>
              <w:bottom w:val="nil"/>
            </w:tcBorders>
            <w:shd w:val="clear" w:color="auto" w:fill="auto"/>
            <w:vAlign w:val="center"/>
          </w:tcPr>
          <w:p w14:paraId="14E122CA" w14:textId="77777777" w:rsidR="00991E72" w:rsidRPr="008A4FF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t>--</w:t>
            </w:r>
          </w:p>
        </w:tc>
        <w:tc>
          <w:tcPr>
            <w:tcW w:w="281" w:type="dxa"/>
            <w:tcBorders>
              <w:top w:val="nil"/>
              <w:bottom w:val="nil"/>
            </w:tcBorders>
            <w:shd w:val="clear" w:color="auto" w:fill="auto"/>
            <w:vAlign w:val="center"/>
          </w:tcPr>
          <w:p w14:paraId="1C005F26" w14:textId="77777777" w:rsidR="00991E72" w:rsidRPr="008A4FF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420" w:type="dxa"/>
            <w:tcBorders>
              <w:top w:val="nil"/>
              <w:bottom w:val="nil"/>
            </w:tcBorders>
            <w:shd w:val="clear" w:color="auto" w:fill="auto"/>
            <w:vAlign w:val="center"/>
          </w:tcPr>
          <w:p w14:paraId="554EFE62" w14:textId="77777777" w:rsidR="00991E72" w:rsidRPr="008A4FF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A94A52">
              <w:rPr>
                <w:rFonts w:cs="Arial"/>
                <w:szCs w:val="14"/>
              </w:rPr>
              <w:t>(634</w:t>
            </w:r>
            <w:r>
              <w:rPr>
                <w:rFonts w:cs="Arial"/>
                <w:szCs w:val="14"/>
              </w:rPr>
              <w:t>,</w:t>
            </w:r>
            <w:r w:rsidRPr="00A94A52">
              <w:rPr>
                <w:rFonts w:cs="Arial"/>
                <w:szCs w:val="14"/>
              </w:rPr>
              <w:t>069)</w:t>
            </w:r>
          </w:p>
        </w:tc>
        <w:tc>
          <w:tcPr>
            <w:tcW w:w="1417" w:type="dxa"/>
            <w:tcBorders>
              <w:top w:val="nil"/>
              <w:bottom w:val="nil"/>
            </w:tcBorders>
            <w:shd w:val="clear" w:color="auto" w:fill="auto"/>
            <w:vAlign w:val="center"/>
          </w:tcPr>
          <w:p w14:paraId="5281DDAD" w14:textId="77777777" w:rsidR="00991E72" w:rsidRPr="008A4FF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t>--</w:t>
            </w:r>
          </w:p>
        </w:tc>
      </w:tr>
      <w:tr w:rsidR="00991E72" w:rsidRPr="00215D82" w14:paraId="3DAEE312"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67870D3" w14:textId="77777777" w:rsidR="00991E72" w:rsidRPr="00215D82" w:rsidRDefault="00991E72" w:rsidP="00991E72">
            <w:pPr>
              <w:pStyle w:val="08-Tabelageral"/>
              <w:ind w:left="113"/>
              <w:jc w:val="left"/>
              <w:rPr>
                <w:b w:val="0"/>
              </w:rPr>
            </w:pPr>
            <w:r w:rsidRPr="00E03629">
              <w:rPr>
                <w:b w:val="0"/>
              </w:rPr>
              <w:t>Dividends received</w:t>
            </w:r>
          </w:p>
        </w:tc>
        <w:tc>
          <w:tcPr>
            <w:tcW w:w="781" w:type="dxa"/>
            <w:tcBorders>
              <w:top w:val="nil"/>
              <w:bottom w:val="nil"/>
            </w:tcBorders>
            <w:shd w:val="clear" w:color="auto" w:fill="auto"/>
            <w:vAlign w:val="center"/>
          </w:tcPr>
          <w:p w14:paraId="158D1756" w14:textId="77777777" w:rsidR="00991E72" w:rsidRPr="00A74700"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pPr>
            <w:r w:rsidRPr="00E0461B">
              <w:t>[7.b]</w:t>
            </w:r>
          </w:p>
        </w:tc>
        <w:tc>
          <w:tcPr>
            <w:tcW w:w="1345" w:type="dxa"/>
            <w:tcBorders>
              <w:top w:val="nil"/>
              <w:bottom w:val="nil"/>
            </w:tcBorders>
            <w:shd w:val="clear" w:color="auto" w:fill="auto"/>
            <w:vAlign w:val="center"/>
          </w:tcPr>
          <w:p w14:paraId="60C4F90F" w14:textId="77777777" w:rsidR="00991E72" w:rsidRPr="00EC190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236B6F">
              <w:t>3</w:t>
            </w:r>
            <w:r>
              <w:t>,</w:t>
            </w:r>
            <w:r w:rsidRPr="00236B6F">
              <w:t>760</w:t>
            </w:r>
            <w:r>
              <w:t>,</w:t>
            </w:r>
            <w:r w:rsidRPr="00236B6F">
              <w:t>838</w:t>
            </w:r>
          </w:p>
        </w:tc>
        <w:tc>
          <w:tcPr>
            <w:tcW w:w="1418" w:type="dxa"/>
            <w:tcBorders>
              <w:top w:val="nil"/>
              <w:bottom w:val="nil"/>
            </w:tcBorders>
            <w:shd w:val="clear" w:color="auto" w:fill="auto"/>
            <w:vAlign w:val="center"/>
          </w:tcPr>
          <w:p w14:paraId="7F93A4D7" w14:textId="77777777" w:rsidR="00991E72" w:rsidRPr="00010EF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5B3390">
              <w:t>1</w:t>
            </w:r>
            <w:r>
              <w:t>,</w:t>
            </w:r>
            <w:r w:rsidRPr="005B3390">
              <w:t>594</w:t>
            </w:r>
            <w:r>
              <w:t>,</w:t>
            </w:r>
            <w:r w:rsidRPr="005B3390">
              <w:t>533</w:t>
            </w:r>
          </w:p>
        </w:tc>
        <w:tc>
          <w:tcPr>
            <w:tcW w:w="281" w:type="dxa"/>
            <w:tcBorders>
              <w:top w:val="nil"/>
              <w:bottom w:val="nil"/>
            </w:tcBorders>
            <w:shd w:val="clear" w:color="auto" w:fill="auto"/>
            <w:vAlign w:val="center"/>
          </w:tcPr>
          <w:p w14:paraId="5E27B7A0" w14:textId="77777777" w:rsidR="00991E72" w:rsidRPr="00010EF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34BC6824" w14:textId="77777777" w:rsidR="00991E72" w:rsidRPr="00010EF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A94A52">
              <w:t>934</w:t>
            </w:r>
            <w:r>
              <w:t>,</w:t>
            </w:r>
            <w:r w:rsidRPr="00A94A52">
              <w:t>500</w:t>
            </w:r>
          </w:p>
        </w:tc>
        <w:tc>
          <w:tcPr>
            <w:tcW w:w="1417" w:type="dxa"/>
            <w:tcBorders>
              <w:top w:val="nil"/>
              <w:bottom w:val="nil"/>
            </w:tcBorders>
            <w:shd w:val="clear" w:color="auto" w:fill="auto"/>
            <w:vAlign w:val="center"/>
          </w:tcPr>
          <w:p w14:paraId="3AF3FFF3" w14:textId="77777777" w:rsidR="00991E72" w:rsidRPr="00010EF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EC280F">
              <w:t>572</w:t>
            </w:r>
            <w:r>
              <w:t>,</w:t>
            </w:r>
            <w:r w:rsidRPr="00EC280F">
              <w:t>012</w:t>
            </w:r>
          </w:p>
        </w:tc>
      </w:tr>
      <w:tr w:rsidR="00991E72" w:rsidRPr="00215D82" w14:paraId="6C47381D"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94A028D" w14:textId="77777777" w:rsidR="00991E72" w:rsidRPr="00215D82" w:rsidRDefault="00991E72" w:rsidP="00991E72">
            <w:pPr>
              <w:pStyle w:val="08-Tabelageral"/>
              <w:ind w:left="113"/>
              <w:jc w:val="left"/>
              <w:rPr>
                <w:b w:val="0"/>
              </w:rPr>
            </w:pPr>
            <w:r w:rsidRPr="00F96E85">
              <w:rPr>
                <w:b w:val="0"/>
              </w:rPr>
              <w:t>Acquisition Asset</w:t>
            </w:r>
          </w:p>
        </w:tc>
        <w:tc>
          <w:tcPr>
            <w:tcW w:w="781" w:type="dxa"/>
            <w:tcBorders>
              <w:top w:val="nil"/>
              <w:bottom w:val="nil"/>
            </w:tcBorders>
            <w:shd w:val="clear" w:color="auto" w:fill="auto"/>
            <w:vAlign w:val="center"/>
          </w:tcPr>
          <w:p w14:paraId="2750D356" w14:textId="77777777" w:rsidR="00991E72" w:rsidRPr="009F7D17"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62C8444F" w14:textId="77777777" w:rsidR="00991E72" w:rsidRPr="00EC190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236B6F">
              <w:t>(88)</w:t>
            </w:r>
          </w:p>
        </w:tc>
        <w:tc>
          <w:tcPr>
            <w:tcW w:w="1418" w:type="dxa"/>
            <w:tcBorders>
              <w:top w:val="nil"/>
              <w:bottom w:val="nil"/>
            </w:tcBorders>
            <w:shd w:val="clear" w:color="auto" w:fill="auto"/>
            <w:vAlign w:val="center"/>
          </w:tcPr>
          <w:p w14:paraId="37F18223" w14:textId="77777777" w:rsidR="00991E72" w:rsidRPr="00010EF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5B3390">
              <w:t>(10</w:t>
            </w:r>
            <w:r>
              <w:t>3</w:t>
            </w:r>
            <w:r w:rsidRPr="005B3390">
              <w:t>)</w:t>
            </w:r>
          </w:p>
        </w:tc>
        <w:tc>
          <w:tcPr>
            <w:tcW w:w="281" w:type="dxa"/>
            <w:tcBorders>
              <w:top w:val="nil"/>
              <w:bottom w:val="nil"/>
            </w:tcBorders>
            <w:shd w:val="clear" w:color="auto" w:fill="auto"/>
            <w:vAlign w:val="center"/>
          </w:tcPr>
          <w:p w14:paraId="471A40B9" w14:textId="77777777" w:rsidR="00991E72" w:rsidRPr="00010EF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5531C209" w14:textId="77777777" w:rsidR="00991E72" w:rsidRPr="00010EF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A94A52">
              <w:t>(88)</w:t>
            </w:r>
          </w:p>
        </w:tc>
        <w:tc>
          <w:tcPr>
            <w:tcW w:w="1417" w:type="dxa"/>
            <w:tcBorders>
              <w:top w:val="nil"/>
              <w:bottom w:val="nil"/>
            </w:tcBorders>
            <w:shd w:val="clear" w:color="auto" w:fill="auto"/>
            <w:vAlign w:val="center"/>
          </w:tcPr>
          <w:p w14:paraId="70EDC263" w14:textId="77777777" w:rsidR="00991E72" w:rsidRPr="00010EF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C280F">
              <w:t>(103)</w:t>
            </w:r>
          </w:p>
        </w:tc>
      </w:tr>
      <w:tr w:rsidR="00991E72" w:rsidRPr="00010EFA" w14:paraId="2C5C1C8A"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3409CF6" w14:textId="77777777" w:rsidR="00991E72" w:rsidRPr="00BD6C7E" w:rsidRDefault="00991E72" w:rsidP="00991E72">
            <w:pPr>
              <w:pStyle w:val="08-Tabelageral"/>
              <w:jc w:val="left"/>
              <w:rPr>
                <w:b w:val="0"/>
                <w:lang w:val="en-US"/>
              </w:rPr>
            </w:pPr>
            <w:r w:rsidRPr="00BD6C7E">
              <w:rPr>
                <w:lang w:val="en-US"/>
              </w:rPr>
              <w:t>Cash provided by investment activities</w:t>
            </w:r>
          </w:p>
        </w:tc>
        <w:tc>
          <w:tcPr>
            <w:tcW w:w="781" w:type="dxa"/>
            <w:tcBorders>
              <w:top w:val="nil"/>
              <w:bottom w:val="nil"/>
            </w:tcBorders>
            <w:shd w:val="clear" w:color="auto" w:fill="auto"/>
            <w:vAlign w:val="center"/>
          </w:tcPr>
          <w:p w14:paraId="60D2368C"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345" w:type="dxa"/>
            <w:tcBorders>
              <w:top w:val="nil"/>
              <w:bottom w:val="nil"/>
            </w:tcBorders>
            <w:shd w:val="clear" w:color="auto" w:fill="auto"/>
            <w:vAlign w:val="center"/>
          </w:tcPr>
          <w:p w14:paraId="7B838701"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236B6F">
              <w:rPr>
                <w:b/>
                <w:bCs/>
              </w:rPr>
              <w:t>3</w:t>
            </w:r>
            <w:r>
              <w:rPr>
                <w:b/>
                <w:bCs/>
              </w:rPr>
              <w:t>,</w:t>
            </w:r>
            <w:r w:rsidRPr="00236B6F">
              <w:rPr>
                <w:b/>
                <w:bCs/>
              </w:rPr>
              <w:t>760</w:t>
            </w:r>
            <w:r>
              <w:rPr>
                <w:b/>
                <w:bCs/>
              </w:rPr>
              <w:t>,</w:t>
            </w:r>
            <w:r w:rsidRPr="00236B6F">
              <w:rPr>
                <w:b/>
                <w:bCs/>
              </w:rPr>
              <w:t>750</w:t>
            </w:r>
          </w:p>
        </w:tc>
        <w:tc>
          <w:tcPr>
            <w:tcW w:w="1418" w:type="dxa"/>
            <w:tcBorders>
              <w:top w:val="nil"/>
              <w:bottom w:val="nil"/>
            </w:tcBorders>
            <w:shd w:val="clear" w:color="auto" w:fill="auto"/>
            <w:vAlign w:val="center"/>
          </w:tcPr>
          <w:p w14:paraId="7FDF22A7"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5B3390">
              <w:rPr>
                <w:rFonts w:cs="Arial"/>
                <w:b/>
                <w:szCs w:val="14"/>
              </w:rPr>
              <w:t>1</w:t>
            </w:r>
            <w:r>
              <w:rPr>
                <w:rFonts w:cs="Arial"/>
                <w:b/>
                <w:szCs w:val="14"/>
              </w:rPr>
              <w:t>,</w:t>
            </w:r>
            <w:r w:rsidRPr="005B3390">
              <w:rPr>
                <w:rFonts w:cs="Arial"/>
                <w:b/>
                <w:szCs w:val="14"/>
              </w:rPr>
              <w:t>594</w:t>
            </w:r>
            <w:r>
              <w:rPr>
                <w:rFonts w:cs="Arial"/>
                <w:b/>
                <w:szCs w:val="14"/>
              </w:rPr>
              <w:t>,</w:t>
            </w:r>
            <w:r w:rsidRPr="005B3390">
              <w:rPr>
                <w:rFonts w:cs="Arial"/>
                <w:b/>
                <w:szCs w:val="14"/>
              </w:rPr>
              <w:t>43</w:t>
            </w:r>
            <w:r>
              <w:rPr>
                <w:rFonts w:cs="Arial"/>
                <w:b/>
                <w:szCs w:val="14"/>
              </w:rPr>
              <w:t>0</w:t>
            </w:r>
          </w:p>
        </w:tc>
        <w:tc>
          <w:tcPr>
            <w:tcW w:w="281" w:type="dxa"/>
            <w:tcBorders>
              <w:top w:val="nil"/>
              <w:bottom w:val="nil"/>
            </w:tcBorders>
            <w:shd w:val="clear" w:color="auto" w:fill="auto"/>
            <w:vAlign w:val="center"/>
          </w:tcPr>
          <w:p w14:paraId="2E415316"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0" w:type="dxa"/>
            <w:tcBorders>
              <w:top w:val="nil"/>
              <w:bottom w:val="nil"/>
            </w:tcBorders>
            <w:shd w:val="clear" w:color="auto" w:fill="auto"/>
            <w:vAlign w:val="center"/>
          </w:tcPr>
          <w:p w14:paraId="1B1D348F"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94A52">
              <w:rPr>
                <w:b/>
                <w:bCs/>
              </w:rPr>
              <w:t>300</w:t>
            </w:r>
            <w:r>
              <w:rPr>
                <w:b/>
                <w:bCs/>
              </w:rPr>
              <w:t>,</w:t>
            </w:r>
            <w:r w:rsidRPr="00A94A52">
              <w:rPr>
                <w:b/>
                <w:bCs/>
              </w:rPr>
              <w:t>343</w:t>
            </w:r>
          </w:p>
        </w:tc>
        <w:tc>
          <w:tcPr>
            <w:tcW w:w="1417" w:type="dxa"/>
            <w:tcBorders>
              <w:top w:val="nil"/>
              <w:bottom w:val="nil"/>
            </w:tcBorders>
            <w:shd w:val="clear" w:color="auto" w:fill="auto"/>
            <w:vAlign w:val="center"/>
          </w:tcPr>
          <w:p w14:paraId="4A7602F4"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C280F">
              <w:rPr>
                <w:rFonts w:cs="Arial"/>
                <w:b/>
                <w:szCs w:val="14"/>
              </w:rPr>
              <w:t>571</w:t>
            </w:r>
            <w:r>
              <w:rPr>
                <w:rFonts w:cs="Arial"/>
                <w:b/>
                <w:szCs w:val="14"/>
              </w:rPr>
              <w:t>,</w:t>
            </w:r>
            <w:r w:rsidRPr="00EC280F">
              <w:rPr>
                <w:rFonts w:cs="Arial"/>
                <w:b/>
                <w:szCs w:val="14"/>
              </w:rPr>
              <w:t>909</w:t>
            </w:r>
          </w:p>
        </w:tc>
      </w:tr>
      <w:tr w:rsidR="00991E72" w:rsidRPr="001D6BE8" w14:paraId="11CA9353"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4BFA210" w14:textId="77777777" w:rsidR="00991E72" w:rsidRPr="00CD3714" w:rsidRDefault="00991E72" w:rsidP="00991E72">
            <w:pPr>
              <w:pStyle w:val="08-Tabelageral"/>
              <w:jc w:val="left"/>
            </w:pPr>
          </w:p>
        </w:tc>
        <w:tc>
          <w:tcPr>
            <w:tcW w:w="781" w:type="dxa"/>
            <w:tcBorders>
              <w:top w:val="nil"/>
              <w:bottom w:val="nil"/>
            </w:tcBorders>
            <w:shd w:val="clear" w:color="auto" w:fill="auto"/>
            <w:vAlign w:val="center"/>
          </w:tcPr>
          <w:p w14:paraId="26B9280A" w14:textId="77777777" w:rsidR="00991E72" w:rsidRPr="00CF4B29"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345" w:type="dxa"/>
            <w:tcBorders>
              <w:top w:val="nil"/>
              <w:bottom w:val="nil"/>
            </w:tcBorders>
            <w:shd w:val="clear" w:color="auto" w:fill="auto"/>
            <w:vAlign w:val="center"/>
          </w:tcPr>
          <w:p w14:paraId="2841D483"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00826702" w14:textId="77777777" w:rsidR="00991E72" w:rsidRPr="00010EFA"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25B65ACC" w14:textId="77777777" w:rsidR="00991E72" w:rsidRPr="00010EF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5FC5F7E2" w14:textId="77777777" w:rsidR="00991E72" w:rsidRPr="00010EFA"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48C39226" w14:textId="77777777" w:rsidR="00991E72" w:rsidRPr="00010EFA"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r>
      <w:tr w:rsidR="00991E72" w:rsidRPr="002E1E12" w14:paraId="1AD9053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38290A0" w14:textId="77777777" w:rsidR="00991E72" w:rsidRPr="00BD6C7E" w:rsidRDefault="00991E72" w:rsidP="00991E72">
            <w:pPr>
              <w:pStyle w:val="08-Tabelageral"/>
              <w:jc w:val="left"/>
              <w:rPr>
                <w:lang w:val="en-US"/>
              </w:rPr>
            </w:pPr>
            <w:r w:rsidRPr="00BD6C7E">
              <w:rPr>
                <w:lang w:val="en-US"/>
              </w:rPr>
              <w:t>Cash flow from financing activities</w:t>
            </w:r>
          </w:p>
        </w:tc>
        <w:tc>
          <w:tcPr>
            <w:tcW w:w="781" w:type="dxa"/>
            <w:tcBorders>
              <w:top w:val="nil"/>
              <w:bottom w:val="nil"/>
            </w:tcBorders>
            <w:shd w:val="clear" w:color="auto" w:fill="auto"/>
            <w:vAlign w:val="center"/>
          </w:tcPr>
          <w:p w14:paraId="62F309D0" w14:textId="77777777" w:rsidR="00991E72" w:rsidRPr="00BD6C7E"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szCs w:val="14"/>
                <w:lang w:val="en-US"/>
              </w:rPr>
            </w:pPr>
          </w:p>
        </w:tc>
        <w:tc>
          <w:tcPr>
            <w:tcW w:w="1345" w:type="dxa"/>
            <w:tcBorders>
              <w:top w:val="nil"/>
              <w:bottom w:val="nil"/>
            </w:tcBorders>
            <w:shd w:val="clear" w:color="auto" w:fill="auto"/>
            <w:vAlign w:val="center"/>
          </w:tcPr>
          <w:p w14:paraId="20CC598A"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8" w:type="dxa"/>
            <w:tcBorders>
              <w:top w:val="nil"/>
              <w:bottom w:val="nil"/>
            </w:tcBorders>
            <w:shd w:val="clear" w:color="auto" w:fill="auto"/>
            <w:vAlign w:val="center"/>
          </w:tcPr>
          <w:p w14:paraId="5A93C8F7"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81" w:type="dxa"/>
            <w:tcBorders>
              <w:top w:val="nil"/>
              <w:bottom w:val="nil"/>
            </w:tcBorders>
            <w:shd w:val="clear" w:color="auto" w:fill="auto"/>
            <w:vAlign w:val="center"/>
          </w:tcPr>
          <w:p w14:paraId="729190A8"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20" w:type="dxa"/>
            <w:tcBorders>
              <w:top w:val="nil"/>
              <w:bottom w:val="nil"/>
            </w:tcBorders>
            <w:shd w:val="clear" w:color="auto" w:fill="auto"/>
            <w:vAlign w:val="center"/>
          </w:tcPr>
          <w:p w14:paraId="55677092"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7" w:type="dxa"/>
            <w:tcBorders>
              <w:top w:val="nil"/>
              <w:bottom w:val="nil"/>
            </w:tcBorders>
            <w:shd w:val="clear" w:color="auto" w:fill="auto"/>
            <w:vAlign w:val="center"/>
          </w:tcPr>
          <w:p w14:paraId="7C566E79" w14:textId="77777777" w:rsidR="00991E72" w:rsidRPr="00BD6C7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991E72" w:rsidRPr="0042427F" w14:paraId="5C8C8CF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2A96F70" w14:textId="77777777" w:rsidR="00991E72" w:rsidRPr="0042427F" w:rsidRDefault="00991E72" w:rsidP="00991E72">
            <w:pPr>
              <w:pStyle w:val="08-Tabelageral"/>
              <w:ind w:left="113"/>
              <w:jc w:val="left"/>
              <w:rPr>
                <w:b w:val="0"/>
              </w:rPr>
            </w:pPr>
            <w:r w:rsidRPr="00AF12C2">
              <w:rPr>
                <w:b w:val="0"/>
              </w:rPr>
              <w:t>Dividends paid</w:t>
            </w:r>
          </w:p>
        </w:tc>
        <w:tc>
          <w:tcPr>
            <w:tcW w:w="781" w:type="dxa"/>
            <w:tcBorders>
              <w:top w:val="nil"/>
              <w:bottom w:val="nil"/>
            </w:tcBorders>
            <w:shd w:val="clear" w:color="auto" w:fill="auto"/>
            <w:vAlign w:val="center"/>
          </w:tcPr>
          <w:p w14:paraId="0924E379" w14:textId="77777777" w:rsidR="00991E72" w:rsidRPr="0042427F"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67374CE1" w14:textId="77777777" w:rsidR="00991E72" w:rsidRPr="00EC190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236B6F">
              <w:t>(3</w:t>
            </w:r>
            <w:r>
              <w:t>,</w:t>
            </w:r>
            <w:r w:rsidRPr="00236B6F">
              <w:t>751</w:t>
            </w:r>
            <w:r>
              <w:t>,</w:t>
            </w:r>
            <w:r w:rsidRPr="00236B6F">
              <w:t>008)</w:t>
            </w:r>
          </w:p>
        </w:tc>
        <w:tc>
          <w:tcPr>
            <w:tcW w:w="1418" w:type="dxa"/>
            <w:tcBorders>
              <w:top w:val="nil"/>
              <w:bottom w:val="nil"/>
            </w:tcBorders>
            <w:shd w:val="clear" w:color="auto" w:fill="auto"/>
            <w:vAlign w:val="center"/>
          </w:tcPr>
          <w:p w14:paraId="4F8D4F38" w14:textId="77777777" w:rsidR="00991E72" w:rsidRPr="0042427F"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5B3390">
              <w:t>(1</w:t>
            </w:r>
            <w:r>
              <w:t>,</w:t>
            </w:r>
            <w:r w:rsidRPr="005B3390">
              <w:t>857</w:t>
            </w:r>
            <w:r>
              <w:t>,</w:t>
            </w:r>
            <w:r w:rsidRPr="005B3390">
              <w:t>011)</w:t>
            </w:r>
          </w:p>
        </w:tc>
        <w:tc>
          <w:tcPr>
            <w:tcW w:w="281" w:type="dxa"/>
            <w:tcBorders>
              <w:top w:val="nil"/>
              <w:bottom w:val="nil"/>
            </w:tcBorders>
            <w:shd w:val="clear" w:color="auto" w:fill="auto"/>
            <w:vAlign w:val="center"/>
          </w:tcPr>
          <w:p w14:paraId="7B24FE5E" w14:textId="77777777" w:rsidR="00991E72" w:rsidRPr="0096650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553F52FC" w14:textId="77777777" w:rsidR="00991E72" w:rsidRPr="0096650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606C8">
              <w:t>(3</w:t>
            </w:r>
            <w:r>
              <w:t>,</w:t>
            </w:r>
            <w:r w:rsidRPr="00E606C8">
              <w:t>751</w:t>
            </w:r>
            <w:r>
              <w:t>,</w:t>
            </w:r>
            <w:r w:rsidRPr="00E606C8">
              <w:t>008)</w:t>
            </w:r>
          </w:p>
        </w:tc>
        <w:tc>
          <w:tcPr>
            <w:tcW w:w="1417" w:type="dxa"/>
            <w:tcBorders>
              <w:top w:val="nil"/>
              <w:bottom w:val="nil"/>
            </w:tcBorders>
            <w:shd w:val="clear" w:color="auto" w:fill="auto"/>
            <w:vAlign w:val="center"/>
          </w:tcPr>
          <w:p w14:paraId="795F6AAE" w14:textId="77777777" w:rsidR="00991E72" w:rsidRPr="0042427F"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C280F">
              <w:t>(1</w:t>
            </w:r>
            <w:r>
              <w:t>,</w:t>
            </w:r>
            <w:r w:rsidRPr="00EC280F">
              <w:t>857</w:t>
            </w:r>
            <w:r>
              <w:t>,</w:t>
            </w:r>
            <w:r w:rsidRPr="00EC280F">
              <w:t>011)</w:t>
            </w:r>
          </w:p>
        </w:tc>
      </w:tr>
      <w:tr w:rsidR="00991E72" w:rsidRPr="0042427F" w14:paraId="5D7E16C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70803F2" w14:textId="77777777" w:rsidR="00991E72" w:rsidRPr="00BD6C7E" w:rsidRDefault="00991E72" w:rsidP="00991E72">
            <w:pPr>
              <w:pStyle w:val="08-Tabelageral"/>
              <w:jc w:val="left"/>
              <w:rPr>
                <w:lang w:val="en-US"/>
              </w:rPr>
            </w:pPr>
            <w:r w:rsidRPr="00BD6C7E">
              <w:rPr>
                <w:lang w:val="en-US"/>
              </w:rPr>
              <w:t>Cash flow provided by financing activities</w:t>
            </w:r>
          </w:p>
        </w:tc>
        <w:tc>
          <w:tcPr>
            <w:tcW w:w="781" w:type="dxa"/>
            <w:tcBorders>
              <w:top w:val="nil"/>
              <w:bottom w:val="nil"/>
            </w:tcBorders>
            <w:shd w:val="clear" w:color="auto" w:fill="auto"/>
            <w:vAlign w:val="center"/>
          </w:tcPr>
          <w:p w14:paraId="298C2133" w14:textId="77777777" w:rsidR="00991E72" w:rsidRPr="00D2760A"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bCs/>
                <w:lang w:val="en-US"/>
              </w:rPr>
            </w:pPr>
          </w:p>
        </w:tc>
        <w:tc>
          <w:tcPr>
            <w:tcW w:w="1345" w:type="dxa"/>
            <w:tcBorders>
              <w:top w:val="nil"/>
              <w:bottom w:val="nil"/>
            </w:tcBorders>
            <w:shd w:val="clear" w:color="auto" w:fill="auto"/>
            <w:vAlign w:val="center"/>
          </w:tcPr>
          <w:p w14:paraId="7FE26389" w14:textId="77777777" w:rsidR="00991E72" w:rsidRPr="00D2760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236B6F">
              <w:rPr>
                <w:b/>
                <w:bCs/>
              </w:rPr>
              <w:t>(3</w:t>
            </w:r>
            <w:r>
              <w:rPr>
                <w:b/>
                <w:bCs/>
              </w:rPr>
              <w:t>,</w:t>
            </w:r>
            <w:r w:rsidRPr="00236B6F">
              <w:rPr>
                <w:b/>
                <w:bCs/>
              </w:rPr>
              <w:t>751</w:t>
            </w:r>
            <w:r>
              <w:rPr>
                <w:b/>
                <w:bCs/>
              </w:rPr>
              <w:t>,</w:t>
            </w:r>
            <w:r w:rsidRPr="00236B6F">
              <w:rPr>
                <w:b/>
                <w:bCs/>
              </w:rPr>
              <w:t>008)</w:t>
            </w:r>
          </w:p>
        </w:tc>
        <w:tc>
          <w:tcPr>
            <w:tcW w:w="1418" w:type="dxa"/>
            <w:tcBorders>
              <w:top w:val="nil"/>
              <w:bottom w:val="nil"/>
            </w:tcBorders>
            <w:shd w:val="clear" w:color="auto" w:fill="auto"/>
            <w:vAlign w:val="center"/>
          </w:tcPr>
          <w:p w14:paraId="2B117FF3" w14:textId="77777777" w:rsidR="00991E72" w:rsidRPr="00D2760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236B6F">
              <w:rPr>
                <w:b/>
                <w:bCs/>
              </w:rPr>
              <w:t>(1</w:t>
            </w:r>
            <w:r>
              <w:rPr>
                <w:b/>
                <w:bCs/>
              </w:rPr>
              <w:t>,</w:t>
            </w:r>
            <w:r w:rsidRPr="00236B6F">
              <w:rPr>
                <w:b/>
                <w:bCs/>
              </w:rPr>
              <w:t>857</w:t>
            </w:r>
            <w:r>
              <w:rPr>
                <w:b/>
                <w:bCs/>
              </w:rPr>
              <w:t>,</w:t>
            </w:r>
            <w:r w:rsidRPr="00236B6F">
              <w:rPr>
                <w:b/>
                <w:bCs/>
              </w:rPr>
              <w:t>011)</w:t>
            </w:r>
          </w:p>
        </w:tc>
        <w:tc>
          <w:tcPr>
            <w:tcW w:w="281" w:type="dxa"/>
            <w:tcBorders>
              <w:top w:val="nil"/>
              <w:bottom w:val="nil"/>
            </w:tcBorders>
            <w:shd w:val="clear" w:color="auto" w:fill="auto"/>
            <w:vAlign w:val="center"/>
          </w:tcPr>
          <w:p w14:paraId="59664672" w14:textId="77777777" w:rsidR="00991E72" w:rsidRPr="00D2760A"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bCs/>
              </w:rPr>
            </w:pPr>
          </w:p>
        </w:tc>
        <w:tc>
          <w:tcPr>
            <w:tcW w:w="1420" w:type="dxa"/>
            <w:tcBorders>
              <w:top w:val="nil"/>
              <w:bottom w:val="nil"/>
            </w:tcBorders>
            <w:shd w:val="clear" w:color="auto" w:fill="auto"/>
            <w:vAlign w:val="center"/>
          </w:tcPr>
          <w:p w14:paraId="43A973F5" w14:textId="77777777" w:rsidR="00991E72" w:rsidRPr="00D2760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9626F">
              <w:rPr>
                <w:b/>
                <w:bCs/>
              </w:rPr>
              <w:t>(3</w:t>
            </w:r>
            <w:r>
              <w:rPr>
                <w:b/>
                <w:bCs/>
              </w:rPr>
              <w:t>,</w:t>
            </w:r>
            <w:r w:rsidRPr="00E9626F">
              <w:rPr>
                <w:b/>
                <w:bCs/>
              </w:rPr>
              <w:t>751</w:t>
            </w:r>
            <w:r>
              <w:rPr>
                <w:b/>
                <w:bCs/>
              </w:rPr>
              <w:t>,</w:t>
            </w:r>
            <w:r w:rsidRPr="00E9626F">
              <w:rPr>
                <w:b/>
                <w:bCs/>
              </w:rPr>
              <w:t>008)</w:t>
            </w:r>
          </w:p>
        </w:tc>
        <w:tc>
          <w:tcPr>
            <w:tcW w:w="1417" w:type="dxa"/>
            <w:tcBorders>
              <w:top w:val="nil"/>
              <w:bottom w:val="nil"/>
            </w:tcBorders>
            <w:shd w:val="clear" w:color="auto" w:fill="auto"/>
            <w:vAlign w:val="center"/>
          </w:tcPr>
          <w:p w14:paraId="56D25119" w14:textId="77777777" w:rsidR="00991E72" w:rsidRPr="00D2760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9626F">
              <w:rPr>
                <w:b/>
                <w:bCs/>
              </w:rPr>
              <w:t>(1</w:t>
            </w:r>
            <w:r>
              <w:rPr>
                <w:b/>
                <w:bCs/>
              </w:rPr>
              <w:t>,</w:t>
            </w:r>
            <w:r w:rsidRPr="00E9626F">
              <w:rPr>
                <w:b/>
                <w:bCs/>
              </w:rPr>
              <w:t>857</w:t>
            </w:r>
            <w:r>
              <w:rPr>
                <w:b/>
                <w:bCs/>
              </w:rPr>
              <w:t>,</w:t>
            </w:r>
            <w:r w:rsidRPr="00E9626F">
              <w:rPr>
                <w:b/>
                <w:bCs/>
              </w:rPr>
              <w:t>011)</w:t>
            </w:r>
          </w:p>
        </w:tc>
      </w:tr>
      <w:tr w:rsidR="00991E72" w:rsidRPr="001D6BE8" w14:paraId="1BFD965D"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93CC34F" w14:textId="77777777" w:rsidR="00991E72" w:rsidRPr="0038031F" w:rsidRDefault="00991E72" w:rsidP="00991E72">
            <w:pPr>
              <w:pStyle w:val="08-Tabelageral"/>
              <w:ind w:left="32"/>
              <w:jc w:val="left"/>
              <w:rPr>
                <w:b w:val="0"/>
              </w:rPr>
            </w:pPr>
          </w:p>
        </w:tc>
        <w:tc>
          <w:tcPr>
            <w:tcW w:w="781" w:type="dxa"/>
            <w:tcBorders>
              <w:top w:val="nil"/>
              <w:bottom w:val="nil"/>
            </w:tcBorders>
            <w:shd w:val="clear" w:color="auto" w:fill="auto"/>
            <w:vAlign w:val="center"/>
          </w:tcPr>
          <w:p w14:paraId="3B1D8092" w14:textId="77777777" w:rsidR="00991E72" w:rsidRPr="00CF4B29"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345" w:type="dxa"/>
            <w:tcBorders>
              <w:top w:val="nil"/>
              <w:bottom w:val="nil"/>
            </w:tcBorders>
            <w:shd w:val="clear" w:color="auto" w:fill="auto"/>
            <w:vAlign w:val="center"/>
          </w:tcPr>
          <w:p w14:paraId="75DA36D4"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4F766265"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0BA98E71"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02CA3F0D"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23E17977"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r>
      <w:tr w:rsidR="00991E72" w:rsidRPr="00354D74" w14:paraId="1F405A0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A7E26E1" w14:textId="77777777" w:rsidR="00991E72" w:rsidRPr="00BD6C7E" w:rsidRDefault="00991E72" w:rsidP="00991E72">
            <w:pPr>
              <w:pStyle w:val="08-Tabelageral"/>
              <w:jc w:val="left"/>
              <w:rPr>
                <w:lang w:val="en-US"/>
              </w:rPr>
            </w:pPr>
            <w:r w:rsidRPr="00BD6C7E">
              <w:rPr>
                <w:lang w:val="en-US"/>
              </w:rPr>
              <w:t>Net change in cash and cash equivalents</w:t>
            </w:r>
          </w:p>
        </w:tc>
        <w:tc>
          <w:tcPr>
            <w:tcW w:w="781" w:type="dxa"/>
            <w:tcBorders>
              <w:top w:val="nil"/>
              <w:bottom w:val="nil"/>
            </w:tcBorders>
            <w:shd w:val="clear" w:color="auto" w:fill="auto"/>
            <w:vAlign w:val="center"/>
          </w:tcPr>
          <w:p w14:paraId="04A66F51" w14:textId="77777777" w:rsidR="00991E72" w:rsidRPr="0038283D"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345" w:type="dxa"/>
            <w:tcBorders>
              <w:top w:val="nil"/>
              <w:left w:val="nil"/>
              <w:bottom w:val="nil"/>
              <w:right w:val="nil"/>
            </w:tcBorders>
            <w:shd w:val="clear" w:color="auto" w:fill="auto"/>
            <w:vAlign w:val="center"/>
          </w:tcPr>
          <w:p w14:paraId="00092749" w14:textId="77777777" w:rsidR="00991E72" w:rsidRPr="0088157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FA0024">
              <w:rPr>
                <w:b/>
                <w:bCs/>
              </w:rPr>
              <w:t>(10</w:t>
            </w:r>
            <w:r>
              <w:rPr>
                <w:b/>
                <w:bCs/>
              </w:rPr>
              <w:t>,</w:t>
            </w:r>
            <w:r w:rsidRPr="00FA0024">
              <w:rPr>
                <w:b/>
                <w:bCs/>
              </w:rPr>
              <w:t>324)</w:t>
            </w:r>
          </w:p>
        </w:tc>
        <w:tc>
          <w:tcPr>
            <w:tcW w:w="1418" w:type="dxa"/>
            <w:tcBorders>
              <w:top w:val="nil"/>
              <w:left w:val="nil"/>
              <w:bottom w:val="nil"/>
              <w:right w:val="nil"/>
            </w:tcBorders>
            <w:shd w:val="clear" w:color="auto" w:fill="auto"/>
            <w:vAlign w:val="center"/>
          </w:tcPr>
          <w:p w14:paraId="7A34B91D" w14:textId="77777777" w:rsidR="00991E72" w:rsidRPr="0084302C"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FA0024">
              <w:rPr>
                <w:b/>
                <w:bCs/>
              </w:rPr>
              <w:t>(273</w:t>
            </w:r>
            <w:r>
              <w:rPr>
                <w:b/>
                <w:bCs/>
              </w:rPr>
              <w:t>,</w:t>
            </w:r>
            <w:r w:rsidRPr="00FA0024">
              <w:rPr>
                <w:b/>
                <w:bCs/>
              </w:rPr>
              <w:t>976)</w:t>
            </w:r>
          </w:p>
        </w:tc>
        <w:tc>
          <w:tcPr>
            <w:tcW w:w="281" w:type="dxa"/>
            <w:tcBorders>
              <w:top w:val="nil"/>
              <w:bottom w:val="nil"/>
            </w:tcBorders>
            <w:shd w:val="clear" w:color="auto" w:fill="auto"/>
            <w:vAlign w:val="center"/>
          </w:tcPr>
          <w:p w14:paraId="53AE8412" w14:textId="77777777" w:rsidR="00991E72" w:rsidRPr="0084302C"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0" w:type="dxa"/>
            <w:tcBorders>
              <w:top w:val="nil"/>
              <w:left w:val="nil"/>
              <w:bottom w:val="nil"/>
              <w:right w:val="nil"/>
            </w:tcBorders>
            <w:shd w:val="clear" w:color="auto" w:fill="auto"/>
            <w:vAlign w:val="center"/>
          </w:tcPr>
          <w:p w14:paraId="690D9BCD" w14:textId="77777777" w:rsidR="00991E72" w:rsidRPr="0084302C"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606C8">
              <w:rPr>
                <w:b/>
                <w:bCs/>
              </w:rPr>
              <w:t>(3</w:t>
            </w:r>
            <w:r>
              <w:rPr>
                <w:b/>
                <w:bCs/>
              </w:rPr>
              <w:t>,</w:t>
            </w:r>
            <w:r w:rsidRPr="00E606C8">
              <w:rPr>
                <w:b/>
                <w:bCs/>
              </w:rPr>
              <w:t>261</w:t>
            </w:r>
            <w:r>
              <w:rPr>
                <w:b/>
                <w:bCs/>
              </w:rPr>
              <w:t>,</w:t>
            </w:r>
            <w:r w:rsidRPr="00E606C8">
              <w:rPr>
                <w:b/>
                <w:bCs/>
              </w:rPr>
              <w:t>864)</w:t>
            </w:r>
          </w:p>
        </w:tc>
        <w:tc>
          <w:tcPr>
            <w:tcW w:w="1417" w:type="dxa"/>
            <w:tcBorders>
              <w:top w:val="nil"/>
              <w:left w:val="nil"/>
              <w:bottom w:val="nil"/>
              <w:right w:val="nil"/>
            </w:tcBorders>
            <w:shd w:val="clear" w:color="auto" w:fill="auto"/>
            <w:vAlign w:val="center"/>
          </w:tcPr>
          <w:p w14:paraId="4A1EEB94" w14:textId="77777777" w:rsidR="00991E72" w:rsidRPr="0084302C"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606C8">
              <w:rPr>
                <w:b/>
                <w:bCs/>
              </w:rPr>
              <w:t xml:space="preserve"> (937</w:t>
            </w:r>
            <w:r>
              <w:rPr>
                <w:b/>
                <w:bCs/>
              </w:rPr>
              <w:t>,</w:t>
            </w:r>
            <w:r w:rsidRPr="00E606C8">
              <w:rPr>
                <w:b/>
                <w:bCs/>
              </w:rPr>
              <w:t>132)</w:t>
            </w:r>
          </w:p>
        </w:tc>
      </w:tr>
      <w:tr w:rsidR="00991E72" w:rsidRPr="00354D74" w14:paraId="59852C8E"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2CA2FB6" w14:textId="77777777" w:rsidR="00991E72" w:rsidRPr="00354D74" w:rsidRDefault="00991E72" w:rsidP="00991E72">
            <w:pPr>
              <w:pStyle w:val="08-Tabelageral"/>
              <w:ind w:left="113"/>
              <w:jc w:val="left"/>
              <w:rPr>
                <w:b w:val="0"/>
              </w:rPr>
            </w:pPr>
            <w:r w:rsidRPr="00AF12C2">
              <w:rPr>
                <w:b w:val="0"/>
              </w:rPr>
              <w:t>Opening balance</w:t>
            </w:r>
          </w:p>
        </w:tc>
        <w:tc>
          <w:tcPr>
            <w:tcW w:w="781" w:type="dxa"/>
            <w:tcBorders>
              <w:top w:val="nil"/>
              <w:bottom w:val="nil"/>
            </w:tcBorders>
            <w:shd w:val="clear" w:color="auto" w:fill="auto"/>
            <w:vAlign w:val="center"/>
          </w:tcPr>
          <w:p w14:paraId="21950DF2" w14:textId="77777777" w:rsidR="00991E72" w:rsidRPr="00354D74"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0C3D08">
              <w:t>[15]</w:t>
            </w:r>
          </w:p>
        </w:tc>
        <w:tc>
          <w:tcPr>
            <w:tcW w:w="1345" w:type="dxa"/>
            <w:tcBorders>
              <w:top w:val="nil"/>
              <w:left w:val="nil"/>
              <w:bottom w:val="nil"/>
              <w:right w:val="nil"/>
            </w:tcBorders>
            <w:shd w:val="clear" w:color="auto" w:fill="auto"/>
            <w:vAlign w:val="center"/>
          </w:tcPr>
          <w:p w14:paraId="6E44B290" w14:textId="77777777" w:rsidR="00991E72" w:rsidRPr="00EC190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FA0024">
              <w:rPr>
                <w:rFonts w:cs="Arial"/>
                <w:bCs/>
                <w:szCs w:val="14"/>
              </w:rPr>
              <w:t>59</w:t>
            </w:r>
            <w:r>
              <w:rPr>
                <w:rFonts w:cs="Arial"/>
                <w:bCs/>
                <w:szCs w:val="14"/>
              </w:rPr>
              <w:t>,</w:t>
            </w:r>
            <w:r w:rsidRPr="00FA0024">
              <w:rPr>
                <w:rFonts w:cs="Arial"/>
                <w:bCs/>
                <w:szCs w:val="14"/>
              </w:rPr>
              <w:t>003</w:t>
            </w:r>
          </w:p>
        </w:tc>
        <w:tc>
          <w:tcPr>
            <w:tcW w:w="1418" w:type="dxa"/>
            <w:tcBorders>
              <w:top w:val="nil"/>
              <w:left w:val="nil"/>
              <w:bottom w:val="nil"/>
              <w:right w:val="nil"/>
            </w:tcBorders>
            <w:shd w:val="clear" w:color="auto" w:fill="auto"/>
            <w:vAlign w:val="center"/>
          </w:tcPr>
          <w:p w14:paraId="5C833140" w14:textId="77777777" w:rsidR="00991E72" w:rsidRPr="00354D7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5B3390">
              <w:t>369</w:t>
            </w:r>
            <w:r>
              <w:t>,</w:t>
            </w:r>
            <w:r w:rsidRPr="005B3390">
              <w:t>342</w:t>
            </w:r>
          </w:p>
        </w:tc>
        <w:tc>
          <w:tcPr>
            <w:tcW w:w="281" w:type="dxa"/>
            <w:tcBorders>
              <w:top w:val="nil"/>
              <w:bottom w:val="nil"/>
            </w:tcBorders>
            <w:shd w:val="clear" w:color="auto" w:fill="auto"/>
            <w:vAlign w:val="center"/>
          </w:tcPr>
          <w:p w14:paraId="300556AB" w14:textId="77777777" w:rsidR="00991E72" w:rsidRPr="00354D7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left w:val="nil"/>
              <w:bottom w:val="nil"/>
              <w:right w:val="nil"/>
            </w:tcBorders>
            <w:shd w:val="clear" w:color="auto" w:fill="auto"/>
            <w:vAlign w:val="center"/>
          </w:tcPr>
          <w:p w14:paraId="57DA9F9B" w14:textId="77777777" w:rsidR="00991E72" w:rsidRPr="00354D7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606C8">
              <w:rPr>
                <w:rFonts w:cs="Arial"/>
                <w:bCs/>
                <w:szCs w:val="14"/>
              </w:rPr>
              <w:t>6</w:t>
            </w:r>
            <w:r>
              <w:rPr>
                <w:rFonts w:cs="Arial"/>
                <w:bCs/>
                <w:szCs w:val="14"/>
              </w:rPr>
              <w:t>,</w:t>
            </w:r>
            <w:r w:rsidRPr="00E606C8">
              <w:rPr>
                <w:rFonts w:cs="Arial"/>
                <w:bCs/>
                <w:szCs w:val="14"/>
              </w:rPr>
              <w:t>076</w:t>
            </w:r>
            <w:r>
              <w:rPr>
                <w:rFonts w:cs="Arial"/>
                <w:bCs/>
                <w:szCs w:val="14"/>
              </w:rPr>
              <w:t>,</w:t>
            </w:r>
            <w:r w:rsidRPr="00E606C8">
              <w:rPr>
                <w:rFonts w:cs="Arial"/>
                <w:bCs/>
                <w:szCs w:val="14"/>
              </w:rPr>
              <w:t>618</w:t>
            </w:r>
          </w:p>
        </w:tc>
        <w:tc>
          <w:tcPr>
            <w:tcW w:w="1417" w:type="dxa"/>
            <w:tcBorders>
              <w:top w:val="nil"/>
              <w:left w:val="nil"/>
              <w:bottom w:val="nil"/>
              <w:right w:val="nil"/>
            </w:tcBorders>
            <w:shd w:val="clear" w:color="auto" w:fill="auto"/>
            <w:vAlign w:val="center"/>
          </w:tcPr>
          <w:p w14:paraId="7929F411" w14:textId="77777777" w:rsidR="00991E72" w:rsidRPr="00354D7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6330CF">
              <w:t xml:space="preserve"> 4</w:t>
            </w:r>
            <w:r>
              <w:t>,</w:t>
            </w:r>
            <w:r w:rsidRPr="006330CF">
              <w:t>090</w:t>
            </w:r>
            <w:r>
              <w:t>,</w:t>
            </w:r>
            <w:r w:rsidRPr="006330CF">
              <w:t xml:space="preserve">561 </w:t>
            </w:r>
          </w:p>
        </w:tc>
      </w:tr>
      <w:tr w:rsidR="00991E72" w:rsidRPr="00354D74" w14:paraId="58781942"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50B3181" w14:textId="77777777" w:rsidR="00991E72" w:rsidRPr="00354D74" w:rsidRDefault="00991E72" w:rsidP="00991E72">
            <w:pPr>
              <w:pStyle w:val="08-Tabelageral"/>
              <w:ind w:left="113"/>
              <w:jc w:val="left"/>
              <w:rPr>
                <w:b w:val="0"/>
              </w:rPr>
            </w:pPr>
            <w:r w:rsidRPr="00AF12C2">
              <w:rPr>
                <w:b w:val="0"/>
              </w:rPr>
              <w:t>Closing balance</w:t>
            </w:r>
          </w:p>
        </w:tc>
        <w:tc>
          <w:tcPr>
            <w:tcW w:w="781" w:type="dxa"/>
            <w:tcBorders>
              <w:top w:val="nil"/>
              <w:bottom w:val="nil"/>
            </w:tcBorders>
            <w:shd w:val="clear" w:color="auto" w:fill="auto"/>
            <w:vAlign w:val="center"/>
          </w:tcPr>
          <w:p w14:paraId="79770D9B" w14:textId="77777777" w:rsidR="00991E72" w:rsidRPr="00354D74"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0C3D08">
              <w:t>[15]</w:t>
            </w:r>
          </w:p>
        </w:tc>
        <w:tc>
          <w:tcPr>
            <w:tcW w:w="1345" w:type="dxa"/>
            <w:tcBorders>
              <w:top w:val="nil"/>
              <w:left w:val="nil"/>
              <w:bottom w:val="nil"/>
              <w:right w:val="nil"/>
            </w:tcBorders>
            <w:shd w:val="clear" w:color="auto" w:fill="auto"/>
            <w:vAlign w:val="center"/>
          </w:tcPr>
          <w:p w14:paraId="6751FB27" w14:textId="77777777" w:rsidR="00991E72" w:rsidRPr="00EC190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FA0024">
              <w:rPr>
                <w:rFonts w:cs="Arial"/>
                <w:szCs w:val="14"/>
              </w:rPr>
              <w:t>48</w:t>
            </w:r>
            <w:r>
              <w:rPr>
                <w:rFonts w:cs="Arial"/>
                <w:szCs w:val="14"/>
              </w:rPr>
              <w:t>,</w:t>
            </w:r>
            <w:r w:rsidRPr="00FA0024">
              <w:rPr>
                <w:rFonts w:cs="Arial"/>
                <w:szCs w:val="14"/>
              </w:rPr>
              <w:t>679</w:t>
            </w:r>
          </w:p>
        </w:tc>
        <w:tc>
          <w:tcPr>
            <w:tcW w:w="1418" w:type="dxa"/>
            <w:tcBorders>
              <w:top w:val="nil"/>
              <w:left w:val="nil"/>
              <w:bottom w:val="nil"/>
              <w:right w:val="nil"/>
            </w:tcBorders>
            <w:shd w:val="clear" w:color="auto" w:fill="auto"/>
            <w:vAlign w:val="center"/>
          </w:tcPr>
          <w:p w14:paraId="4F1CED25" w14:textId="77777777" w:rsidR="00991E72" w:rsidRPr="00354D7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5B3390">
              <w:t>95</w:t>
            </w:r>
            <w:r>
              <w:t>,</w:t>
            </w:r>
            <w:r w:rsidRPr="005B3390">
              <w:t>366</w:t>
            </w:r>
          </w:p>
        </w:tc>
        <w:tc>
          <w:tcPr>
            <w:tcW w:w="281" w:type="dxa"/>
            <w:tcBorders>
              <w:top w:val="nil"/>
              <w:bottom w:val="nil"/>
            </w:tcBorders>
            <w:shd w:val="clear" w:color="auto" w:fill="auto"/>
            <w:vAlign w:val="center"/>
          </w:tcPr>
          <w:p w14:paraId="23C28673" w14:textId="77777777" w:rsidR="00991E72" w:rsidRPr="00354D7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left w:val="nil"/>
              <w:bottom w:val="nil"/>
              <w:right w:val="nil"/>
            </w:tcBorders>
            <w:shd w:val="clear" w:color="auto" w:fill="auto"/>
            <w:vAlign w:val="center"/>
          </w:tcPr>
          <w:p w14:paraId="78ACB3BA" w14:textId="77777777" w:rsidR="00991E72" w:rsidRPr="00354D7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E606C8">
              <w:rPr>
                <w:rFonts w:cs="Arial"/>
                <w:szCs w:val="14"/>
              </w:rPr>
              <w:t>2</w:t>
            </w:r>
            <w:r>
              <w:rPr>
                <w:rFonts w:cs="Arial"/>
                <w:szCs w:val="14"/>
              </w:rPr>
              <w:t>,</w:t>
            </w:r>
            <w:r w:rsidRPr="00E606C8">
              <w:rPr>
                <w:rFonts w:cs="Arial"/>
                <w:szCs w:val="14"/>
              </w:rPr>
              <w:t>814</w:t>
            </w:r>
            <w:r>
              <w:rPr>
                <w:rFonts w:cs="Arial"/>
                <w:szCs w:val="14"/>
              </w:rPr>
              <w:t>,</w:t>
            </w:r>
            <w:r w:rsidRPr="00E606C8">
              <w:rPr>
                <w:rFonts w:cs="Arial"/>
                <w:szCs w:val="14"/>
              </w:rPr>
              <w:t>754</w:t>
            </w:r>
          </w:p>
        </w:tc>
        <w:tc>
          <w:tcPr>
            <w:tcW w:w="1417" w:type="dxa"/>
            <w:tcBorders>
              <w:top w:val="nil"/>
              <w:left w:val="nil"/>
              <w:bottom w:val="nil"/>
              <w:right w:val="nil"/>
            </w:tcBorders>
            <w:shd w:val="clear" w:color="auto" w:fill="auto"/>
            <w:vAlign w:val="center"/>
          </w:tcPr>
          <w:p w14:paraId="1477F17E" w14:textId="77777777" w:rsidR="00991E72" w:rsidRPr="00354D7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6330CF">
              <w:t xml:space="preserve"> 3</w:t>
            </w:r>
            <w:r>
              <w:t>,</w:t>
            </w:r>
            <w:r w:rsidRPr="006330CF">
              <w:t>153</w:t>
            </w:r>
            <w:r>
              <w:t>,</w:t>
            </w:r>
            <w:r w:rsidRPr="006330CF">
              <w:t xml:space="preserve">429 </w:t>
            </w:r>
          </w:p>
        </w:tc>
      </w:tr>
      <w:tr w:rsidR="00991E72" w:rsidRPr="00354D74" w14:paraId="07BF6AB8"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26DD272" w14:textId="77777777" w:rsidR="00991E72" w:rsidRPr="00BD6C7E" w:rsidRDefault="00991E72" w:rsidP="00991E72">
            <w:pPr>
              <w:pStyle w:val="08-Tabelageral"/>
              <w:jc w:val="left"/>
              <w:rPr>
                <w:lang w:val="en-US"/>
              </w:rPr>
            </w:pPr>
            <w:r w:rsidRPr="00BD6C7E">
              <w:rPr>
                <w:lang w:val="en-US"/>
              </w:rPr>
              <w:t>Increase (decrease) in cash and cash equivalents</w:t>
            </w:r>
          </w:p>
        </w:tc>
        <w:tc>
          <w:tcPr>
            <w:tcW w:w="781" w:type="dxa"/>
            <w:tcBorders>
              <w:top w:val="nil"/>
              <w:bottom w:val="nil"/>
            </w:tcBorders>
            <w:shd w:val="clear" w:color="auto" w:fill="auto"/>
            <w:vAlign w:val="center"/>
          </w:tcPr>
          <w:p w14:paraId="1A2F0E3F" w14:textId="77777777" w:rsidR="00991E72" w:rsidRPr="00BD6C7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lang w:val="en-US"/>
              </w:rPr>
            </w:pPr>
          </w:p>
        </w:tc>
        <w:tc>
          <w:tcPr>
            <w:tcW w:w="1345" w:type="dxa"/>
            <w:tcBorders>
              <w:top w:val="nil"/>
              <w:left w:val="nil"/>
              <w:bottom w:val="nil"/>
              <w:right w:val="nil"/>
            </w:tcBorders>
            <w:shd w:val="clear" w:color="auto" w:fill="auto"/>
            <w:vAlign w:val="center"/>
          </w:tcPr>
          <w:p w14:paraId="1A424E85"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FA0024">
              <w:rPr>
                <w:b/>
                <w:bCs/>
              </w:rPr>
              <w:t>(10</w:t>
            </w:r>
            <w:r>
              <w:rPr>
                <w:b/>
                <w:bCs/>
              </w:rPr>
              <w:t>,</w:t>
            </w:r>
            <w:r w:rsidRPr="00FA0024">
              <w:rPr>
                <w:b/>
                <w:bCs/>
              </w:rPr>
              <w:t>324)</w:t>
            </w:r>
          </w:p>
        </w:tc>
        <w:tc>
          <w:tcPr>
            <w:tcW w:w="1418" w:type="dxa"/>
            <w:tcBorders>
              <w:top w:val="nil"/>
              <w:left w:val="nil"/>
              <w:bottom w:val="nil"/>
              <w:right w:val="nil"/>
            </w:tcBorders>
            <w:shd w:val="clear" w:color="auto" w:fill="auto"/>
            <w:vAlign w:val="center"/>
          </w:tcPr>
          <w:p w14:paraId="7CCB10AA"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5B3390">
              <w:rPr>
                <w:b/>
              </w:rPr>
              <w:t>(273</w:t>
            </w:r>
            <w:r>
              <w:rPr>
                <w:b/>
              </w:rPr>
              <w:t>,</w:t>
            </w:r>
            <w:r w:rsidRPr="005B3390">
              <w:rPr>
                <w:b/>
              </w:rPr>
              <w:t>976)</w:t>
            </w:r>
          </w:p>
        </w:tc>
        <w:tc>
          <w:tcPr>
            <w:tcW w:w="281" w:type="dxa"/>
            <w:tcBorders>
              <w:top w:val="nil"/>
              <w:bottom w:val="nil"/>
            </w:tcBorders>
            <w:shd w:val="clear" w:color="auto" w:fill="auto"/>
            <w:vAlign w:val="center"/>
          </w:tcPr>
          <w:p w14:paraId="154B4D7C"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0" w:type="dxa"/>
            <w:tcBorders>
              <w:top w:val="nil"/>
              <w:left w:val="nil"/>
              <w:bottom w:val="nil"/>
              <w:right w:val="nil"/>
            </w:tcBorders>
            <w:shd w:val="clear" w:color="auto" w:fill="auto"/>
            <w:vAlign w:val="center"/>
          </w:tcPr>
          <w:p w14:paraId="04E84E1D"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E606C8">
              <w:rPr>
                <w:b/>
                <w:bCs/>
              </w:rPr>
              <w:t>(3</w:t>
            </w:r>
            <w:r>
              <w:rPr>
                <w:b/>
                <w:bCs/>
              </w:rPr>
              <w:t>,</w:t>
            </w:r>
            <w:r w:rsidRPr="00E606C8">
              <w:rPr>
                <w:b/>
                <w:bCs/>
              </w:rPr>
              <w:t>261</w:t>
            </w:r>
            <w:r>
              <w:rPr>
                <w:b/>
                <w:bCs/>
              </w:rPr>
              <w:t>,</w:t>
            </w:r>
            <w:r w:rsidRPr="00E606C8">
              <w:rPr>
                <w:b/>
                <w:bCs/>
              </w:rPr>
              <w:t>864)</w:t>
            </w:r>
          </w:p>
        </w:tc>
        <w:tc>
          <w:tcPr>
            <w:tcW w:w="1417" w:type="dxa"/>
            <w:tcBorders>
              <w:top w:val="nil"/>
              <w:left w:val="nil"/>
              <w:bottom w:val="nil"/>
              <w:right w:val="nil"/>
            </w:tcBorders>
            <w:shd w:val="clear" w:color="auto" w:fill="auto"/>
            <w:vAlign w:val="center"/>
          </w:tcPr>
          <w:p w14:paraId="5F096DA0" w14:textId="77777777" w:rsidR="00991E72" w:rsidRPr="00F06920"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EC280F">
              <w:rPr>
                <w:b/>
                <w:bCs/>
              </w:rPr>
              <w:t xml:space="preserve"> (937</w:t>
            </w:r>
            <w:r>
              <w:rPr>
                <w:b/>
                <w:bCs/>
              </w:rPr>
              <w:t>,</w:t>
            </w:r>
            <w:r w:rsidRPr="00EC280F">
              <w:rPr>
                <w:b/>
                <w:bCs/>
              </w:rPr>
              <w:t>132)</w:t>
            </w:r>
          </w:p>
        </w:tc>
      </w:tr>
      <w:tr w:rsidR="00991E72" w:rsidRPr="001D6BE8" w14:paraId="2B29485A"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56DD548" w14:textId="77777777" w:rsidR="00991E72" w:rsidRPr="0038031F" w:rsidRDefault="00991E72" w:rsidP="00991E72">
            <w:pPr>
              <w:pStyle w:val="08-Tabelageral"/>
              <w:ind w:left="113"/>
              <w:jc w:val="left"/>
              <w:rPr>
                <w:b w:val="0"/>
              </w:rPr>
            </w:pPr>
          </w:p>
        </w:tc>
        <w:tc>
          <w:tcPr>
            <w:tcW w:w="781" w:type="dxa"/>
            <w:tcBorders>
              <w:top w:val="nil"/>
              <w:bottom w:val="nil"/>
            </w:tcBorders>
            <w:shd w:val="clear" w:color="auto" w:fill="auto"/>
            <w:vAlign w:val="center"/>
          </w:tcPr>
          <w:p w14:paraId="719C0D16" w14:textId="77777777" w:rsidR="00991E72" w:rsidRPr="00CF4B29"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345" w:type="dxa"/>
            <w:tcBorders>
              <w:top w:val="nil"/>
              <w:bottom w:val="nil"/>
            </w:tcBorders>
            <w:shd w:val="clear" w:color="auto" w:fill="auto"/>
            <w:vAlign w:val="center"/>
          </w:tcPr>
          <w:p w14:paraId="0AAEEE58"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3FA686D"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81" w:type="dxa"/>
            <w:tcBorders>
              <w:top w:val="nil"/>
              <w:bottom w:val="nil"/>
            </w:tcBorders>
            <w:shd w:val="clear" w:color="auto" w:fill="auto"/>
            <w:vAlign w:val="center"/>
          </w:tcPr>
          <w:p w14:paraId="68852238"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567EABAA" w14:textId="77777777" w:rsidR="00991E72" w:rsidRPr="00350BA7"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548C731F" w14:textId="77777777" w:rsidR="00991E72" w:rsidRPr="00CF4B29"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354D74" w14:paraId="2FE13B3B"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9C9613C" w14:textId="77777777" w:rsidR="00991E72" w:rsidRPr="00354D74" w:rsidRDefault="00991E72" w:rsidP="00991E72">
            <w:pPr>
              <w:pStyle w:val="08-Tabelageral"/>
              <w:jc w:val="left"/>
            </w:pPr>
            <w:r w:rsidRPr="00AF12C2">
              <w:t>Complementary information on operations</w:t>
            </w:r>
          </w:p>
        </w:tc>
        <w:tc>
          <w:tcPr>
            <w:tcW w:w="781" w:type="dxa"/>
            <w:tcBorders>
              <w:top w:val="nil"/>
              <w:bottom w:val="nil"/>
            </w:tcBorders>
            <w:shd w:val="clear" w:color="auto" w:fill="auto"/>
            <w:vAlign w:val="center"/>
          </w:tcPr>
          <w:p w14:paraId="6DA43201" w14:textId="77777777" w:rsidR="00991E72" w:rsidRPr="00354D74"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45" w:type="dxa"/>
            <w:tcBorders>
              <w:top w:val="nil"/>
              <w:bottom w:val="nil"/>
            </w:tcBorders>
            <w:shd w:val="clear" w:color="auto" w:fill="auto"/>
            <w:vAlign w:val="center"/>
          </w:tcPr>
          <w:p w14:paraId="4F1F5031" w14:textId="77777777" w:rsidR="00991E72" w:rsidRPr="007B01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7F543D24" w14:textId="77777777" w:rsidR="00991E72" w:rsidRPr="007B01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1" w:type="dxa"/>
            <w:tcBorders>
              <w:top w:val="nil"/>
              <w:bottom w:val="nil"/>
            </w:tcBorders>
            <w:shd w:val="clear" w:color="auto" w:fill="auto"/>
            <w:vAlign w:val="center"/>
          </w:tcPr>
          <w:p w14:paraId="5DBA8A02" w14:textId="77777777" w:rsidR="00991E72" w:rsidRPr="007B01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0" w:type="dxa"/>
            <w:tcBorders>
              <w:top w:val="nil"/>
              <w:bottom w:val="nil"/>
            </w:tcBorders>
            <w:shd w:val="clear" w:color="auto" w:fill="auto"/>
            <w:vAlign w:val="center"/>
          </w:tcPr>
          <w:p w14:paraId="584D5959" w14:textId="77777777" w:rsidR="00991E72" w:rsidRPr="007B01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2A699761" w14:textId="77777777" w:rsidR="00991E72" w:rsidRPr="007B017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991E72" w:rsidRPr="00354D74" w14:paraId="42A3D59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EAA1BD9" w14:textId="77777777" w:rsidR="00991E72" w:rsidRPr="00354D74" w:rsidRDefault="00991E72" w:rsidP="00991E72">
            <w:pPr>
              <w:pStyle w:val="08-Tabelageral"/>
              <w:ind w:left="113"/>
              <w:jc w:val="left"/>
              <w:rPr>
                <w:b w:val="0"/>
              </w:rPr>
            </w:pPr>
            <w:r w:rsidRPr="00AF12C2">
              <w:rPr>
                <w:b w:val="0"/>
              </w:rPr>
              <w:t>Income tax pa</w:t>
            </w:r>
            <w:r>
              <w:rPr>
                <w:b w:val="0"/>
              </w:rPr>
              <w:t>id</w:t>
            </w:r>
          </w:p>
        </w:tc>
        <w:tc>
          <w:tcPr>
            <w:tcW w:w="781" w:type="dxa"/>
            <w:tcBorders>
              <w:top w:val="nil"/>
              <w:bottom w:val="nil"/>
            </w:tcBorders>
            <w:shd w:val="clear" w:color="auto" w:fill="auto"/>
            <w:vAlign w:val="center"/>
          </w:tcPr>
          <w:p w14:paraId="0EFB56BC" w14:textId="77777777" w:rsidR="00991E72" w:rsidRPr="00354D74"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45" w:type="dxa"/>
            <w:tcBorders>
              <w:top w:val="nil"/>
              <w:bottom w:val="nil"/>
            </w:tcBorders>
            <w:shd w:val="clear" w:color="auto" w:fill="auto"/>
            <w:vAlign w:val="center"/>
          </w:tcPr>
          <w:p w14:paraId="5B3B2A5C" w14:textId="77777777" w:rsidR="00991E72" w:rsidRPr="00A8257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418" w:type="dxa"/>
            <w:tcBorders>
              <w:top w:val="nil"/>
              <w:bottom w:val="nil"/>
            </w:tcBorders>
            <w:shd w:val="clear" w:color="auto" w:fill="auto"/>
            <w:vAlign w:val="center"/>
          </w:tcPr>
          <w:p w14:paraId="07D4F0E1" w14:textId="77777777" w:rsidR="00991E72" w:rsidRPr="00A8257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6C690C">
              <w:t xml:space="preserve"> (322)</w:t>
            </w:r>
          </w:p>
        </w:tc>
        <w:tc>
          <w:tcPr>
            <w:tcW w:w="281" w:type="dxa"/>
            <w:tcBorders>
              <w:top w:val="nil"/>
              <w:bottom w:val="nil"/>
            </w:tcBorders>
            <w:shd w:val="clear" w:color="auto" w:fill="auto"/>
            <w:vAlign w:val="center"/>
          </w:tcPr>
          <w:p w14:paraId="0F2998F8" w14:textId="77777777" w:rsidR="00991E72" w:rsidRPr="00A8257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0" w:type="dxa"/>
            <w:tcBorders>
              <w:top w:val="nil"/>
              <w:bottom w:val="nil"/>
            </w:tcBorders>
            <w:shd w:val="clear" w:color="auto" w:fill="auto"/>
            <w:vAlign w:val="center"/>
          </w:tcPr>
          <w:p w14:paraId="49DE2288" w14:textId="77777777" w:rsidR="00991E72" w:rsidRPr="00A8257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E606C8">
              <w:rPr>
                <w:rFonts w:cs="Arial"/>
                <w:szCs w:val="14"/>
              </w:rPr>
              <w:t>(695</w:t>
            </w:r>
            <w:r>
              <w:rPr>
                <w:rFonts w:cs="Arial"/>
                <w:szCs w:val="14"/>
              </w:rPr>
              <w:t>,</w:t>
            </w:r>
            <w:r w:rsidRPr="00E606C8">
              <w:rPr>
                <w:rFonts w:cs="Arial"/>
                <w:szCs w:val="14"/>
              </w:rPr>
              <w:t>669)</w:t>
            </w:r>
          </w:p>
        </w:tc>
        <w:tc>
          <w:tcPr>
            <w:tcW w:w="1417" w:type="dxa"/>
            <w:tcBorders>
              <w:top w:val="nil"/>
              <w:bottom w:val="nil"/>
            </w:tcBorders>
            <w:shd w:val="clear" w:color="auto" w:fill="auto"/>
            <w:vAlign w:val="center"/>
          </w:tcPr>
          <w:p w14:paraId="69DF9D56" w14:textId="77777777" w:rsidR="00991E72" w:rsidRPr="00A82576"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sidRPr="00042AD6">
              <w:t xml:space="preserve"> (556</w:t>
            </w:r>
            <w:r>
              <w:t>,</w:t>
            </w:r>
            <w:r w:rsidRPr="00042AD6">
              <w:t>411)</w:t>
            </w:r>
          </w:p>
        </w:tc>
      </w:tr>
      <w:tr w:rsidR="00991E72" w:rsidRPr="00354D74" w14:paraId="41763FA7"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245EA88" w14:textId="77777777" w:rsidR="00991E72" w:rsidRPr="00354D74" w:rsidRDefault="00991E72" w:rsidP="00991E72">
            <w:pPr>
              <w:pStyle w:val="08-Tabelageral"/>
              <w:ind w:left="113"/>
              <w:jc w:val="left"/>
              <w:rPr>
                <w:b w:val="0"/>
              </w:rPr>
            </w:pPr>
            <w:r>
              <w:rPr>
                <w:b w:val="0"/>
              </w:rPr>
              <w:t>Social contribution paid</w:t>
            </w:r>
          </w:p>
        </w:tc>
        <w:tc>
          <w:tcPr>
            <w:tcW w:w="781" w:type="dxa"/>
            <w:tcBorders>
              <w:top w:val="nil"/>
              <w:bottom w:val="nil"/>
            </w:tcBorders>
            <w:shd w:val="clear" w:color="auto" w:fill="auto"/>
            <w:vAlign w:val="center"/>
          </w:tcPr>
          <w:p w14:paraId="6F4333BA" w14:textId="77777777" w:rsidR="00991E72" w:rsidRPr="00354D74"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45" w:type="dxa"/>
            <w:tcBorders>
              <w:top w:val="nil"/>
              <w:bottom w:val="nil"/>
            </w:tcBorders>
            <w:shd w:val="clear" w:color="auto" w:fill="auto"/>
            <w:vAlign w:val="center"/>
          </w:tcPr>
          <w:p w14:paraId="00245BFD" w14:textId="77777777" w:rsidR="00991E72" w:rsidRPr="00A8257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606C8">
              <w:t>--</w:t>
            </w:r>
          </w:p>
        </w:tc>
        <w:tc>
          <w:tcPr>
            <w:tcW w:w="1418" w:type="dxa"/>
            <w:tcBorders>
              <w:top w:val="nil"/>
              <w:bottom w:val="nil"/>
            </w:tcBorders>
            <w:shd w:val="clear" w:color="auto" w:fill="auto"/>
            <w:vAlign w:val="center"/>
          </w:tcPr>
          <w:p w14:paraId="0DE99E4E" w14:textId="77777777" w:rsidR="00991E72" w:rsidRPr="00A8257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6C690C">
              <w:t xml:space="preserve"> (108)</w:t>
            </w:r>
          </w:p>
        </w:tc>
        <w:tc>
          <w:tcPr>
            <w:tcW w:w="281" w:type="dxa"/>
            <w:tcBorders>
              <w:top w:val="nil"/>
              <w:bottom w:val="nil"/>
            </w:tcBorders>
            <w:shd w:val="clear" w:color="auto" w:fill="auto"/>
            <w:vAlign w:val="center"/>
          </w:tcPr>
          <w:p w14:paraId="566ABBF3" w14:textId="77777777" w:rsidR="00991E72" w:rsidRPr="00A8257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0" w:type="dxa"/>
            <w:tcBorders>
              <w:top w:val="nil"/>
              <w:bottom w:val="nil"/>
            </w:tcBorders>
            <w:shd w:val="clear" w:color="auto" w:fill="auto"/>
            <w:vAlign w:val="center"/>
          </w:tcPr>
          <w:p w14:paraId="57B94887" w14:textId="77777777" w:rsidR="00991E72" w:rsidRPr="00A8257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606C8">
              <w:t>(265</w:t>
            </w:r>
            <w:r>
              <w:t>,</w:t>
            </w:r>
            <w:r w:rsidRPr="00E606C8">
              <w:t>604)</w:t>
            </w:r>
          </w:p>
        </w:tc>
        <w:tc>
          <w:tcPr>
            <w:tcW w:w="1417" w:type="dxa"/>
            <w:tcBorders>
              <w:top w:val="nil"/>
              <w:bottom w:val="nil"/>
            </w:tcBorders>
            <w:shd w:val="clear" w:color="auto" w:fill="auto"/>
            <w:vAlign w:val="center"/>
          </w:tcPr>
          <w:p w14:paraId="7A203AA2" w14:textId="77777777" w:rsidR="00991E72" w:rsidRPr="00A82576"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sidRPr="00E606C8">
              <w:t xml:space="preserve"> (227</w:t>
            </w:r>
            <w:r>
              <w:t>,</w:t>
            </w:r>
            <w:r w:rsidRPr="00E606C8">
              <w:t>344)</w:t>
            </w:r>
          </w:p>
        </w:tc>
      </w:tr>
      <w:tr w:rsidR="00991E72" w:rsidRPr="001D6BE8" w14:paraId="6A42CE93"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7074CB99" w14:textId="77777777" w:rsidR="00991E72" w:rsidRPr="00A82576" w:rsidRDefault="00991E72" w:rsidP="00991E72">
            <w:pPr>
              <w:pStyle w:val="08-Tabelageral"/>
              <w:jc w:val="left"/>
              <w:rPr>
                <w:rFonts w:cs="Arial"/>
                <w:szCs w:val="14"/>
              </w:rPr>
            </w:pPr>
            <w:r w:rsidRPr="00EF500E">
              <w:rPr>
                <w:rFonts w:cs="Arial"/>
                <w:szCs w:val="14"/>
              </w:rPr>
              <w:t>Total taxes paid</w:t>
            </w:r>
          </w:p>
        </w:tc>
        <w:tc>
          <w:tcPr>
            <w:tcW w:w="781" w:type="dxa"/>
            <w:tcBorders>
              <w:top w:val="nil"/>
              <w:bottom w:val="single" w:sz="2" w:space="0" w:color="1F4E79" w:themeColor="accent1" w:themeShade="80"/>
            </w:tcBorders>
            <w:shd w:val="clear" w:color="auto" w:fill="auto"/>
            <w:vAlign w:val="center"/>
          </w:tcPr>
          <w:p w14:paraId="4BB395EE" w14:textId="77777777" w:rsidR="00991E72" w:rsidRPr="00A82576" w:rsidRDefault="00991E72" w:rsidP="00991E72">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345" w:type="dxa"/>
            <w:tcBorders>
              <w:top w:val="nil"/>
              <w:bottom w:val="single" w:sz="2" w:space="0" w:color="1F4E79" w:themeColor="accent1" w:themeShade="80"/>
            </w:tcBorders>
            <w:shd w:val="clear" w:color="auto" w:fill="auto"/>
            <w:vAlign w:val="center"/>
          </w:tcPr>
          <w:p w14:paraId="438BB449"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606C8">
              <w:rPr>
                <w:b/>
                <w:bCs/>
              </w:rPr>
              <w:t>--</w:t>
            </w:r>
          </w:p>
        </w:tc>
        <w:tc>
          <w:tcPr>
            <w:tcW w:w="1418" w:type="dxa"/>
            <w:tcBorders>
              <w:top w:val="nil"/>
              <w:bottom w:val="single" w:sz="2" w:space="0" w:color="1F4E79" w:themeColor="accent1" w:themeShade="80"/>
            </w:tcBorders>
            <w:shd w:val="clear" w:color="auto" w:fill="auto"/>
            <w:vAlign w:val="center"/>
          </w:tcPr>
          <w:p w14:paraId="619032C7"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5B3390">
              <w:rPr>
                <w:b/>
                <w:bCs/>
              </w:rPr>
              <w:t xml:space="preserve"> (430)</w:t>
            </w:r>
          </w:p>
        </w:tc>
        <w:tc>
          <w:tcPr>
            <w:tcW w:w="281" w:type="dxa"/>
            <w:tcBorders>
              <w:top w:val="nil"/>
              <w:bottom w:val="single" w:sz="2" w:space="0" w:color="1F4E79" w:themeColor="accent1" w:themeShade="80"/>
            </w:tcBorders>
            <w:shd w:val="clear" w:color="auto" w:fill="auto"/>
            <w:vAlign w:val="center"/>
          </w:tcPr>
          <w:p w14:paraId="73F8E976"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20" w:type="dxa"/>
            <w:tcBorders>
              <w:top w:val="nil"/>
              <w:bottom w:val="single" w:sz="2" w:space="0" w:color="1F4E79" w:themeColor="accent1" w:themeShade="80"/>
            </w:tcBorders>
            <w:shd w:val="clear" w:color="auto" w:fill="auto"/>
            <w:vAlign w:val="center"/>
          </w:tcPr>
          <w:p w14:paraId="2F2146A9"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606C8">
              <w:rPr>
                <w:b/>
                <w:bCs/>
              </w:rPr>
              <w:t>(961</w:t>
            </w:r>
            <w:r>
              <w:rPr>
                <w:b/>
                <w:bCs/>
              </w:rPr>
              <w:t>,</w:t>
            </w:r>
            <w:r w:rsidRPr="00E606C8">
              <w:rPr>
                <w:b/>
                <w:bCs/>
              </w:rPr>
              <w:t>273)</w:t>
            </w:r>
          </w:p>
        </w:tc>
        <w:tc>
          <w:tcPr>
            <w:tcW w:w="1417" w:type="dxa"/>
            <w:tcBorders>
              <w:top w:val="nil"/>
              <w:bottom w:val="single" w:sz="2" w:space="0" w:color="1F4E79" w:themeColor="accent1" w:themeShade="80"/>
            </w:tcBorders>
            <w:shd w:val="clear" w:color="auto" w:fill="auto"/>
            <w:vAlign w:val="center"/>
          </w:tcPr>
          <w:p w14:paraId="2AA07F5D" w14:textId="77777777" w:rsidR="00991E72" w:rsidRPr="00F06920"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E606C8">
              <w:rPr>
                <w:b/>
                <w:bCs/>
              </w:rPr>
              <w:t xml:space="preserve"> (783</w:t>
            </w:r>
            <w:r>
              <w:rPr>
                <w:b/>
                <w:bCs/>
              </w:rPr>
              <w:t>,</w:t>
            </w:r>
            <w:r w:rsidRPr="00E606C8">
              <w:rPr>
                <w:b/>
                <w:bCs/>
              </w:rPr>
              <w:t>755)</w:t>
            </w:r>
          </w:p>
        </w:tc>
      </w:tr>
    </w:tbl>
    <w:p w14:paraId="1FFBDBA9" w14:textId="77777777" w:rsidR="00991E72" w:rsidRPr="00C929DB" w:rsidRDefault="00991E72">
      <w:pPr>
        <w:rPr>
          <w:rFonts w:cs="Arial"/>
          <w:sz w:val="14"/>
          <w:szCs w:val="14"/>
          <w:lang w:val="en-US"/>
        </w:rPr>
      </w:pPr>
      <w:r w:rsidRPr="00C929DB">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r w:rsidRPr="00C929DB">
        <w:rPr>
          <w:rFonts w:cs="Arial"/>
          <w:sz w:val="14"/>
          <w:szCs w:val="14"/>
          <w:lang w:val="en-US"/>
        </w:rPr>
        <w:br w:type="page"/>
      </w:r>
    </w:p>
    <w:p w14:paraId="1C269858" w14:textId="77777777" w:rsidR="00991E72" w:rsidRPr="00C929DB" w:rsidRDefault="00991E72" w:rsidP="00991E72">
      <w:pPr>
        <w:rPr>
          <w:rFonts w:cs="Arial"/>
          <w:sz w:val="14"/>
          <w:szCs w:val="14"/>
          <w:lang w:val="en-US"/>
        </w:rPr>
        <w:sectPr w:rsidR="00991E72" w:rsidRPr="00C929DB" w:rsidSect="00991E72">
          <w:headerReference w:type="even" r:id="rId23"/>
          <w:headerReference w:type="first" r:id="rId24"/>
          <w:pgSz w:w="11906" w:h="16838" w:code="9"/>
          <w:pgMar w:top="1134" w:right="1134" w:bottom="851" w:left="1134" w:header="851" w:footer="284" w:gutter="0"/>
          <w:cols w:space="708"/>
          <w:docGrid w:linePitch="360"/>
        </w:sectPr>
      </w:pPr>
    </w:p>
    <w:p w14:paraId="0FAF396B" w14:textId="77777777" w:rsidR="00991E72" w:rsidRPr="00C929DB" w:rsidRDefault="00991E72" w:rsidP="00991E72">
      <w:pPr>
        <w:tabs>
          <w:tab w:val="left" w:pos="10089"/>
        </w:tabs>
        <w:rPr>
          <w:rFonts w:cs="Arial"/>
          <w:sz w:val="14"/>
          <w:szCs w:val="14"/>
          <w:lang w:val="en-US"/>
        </w:rPr>
      </w:pPr>
      <w:r w:rsidRPr="00C929DB">
        <w:rPr>
          <w:rFonts w:cs="Arial"/>
          <w:sz w:val="14"/>
          <w:szCs w:val="14"/>
          <w:lang w:val="en-US"/>
        </w:rPr>
        <w:lastRenderedPageBreak/>
        <w:tab/>
      </w:r>
    </w:p>
    <w:p w14:paraId="503A825B" w14:textId="77777777" w:rsidR="00991E72" w:rsidRPr="00BA4C93" w:rsidRDefault="00991E72" w:rsidP="00991E72">
      <w:pPr>
        <w:pStyle w:val="Ttulo1"/>
        <w:rPr>
          <w:b w:val="0"/>
          <w:bCs w:val="0"/>
        </w:rPr>
      </w:pPr>
      <w:bookmarkStart w:id="11" w:name="_Toc134823560"/>
      <w:r w:rsidRPr="00BA4C93">
        <w:t>STATEMENT OF CHANGES IN EQUITY</w:t>
      </w:r>
      <w:bookmarkEnd w:id="11"/>
    </w:p>
    <w:p w14:paraId="6FA7B7A5" w14:textId="77777777" w:rsidR="00991E72" w:rsidRDefault="00991E72" w:rsidP="00991E72">
      <w:pPr>
        <w:pStyle w:val="06-Rmil"/>
        <w:ind w:right="-173"/>
      </w:pPr>
      <w:r>
        <w:t xml:space="preserve">R$ </w:t>
      </w:r>
      <w:r w:rsidRPr="00BC67E7">
        <w:t>thousand</w:t>
      </w:r>
    </w:p>
    <w:tbl>
      <w:tblPr>
        <w:tblStyle w:val="TabeladeLista6Colorida-nfase510"/>
        <w:tblW w:w="15305" w:type="dxa"/>
        <w:tblInd w:w="108" w:type="dxa"/>
        <w:tblLayout w:type="fixed"/>
        <w:tblLook w:val="04A0" w:firstRow="1" w:lastRow="0" w:firstColumn="1" w:lastColumn="0" w:noHBand="0" w:noVBand="1"/>
      </w:tblPr>
      <w:tblGrid>
        <w:gridCol w:w="4253"/>
        <w:gridCol w:w="567"/>
        <w:gridCol w:w="1276"/>
        <w:gridCol w:w="993"/>
        <w:gridCol w:w="1277"/>
        <w:gridCol w:w="1846"/>
        <w:gridCol w:w="1122"/>
        <w:gridCol w:w="1289"/>
        <w:gridCol w:w="1560"/>
        <w:gridCol w:w="1122"/>
      </w:tblGrid>
      <w:tr w:rsidR="00991E72" w:rsidRPr="004E4235" w14:paraId="5730B532" w14:textId="77777777" w:rsidTr="00991E72">
        <w:trPr>
          <w:cnfStyle w:val="100000000000" w:firstRow="1" w:lastRow="0" w:firstColumn="0" w:lastColumn="0" w:oddVBand="0" w:evenVBand="0" w:oddHBand="0" w:evenHBand="0" w:firstRowFirstColumn="0" w:firstRowLastColumn="0" w:lastRowFirstColumn="0" w:lastRowLastColumn="0"/>
          <w:trHeight w:hRule="exact" w:val="309"/>
        </w:trPr>
        <w:tc>
          <w:tcPr>
            <w:cnfStyle w:val="001000000000" w:firstRow="0" w:lastRow="0" w:firstColumn="1" w:lastColumn="0" w:oddVBand="0" w:evenVBand="0" w:oddHBand="0" w:evenHBand="0" w:firstRowFirstColumn="0" w:firstRowLastColumn="0" w:lastRowFirstColumn="0" w:lastRowLastColumn="0"/>
            <w:tcW w:w="4253" w:type="dxa"/>
            <w:vMerge w:val="restart"/>
            <w:tcBorders>
              <w:top w:val="single" w:sz="2" w:space="0" w:color="1F4E79" w:themeColor="accent1" w:themeShade="80"/>
              <w:bottom w:val="single" w:sz="2" w:space="0" w:color="1F4E79" w:themeColor="accent1" w:themeShade="80"/>
            </w:tcBorders>
            <w:shd w:val="clear" w:color="auto" w:fill="auto"/>
            <w:vAlign w:val="center"/>
          </w:tcPr>
          <w:p w14:paraId="103D25F0" w14:textId="77777777" w:rsidR="00991E72" w:rsidRPr="00B03722" w:rsidRDefault="00991E72" w:rsidP="00991E72">
            <w:pPr>
              <w:rPr>
                <w:rFonts w:cs="Arial"/>
                <w:bCs w:val="0"/>
                <w:szCs w:val="14"/>
              </w:rPr>
            </w:pPr>
            <w:r w:rsidRPr="00B03722">
              <w:rPr>
                <w:rFonts w:cs="Arial"/>
                <w:szCs w:val="14"/>
              </w:rPr>
              <w:t>Event</w:t>
            </w:r>
          </w:p>
        </w:tc>
        <w:tc>
          <w:tcPr>
            <w:tcW w:w="567" w:type="dxa"/>
            <w:vMerge w:val="restart"/>
            <w:tcBorders>
              <w:top w:val="single" w:sz="2" w:space="0" w:color="1F4E79" w:themeColor="accent1" w:themeShade="80"/>
              <w:bottom w:val="single" w:sz="2" w:space="0" w:color="1F4E79" w:themeColor="accent1" w:themeShade="80"/>
            </w:tcBorders>
            <w:shd w:val="clear" w:color="auto" w:fill="auto"/>
            <w:vAlign w:val="center"/>
          </w:tcPr>
          <w:p w14:paraId="14E5185F"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4"/>
              </w:rPr>
            </w:pPr>
            <w:r w:rsidRPr="00B03722">
              <w:rPr>
                <w:rFonts w:cs="Arial"/>
                <w:bCs w:val="0"/>
                <w:szCs w:val="14"/>
              </w:rPr>
              <w:t>Note</w:t>
            </w:r>
          </w:p>
        </w:tc>
        <w:tc>
          <w:tcPr>
            <w:tcW w:w="1276" w:type="dxa"/>
            <w:vMerge w:val="restart"/>
            <w:tcBorders>
              <w:top w:val="single" w:sz="2" w:space="0" w:color="1F4E79" w:themeColor="accent1" w:themeShade="80"/>
              <w:bottom w:val="single" w:sz="2" w:space="0" w:color="1F4E79" w:themeColor="accent1" w:themeShade="80"/>
            </w:tcBorders>
            <w:shd w:val="clear" w:color="auto" w:fill="auto"/>
            <w:vAlign w:val="center"/>
          </w:tcPr>
          <w:p w14:paraId="33E4A01F"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4"/>
              </w:rPr>
            </w:pPr>
            <w:r w:rsidRPr="00B03722">
              <w:rPr>
                <w:rFonts w:cs="Arial"/>
                <w:szCs w:val="14"/>
              </w:rPr>
              <w:t>Capital</w:t>
            </w:r>
          </w:p>
        </w:tc>
        <w:tc>
          <w:tcPr>
            <w:tcW w:w="993" w:type="dxa"/>
            <w:vMerge w:val="restart"/>
            <w:tcBorders>
              <w:top w:val="single" w:sz="2" w:space="0" w:color="1F4E79" w:themeColor="accent1" w:themeShade="80"/>
              <w:bottom w:val="single" w:sz="2" w:space="0" w:color="1F4E79" w:themeColor="accent1" w:themeShade="80"/>
            </w:tcBorders>
            <w:shd w:val="clear" w:color="auto" w:fill="auto"/>
            <w:vAlign w:val="center"/>
          </w:tcPr>
          <w:p w14:paraId="64DF9429"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B03722">
              <w:rPr>
                <w:rFonts w:cs="Arial"/>
                <w:szCs w:val="14"/>
              </w:rPr>
              <w:t>Capital Reserves</w:t>
            </w:r>
          </w:p>
        </w:tc>
        <w:tc>
          <w:tcPr>
            <w:tcW w:w="3123" w:type="dxa"/>
            <w:gridSpan w:val="2"/>
            <w:tcBorders>
              <w:top w:val="single" w:sz="2" w:space="0" w:color="1F4E79" w:themeColor="accent1" w:themeShade="80"/>
              <w:bottom w:val="single" w:sz="2" w:space="0" w:color="1F4E79" w:themeColor="accent1" w:themeShade="80"/>
            </w:tcBorders>
            <w:shd w:val="clear" w:color="auto" w:fill="auto"/>
            <w:vAlign w:val="center"/>
          </w:tcPr>
          <w:p w14:paraId="7043CCFF"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4"/>
              </w:rPr>
            </w:pPr>
            <w:r w:rsidRPr="00B03722">
              <w:rPr>
                <w:rFonts w:cs="Arial"/>
                <w:szCs w:val="14"/>
              </w:rPr>
              <w:t>Profit Reserves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741C4640"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4"/>
              </w:rPr>
            </w:pPr>
            <w:r w:rsidRPr="00B03722">
              <w:rPr>
                <w:rFonts w:cs="Arial"/>
                <w:szCs w:val="14"/>
              </w:rPr>
              <w:t>Treasury Shares</w:t>
            </w:r>
          </w:p>
        </w:tc>
        <w:tc>
          <w:tcPr>
            <w:tcW w:w="1289" w:type="dxa"/>
            <w:vMerge w:val="restart"/>
            <w:tcBorders>
              <w:top w:val="single" w:sz="2" w:space="0" w:color="1F4E79" w:themeColor="accent1" w:themeShade="80"/>
              <w:bottom w:val="single" w:sz="2" w:space="0" w:color="1F4E79" w:themeColor="accent1" w:themeShade="80"/>
            </w:tcBorders>
            <w:shd w:val="clear" w:color="auto" w:fill="auto"/>
            <w:vAlign w:val="center"/>
          </w:tcPr>
          <w:p w14:paraId="7BBFE993"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4"/>
              </w:rPr>
            </w:pPr>
            <w:r w:rsidRPr="00B03722">
              <w:rPr>
                <w:rFonts w:cs="Arial"/>
                <w:szCs w:val="14"/>
              </w:rPr>
              <w:t>Other accumulated comprehensive income</w:t>
            </w:r>
          </w:p>
        </w:tc>
        <w:tc>
          <w:tcPr>
            <w:tcW w:w="1560" w:type="dxa"/>
            <w:vMerge w:val="restart"/>
            <w:tcBorders>
              <w:top w:val="single" w:sz="2" w:space="0" w:color="1F4E79" w:themeColor="accent1" w:themeShade="80"/>
              <w:bottom w:val="single" w:sz="2" w:space="0" w:color="1F4E79" w:themeColor="accent1" w:themeShade="80"/>
            </w:tcBorders>
            <w:shd w:val="clear" w:color="auto" w:fill="auto"/>
            <w:vAlign w:val="center"/>
          </w:tcPr>
          <w:p w14:paraId="0C70B500"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4"/>
              </w:rPr>
            </w:pPr>
            <w:r w:rsidRPr="00B03722">
              <w:rPr>
                <w:rFonts w:cs="Arial"/>
                <w:szCs w:val="14"/>
              </w:rPr>
              <w:t>Retained Earnings/ Accumulated Losses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5ADC7992" w14:textId="77777777" w:rsidR="00991E72" w:rsidRPr="00B03722"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Cs w:val="0"/>
                <w:szCs w:val="14"/>
              </w:rPr>
            </w:pPr>
            <w:r w:rsidRPr="00B03722">
              <w:rPr>
                <w:rFonts w:cs="Arial"/>
                <w:bCs w:val="0"/>
                <w:szCs w:val="14"/>
              </w:rPr>
              <w:t>Total</w:t>
            </w:r>
          </w:p>
        </w:tc>
      </w:tr>
      <w:tr w:rsidR="00991E72" w:rsidRPr="004E4235" w14:paraId="2DF7BCE7" w14:textId="77777777" w:rsidTr="00991E72">
        <w:trPr>
          <w:cnfStyle w:val="000000100000" w:firstRow="0" w:lastRow="0" w:firstColumn="0" w:lastColumn="0" w:oddVBand="0" w:evenVBand="0" w:oddHBand="1" w:evenHBand="0" w:firstRowFirstColumn="0" w:firstRowLastColumn="0" w:lastRowFirstColumn="0" w:lastRowLastColumn="0"/>
          <w:trHeight w:hRule="exact" w:val="408"/>
        </w:trPr>
        <w:tc>
          <w:tcPr>
            <w:cnfStyle w:val="001000000000" w:firstRow="0" w:lastRow="0" w:firstColumn="1" w:lastColumn="0" w:oddVBand="0" w:evenVBand="0" w:oddHBand="0" w:evenHBand="0" w:firstRowFirstColumn="0" w:firstRowLastColumn="0" w:lastRowFirstColumn="0" w:lastRowLastColumn="0"/>
            <w:tcW w:w="4253" w:type="dxa"/>
            <w:vMerge/>
            <w:tcBorders>
              <w:top w:val="nil"/>
              <w:bottom w:val="single" w:sz="2" w:space="0" w:color="1F4E79" w:themeColor="accent1" w:themeShade="80"/>
            </w:tcBorders>
            <w:shd w:val="clear" w:color="auto" w:fill="auto"/>
            <w:vAlign w:val="center"/>
          </w:tcPr>
          <w:p w14:paraId="02A4333B" w14:textId="77777777" w:rsidR="00991E72" w:rsidRPr="00B03722" w:rsidRDefault="00991E72" w:rsidP="00991E72">
            <w:pPr>
              <w:rPr>
                <w:rFonts w:cs="Arial"/>
                <w:szCs w:val="14"/>
              </w:rPr>
            </w:pPr>
          </w:p>
        </w:tc>
        <w:tc>
          <w:tcPr>
            <w:tcW w:w="567" w:type="dxa"/>
            <w:vMerge/>
            <w:tcBorders>
              <w:top w:val="nil"/>
              <w:bottom w:val="single" w:sz="2" w:space="0" w:color="1F4E79" w:themeColor="accent1" w:themeShade="80"/>
            </w:tcBorders>
            <w:shd w:val="clear" w:color="auto" w:fill="auto"/>
            <w:vAlign w:val="center"/>
          </w:tcPr>
          <w:p w14:paraId="704E1FC5"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6" w:type="dxa"/>
            <w:vMerge/>
            <w:tcBorders>
              <w:top w:val="nil"/>
              <w:bottom w:val="single" w:sz="2" w:space="0" w:color="1F4E79" w:themeColor="accent1" w:themeShade="80"/>
            </w:tcBorders>
            <w:shd w:val="clear" w:color="auto" w:fill="auto"/>
            <w:vAlign w:val="center"/>
          </w:tcPr>
          <w:p w14:paraId="0025B166"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993" w:type="dxa"/>
            <w:vMerge/>
            <w:tcBorders>
              <w:top w:val="nil"/>
              <w:bottom w:val="single" w:sz="2" w:space="0" w:color="1F4E79" w:themeColor="accent1" w:themeShade="80"/>
            </w:tcBorders>
            <w:shd w:val="clear" w:color="auto" w:fill="auto"/>
            <w:vAlign w:val="center"/>
          </w:tcPr>
          <w:p w14:paraId="41133E97"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1A550AF7"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B03722">
              <w:rPr>
                <w:rFonts w:cs="Arial"/>
                <w:b/>
                <w:szCs w:val="14"/>
              </w:rPr>
              <w:t>Legal Reserve</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4B925B01"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B03722">
              <w:rPr>
                <w:rFonts w:cs="Arial"/>
                <w:b/>
                <w:szCs w:val="14"/>
              </w:rPr>
              <w:t>Statutory Reserve</w:t>
            </w:r>
          </w:p>
        </w:tc>
        <w:tc>
          <w:tcPr>
            <w:tcW w:w="1122" w:type="dxa"/>
            <w:vMerge/>
            <w:tcBorders>
              <w:top w:val="nil"/>
              <w:bottom w:val="single" w:sz="2" w:space="0" w:color="1F4E79" w:themeColor="accent1" w:themeShade="80"/>
            </w:tcBorders>
            <w:shd w:val="clear" w:color="auto" w:fill="auto"/>
            <w:vAlign w:val="center"/>
          </w:tcPr>
          <w:p w14:paraId="48BA14D2"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89" w:type="dxa"/>
            <w:vMerge/>
            <w:tcBorders>
              <w:top w:val="nil"/>
              <w:bottom w:val="single" w:sz="2" w:space="0" w:color="1F4E79" w:themeColor="accent1" w:themeShade="80"/>
            </w:tcBorders>
            <w:shd w:val="clear" w:color="auto" w:fill="auto"/>
            <w:vAlign w:val="center"/>
          </w:tcPr>
          <w:p w14:paraId="25BDA5DD"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560" w:type="dxa"/>
            <w:vMerge/>
            <w:tcBorders>
              <w:top w:val="nil"/>
              <w:bottom w:val="single" w:sz="2" w:space="0" w:color="1F4E79" w:themeColor="accent1" w:themeShade="80"/>
            </w:tcBorders>
            <w:shd w:val="clear" w:color="auto" w:fill="auto"/>
            <w:vAlign w:val="center"/>
          </w:tcPr>
          <w:p w14:paraId="7790E680"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122" w:type="dxa"/>
            <w:vMerge/>
            <w:tcBorders>
              <w:top w:val="nil"/>
              <w:bottom w:val="single" w:sz="2" w:space="0" w:color="1F4E79" w:themeColor="accent1" w:themeShade="80"/>
            </w:tcBorders>
            <w:shd w:val="clear" w:color="auto" w:fill="auto"/>
            <w:vAlign w:val="center"/>
          </w:tcPr>
          <w:p w14:paraId="0CE7A6D4" w14:textId="77777777" w:rsidR="00991E72" w:rsidRPr="00B03722"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szCs w:val="14"/>
              </w:rPr>
            </w:pPr>
          </w:p>
        </w:tc>
      </w:tr>
      <w:tr w:rsidR="00991E72" w:rsidRPr="004E4235" w14:paraId="42BA9EB6" w14:textId="77777777" w:rsidTr="00991E72">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1416B201" w14:textId="77777777" w:rsidR="00991E72" w:rsidRPr="00B03722" w:rsidRDefault="00991E72" w:rsidP="00991E72">
            <w:pPr>
              <w:keepNext/>
              <w:keepLines/>
              <w:spacing w:before="40" w:after="40"/>
              <w:rPr>
                <w:rFonts w:eastAsia="Times New Roman" w:cs="Arial"/>
                <w:spacing w:val="-2"/>
                <w:szCs w:val="14"/>
                <w:lang w:eastAsia="pt-BR"/>
              </w:rPr>
            </w:pPr>
            <w:r w:rsidRPr="00B03722">
              <w:rPr>
                <w:rFonts w:eastAsia="Times New Roman" w:cs="Arial"/>
                <w:spacing w:val="-2"/>
                <w:szCs w:val="14"/>
                <w:lang w:eastAsia="pt-BR"/>
              </w:rPr>
              <w:t xml:space="preserve">Balances at </w:t>
            </w:r>
            <w:r>
              <w:rPr>
                <w:rFonts w:eastAsia="Times New Roman" w:cs="Arial"/>
                <w:spacing w:val="-2"/>
                <w:szCs w:val="14"/>
                <w:lang w:eastAsia="pt-BR"/>
              </w:rPr>
              <w:t xml:space="preserve">Dec </w:t>
            </w:r>
            <w:r w:rsidRPr="00B03722">
              <w:rPr>
                <w:rFonts w:eastAsia="Times New Roman" w:cs="Arial"/>
                <w:spacing w:val="-2"/>
                <w:szCs w:val="14"/>
                <w:lang w:eastAsia="pt-BR"/>
              </w:rPr>
              <w:t>31</w:t>
            </w:r>
            <w:r>
              <w:rPr>
                <w:rFonts w:eastAsia="Times New Roman" w:cs="Arial"/>
                <w:spacing w:val="-2"/>
                <w:szCs w:val="14"/>
                <w:lang w:eastAsia="pt-BR"/>
              </w:rPr>
              <w:t>, 2021</w:t>
            </w:r>
          </w:p>
        </w:tc>
        <w:tc>
          <w:tcPr>
            <w:tcW w:w="567" w:type="dxa"/>
            <w:tcBorders>
              <w:top w:val="single" w:sz="2" w:space="0" w:color="1F4E79" w:themeColor="accent1" w:themeShade="80"/>
              <w:bottom w:val="nil"/>
            </w:tcBorders>
            <w:shd w:val="clear" w:color="auto" w:fill="auto"/>
            <w:vAlign w:val="center"/>
          </w:tcPr>
          <w:p w14:paraId="45B779CC" w14:textId="77777777" w:rsidR="00991E72" w:rsidRPr="00B03722" w:rsidRDefault="00991E72" w:rsidP="00991E72">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p>
        </w:tc>
        <w:tc>
          <w:tcPr>
            <w:tcW w:w="1276" w:type="dxa"/>
            <w:tcBorders>
              <w:top w:val="single" w:sz="2" w:space="0" w:color="1F4E79" w:themeColor="accent1" w:themeShade="80"/>
              <w:bottom w:val="nil"/>
            </w:tcBorders>
            <w:shd w:val="clear" w:color="auto" w:fill="auto"/>
            <w:vAlign w:val="center"/>
          </w:tcPr>
          <w:p w14:paraId="2AC8721C"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010801">
              <w:rPr>
                <w:rFonts w:cs="Arial"/>
                <w:b/>
                <w:bCs/>
                <w:szCs w:val="14"/>
              </w:rPr>
              <w:t>3</w:t>
            </w:r>
            <w:r>
              <w:rPr>
                <w:rFonts w:cs="Arial"/>
                <w:b/>
                <w:bCs/>
                <w:szCs w:val="14"/>
              </w:rPr>
              <w:t>,</w:t>
            </w:r>
            <w:r w:rsidRPr="00010801">
              <w:rPr>
                <w:rFonts w:cs="Arial"/>
                <w:b/>
                <w:bCs/>
                <w:szCs w:val="14"/>
              </w:rPr>
              <w:t>396</w:t>
            </w:r>
            <w:r>
              <w:rPr>
                <w:rFonts w:cs="Arial"/>
                <w:b/>
                <w:bCs/>
                <w:szCs w:val="14"/>
              </w:rPr>
              <w:t>,</w:t>
            </w:r>
            <w:r w:rsidRPr="00010801">
              <w:rPr>
                <w:rFonts w:cs="Arial"/>
                <w:b/>
                <w:bCs/>
                <w:szCs w:val="14"/>
              </w:rPr>
              <w:t>767</w:t>
            </w:r>
          </w:p>
        </w:tc>
        <w:tc>
          <w:tcPr>
            <w:tcW w:w="993" w:type="dxa"/>
            <w:tcBorders>
              <w:top w:val="single" w:sz="2" w:space="0" w:color="1F4E79" w:themeColor="accent1" w:themeShade="80"/>
              <w:bottom w:val="nil"/>
            </w:tcBorders>
            <w:shd w:val="clear" w:color="auto" w:fill="auto"/>
          </w:tcPr>
          <w:p w14:paraId="66CE5E5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1</w:t>
            </w:r>
            <w:r>
              <w:rPr>
                <w:rFonts w:cs="Arial"/>
                <w:b/>
                <w:bCs/>
                <w:szCs w:val="14"/>
              </w:rPr>
              <w:t>,</w:t>
            </w:r>
            <w:r w:rsidRPr="00F43CF4">
              <w:rPr>
                <w:rFonts w:cs="Arial"/>
                <w:b/>
                <w:bCs/>
                <w:szCs w:val="14"/>
              </w:rPr>
              <w:t>508</w:t>
            </w:r>
          </w:p>
        </w:tc>
        <w:tc>
          <w:tcPr>
            <w:tcW w:w="1277" w:type="dxa"/>
            <w:tcBorders>
              <w:top w:val="single" w:sz="2" w:space="0" w:color="1F4E79" w:themeColor="accent1" w:themeShade="80"/>
              <w:bottom w:val="nil"/>
            </w:tcBorders>
            <w:shd w:val="clear" w:color="auto" w:fill="auto"/>
          </w:tcPr>
          <w:p w14:paraId="1605CBA2"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679</w:t>
            </w:r>
            <w:r>
              <w:rPr>
                <w:rFonts w:cs="Arial"/>
                <w:b/>
                <w:bCs/>
                <w:szCs w:val="14"/>
              </w:rPr>
              <w:t>,</w:t>
            </w:r>
            <w:r w:rsidRPr="00F43CF4">
              <w:rPr>
                <w:rFonts w:cs="Arial"/>
                <w:b/>
                <w:bCs/>
                <w:szCs w:val="14"/>
              </w:rPr>
              <w:t>354</w:t>
            </w:r>
          </w:p>
        </w:tc>
        <w:tc>
          <w:tcPr>
            <w:tcW w:w="1846" w:type="dxa"/>
            <w:tcBorders>
              <w:top w:val="single" w:sz="2" w:space="0" w:color="1F4E79" w:themeColor="accent1" w:themeShade="80"/>
              <w:bottom w:val="nil"/>
            </w:tcBorders>
            <w:shd w:val="clear" w:color="auto" w:fill="auto"/>
          </w:tcPr>
          <w:p w14:paraId="7761B6C7"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3</w:t>
            </w:r>
            <w:r>
              <w:rPr>
                <w:rFonts w:cs="Arial"/>
                <w:b/>
                <w:bCs/>
                <w:szCs w:val="14"/>
              </w:rPr>
              <w:t>,</w:t>
            </w:r>
            <w:r w:rsidRPr="00F43CF4">
              <w:rPr>
                <w:rFonts w:cs="Arial"/>
                <w:b/>
                <w:bCs/>
                <w:szCs w:val="14"/>
              </w:rPr>
              <w:t>443</w:t>
            </w:r>
            <w:r>
              <w:rPr>
                <w:rFonts w:cs="Arial"/>
                <w:b/>
                <w:bCs/>
                <w:szCs w:val="14"/>
              </w:rPr>
              <w:t>,</w:t>
            </w:r>
            <w:r w:rsidRPr="00F43CF4">
              <w:rPr>
                <w:rFonts w:cs="Arial"/>
                <w:b/>
                <w:bCs/>
                <w:szCs w:val="14"/>
              </w:rPr>
              <w:t>571</w:t>
            </w:r>
          </w:p>
        </w:tc>
        <w:tc>
          <w:tcPr>
            <w:tcW w:w="1122" w:type="dxa"/>
            <w:tcBorders>
              <w:top w:val="single" w:sz="2" w:space="0" w:color="1F4E79" w:themeColor="accent1" w:themeShade="80"/>
              <w:bottom w:val="nil"/>
            </w:tcBorders>
            <w:shd w:val="clear" w:color="auto" w:fill="auto"/>
          </w:tcPr>
          <w:p w14:paraId="7AADE19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(81</w:t>
            </w:r>
            <w:r>
              <w:rPr>
                <w:rFonts w:cs="Arial"/>
                <w:b/>
                <w:bCs/>
                <w:szCs w:val="14"/>
              </w:rPr>
              <w:t>,</w:t>
            </w:r>
            <w:r w:rsidRPr="00F43CF4">
              <w:rPr>
                <w:rFonts w:cs="Arial"/>
                <w:b/>
                <w:bCs/>
                <w:szCs w:val="14"/>
              </w:rPr>
              <w:t>320)</w:t>
            </w:r>
          </w:p>
        </w:tc>
        <w:tc>
          <w:tcPr>
            <w:tcW w:w="1289" w:type="dxa"/>
            <w:tcBorders>
              <w:top w:val="single" w:sz="2" w:space="0" w:color="1F4E79" w:themeColor="accent1" w:themeShade="80"/>
              <w:bottom w:val="nil"/>
            </w:tcBorders>
            <w:shd w:val="clear" w:color="auto" w:fill="auto"/>
          </w:tcPr>
          <w:p w14:paraId="7BB4038B"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010801">
              <w:rPr>
                <w:rFonts w:cs="Arial"/>
                <w:b/>
                <w:bCs/>
                <w:szCs w:val="14"/>
              </w:rPr>
              <w:t>(158</w:t>
            </w:r>
            <w:r>
              <w:rPr>
                <w:rFonts w:cs="Arial"/>
                <w:b/>
                <w:bCs/>
                <w:szCs w:val="14"/>
              </w:rPr>
              <w:t>,</w:t>
            </w:r>
            <w:r w:rsidRPr="00010801">
              <w:rPr>
                <w:rFonts w:cs="Arial"/>
                <w:b/>
                <w:bCs/>
                <w:szCs w:val="14"/>
              </w:rPr>
              <w:t>464)</w:t>
            </w:r>
          </w:p>
        </w:tc>
        <w:tc>
          <w:tcPr>
            <w:tcW w:w="1560" w:type="dxa"/>
            <w:tcBorders>
              <w:top w:val="single" w:sz="2" w:space="0" w:color="1F4E79" w:themeColor="accent1" w:themeShade="80"/>
              <w:bottom w:val="nil"/>
            </w:tcBorders>
            <w:shd w:val="clear" w:color="auto" w:fill="auto"/>
          </w:tcPr>
          <w:p w14:paraId="43F8D36C"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eastAsia="Times New Roman" w:cs="Arial"/>
                <w:b/>
                <w:bCs/>
                <w:spacing w:val="-2"/>
                <w:szCs w:val="14"/>
                <w:lang w:eastAsia="pt-BR"/>
              </w:rPr>
              <w:t>--</w:t>
            </w:r>
          </w:p>
        </w:tc>
        <w:tc>
          <w:tcPr>
            <w:tcW w:w="1122" w:type="dxa"/>
            <w:tcBorders>
              <w:top w:val="single" w:sz="2" w:space="0" w:color="1F4E79" w:themeColor="accent1" w:themeShade="80"/>
              <w:bottom w:val="nil"/>
            </w:tcBorders>
            <w:shd w:val="clear" w:color="auto" w:fill="auto"/>
          </w:tcPr>
          <w:p w14:paraId="3BD3ADAD"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CC7FB7">
              <w:rPr>
                <w:rFonts w:cs="Arial"/>
                <w:b/>
                <w:bCs/>
                <w:szCs w:val="14"/>
              </w:rPr>
              <w:t>7</w:t>
            </w:r>
            <w:r>
              <w:rPr>
                <w:rFonts w:cs="Arial"/>
                <w:b/>
                <w:bCs/>
                <w:szCs w:val="14"/>
              </w:rPr>
              <w:t>,</w:t>
            </w:r>
            <w:r w:rsidRPr="00CC7FB7">
              <w:rPr>
                <w:rFonts w:cs="Arial"/>
                <w:b/>
                <w:bCs/>
                <w:szCs w:val="14"/>
              </w:rPr>
              <w:t>281</w:t>
            </w:r>
            <w:r>
              <w:rPr>
                <w:rFonts w:cs="Arial"/>
                <w:b/>
                <w:bCs/>
                <w:szCs w:val="14"/>
              </w:rPr>
              <w:t>,</w:t>
            </w:r>
            <w:r w:rsidRPr="00CC7FB7">
              <w:rPr>
                <w:rFonts w:cs="Arial"/>
                <w:b/>
                <w:bCs/>
                <w:szCs w:val="14"/>
              </w:rPr>
              <w:t>416</w:t>
            </w:r>
          </w:p>
        </w:tc>
      </w:tr>
      <w:tr w:rsidR="00991E72" w:rsidRPr="004E4235" w14:paraId="10880355" w14:textId="77777777" w:rsidTr="00991E7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C67964B" w14:textId="77777777" w:rsidR="00991E72" w:rsidRPr="00B25659" w:rsidRDefault="00991E72" w:rsidP="00991E72">
            <w:pPr>
              <w:keepNext/>
              <w:keepLines/>
              <w:spacing w:before="40" w:after="40"/>
              <w:ind w:left="177"/>
              <w:rPr>
                <w:rFonts w:eastAsia="Times New Roman" w:cs="Arial"/>
                <w:b w:val="0"/>
                <w:spacing w:val="-2"/>
                <w:szCs w:val="14"/>
                <w:lang w:eastAsia="pt-BR"/>
              </w:rPr>
            </w:pPr>
            <w:r w:rsidRPr="00B25659">
              <w:rPr>
                <w:rFonts w:eastAsia="Times New Roman" w:cs="Arial"/>
                <w:b w:val="0"/>
                <w:spacing w:val="-2"/>
                <w:szCs w:val="14"/>
                <w:lang w:eastAsia="pt-BR"/>
              </w:rPr>
              <w:t>Transition CPC 48 and 50</w:t>
            </w:r>
          </w:p>
        </w:tc>
        <w:tc>
          <w:tcPr>
            <w:tcW w:w="567" w:type="dxa"/>
            <w:tcBorders>
              <w:top w:val="nil"/>
              <w:bottom w:val="nil"/>
            </w:tcBorders>
            <w:shd w:val="clear" w:color="auto" w:fill="auto"/>
            <w:vAlign w:val="center"/>
          </w:tcPr>
          <w:p w14:paraId="7CFD7D7B"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p>
        </w:tc>
        <w:tc>
          <w:tcPr>
            <w:tcW w:w="1276" w:type="dxa"/>
            <w:tcBorders>
              <w:top w:val="nil"/>
              <w:bottom w:val="nil"/>
            </w:tcBorders>
            <w:shd w:val="clear" w:color="auto" w:fill="auto"/>
          </w:tcPr>
          <w:p w14:paraId="23C3C767"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szCs w:val="14"/>
              </w:rPr>
              <w:t>--</w:t>
            </w:r>
          </w:p>
        </w:tc>
        <w:tc>
          <w:tcPr>
            <w:tcW w:w="993" w:type="dxa"/>
            <w:tcBorders>
              <w:top w:val="nil"/>
              <w:bottom w:val="nil"/>
            </w:tcBorders>
            <w:shd w:val="clear" w:color="auto" w:fill="auto"/>
          </w:tcPr>
          <w:p w14:paraId="28C58DAA"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szCs w:val="14"/>
              </w:rPr>
              <w:t>--</w:t>
            </w:r>
          </w:p>
        </w:tc>
        <w:tc>
          <w:tcPr>
            <w:tcW w:w="1277" w:type="dxa"/>
            <w:tcBorders>
              <w:top w:val="nil"/>
              <w:bottom w:val="nil"/>
            </w:tcBorders>
            <w:shd w:val="clear" w:color="auto" w:fill="auto"/>
          </w:tcPr>
          <w:p w14:paraId="3DD88508"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szCs w:val="14"/>
              </w:rPr>
              <w:t>--</w:t>
            </w:r>
          </w:p>
        </w:tc>
        <w:tc>
          <w:tcPr>
            <w:tcW w:w="1846" w:type="dxa"/>
            <w:tcBorders>
              <w:top w:val="nil"/>
              <w:bottom w:val="nil"/>
            </w:tcBorders>
            <w:shd w:val="clear" w:color="auto" w:fill="auto"/>
          </w:tcPr>
          <w:p w14:paraId="36744851"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szCs w:val="14"/>
              </w:rPr>
              <w:t>--</w:t>
            </w:r>
          </w:p>
        </w:tc>
        <w:tc>
          <w:tcPr>
            <w:tcW w:w="1122" w:type="dxa"/>
            <w:tcBorders>
              <w:top w:val="nil"/>
              <w:bottom w:val="nil"/>
            </w:tcBorders>
            <w:shd w:val="clear" w:color="auto" w:fill="auto"/>
          </w:tcPr>
          <w:p w14:paraId="26071F0C"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Cs w:val="14"/>
              </w:rPr>
            </w:pPr>
            <w:r>
              <w:rPr>
                <w:rFonts w:cs="Arial"/>
                <w:szCs w:val="14"/>
              </w:rPr>
              <w:t>--</w:t>
            </w:r>
          </w:p>
        </w:tc>
        <w:tc>
          <w:tcPr>
            <w:tcW w:w="1289" w:type="dxa"/>
            <w:tcBorders>
              <w:top w:val="nil"/>
              <w:bottom w:val="nil"/>
            </w:tcBorders>
            <w:shd w:val="clear" w:color="auto" w:fill="auto"/>
          </w:tcPr>
          <w:p w14:paraId="7A3EDE1B"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010801">
              <w:rPr>
                <w:rFonts w:cs="Arial"/>
                <w:szCs w:val="14"/>
              </w:rPr>
              <w:t>--</w:t>
            </w:r>
          </w:p>
        </w:tc>
        <w:tc>
          <w:tcPr>
            <w:tcW w:w="1560" w:type="dxa"/>
            <w:tcBorders>
              <w:top w:val="nil"/>
              <w:bottom w:val="nil"/>
            </w:tcBorders>
            <w:shd w:val="clear" w:color="auto" w:fill="auto"/>
          </w:tcPr>
          <w:p w14:paraId="58DBAE57" w14:textId="77777777" w:rsidR="00991E72" w:rsidRPr="00533587"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bCs/>
                <w:szCs w:val="14"/>
              </w:rPr>
              <w:t>115,141</w:t>
            </w:r>
          </w:p>
        </w:tc>
        <w:tc>
          <w:tcPr>
            <w:tcW w:w="1122" w:type="dxa"/>
            <w:tcBorders>
              <w:top w:val="nil"/>
              <w:bottom w:val="nil"/>
            </w:tcBorders>
            <w:shd w:val="clear" w:color="auto" w:fill="auto"/>
          </w:tcPr>
          <w:p w14:paraId="7EBC153F" w14:textId="77777777" w:rsidR="00991E72" w:rsidRPr="00A63B7B"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Cs w:val="14"/>
              </w:rPr>
            </w:pPr>
            <w:r>
              <w:rPr>
                <w:rFonts w:cs="Arial"/>
                <w:b/>
                <w:bCs/>
                <w:szCs w:val="14"/>
              </w:rPr>
              <w:t>115,141</w:t>
            </w:r>
          </w:p>
        </w:tc>
      </w:tr>
      <w:tr w:rsidR="00991E72" w:rsidRPr="004E4235" w14:paraId="148BE464" w14:textId="77777777" w:rsidTr="00991E72">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CF487A7" w14:textId="38CC8DC7" w:rsidR="00991E72" w:rsidRPr="00456146" w:rsidRDefault="00991E72" w:rsidP="00991E72">
            <w:pPr>
              <w:keepNext/>
              <w:keepLines/>
              <w:spacing w:before="40" w:after="40"/>
              <w:rPr>
                <w:rFonts w:eastAsia="Times New Roman" w:cs="Arial"/>
                <w:spacing w:val="-2"/>
                <w:szCs w:val="14"/>
                <w:lang w:val="en-US" w:eastAsia="pt-BR"/>
              </w:rPr>
            </w:pPr>
            <w:r w:rsidRPr="00456146">
              <w:rPr>
                <w:rFonts w:eastAsia="Times New Roman" w:cs="Arial"/>
                <w:spacing w:val="-2"/>
                <w:szCs w:val="14"/>
                <w:lang w:val="en-US" w:eastAsia="pt-BR"/>
              </w:rPr>
              <w:t>Balances on 01.01.2022 (</w:t>
            </w:r>
            <w:r w:rsidRPr="000C6C6A">
              <w:rPr>
                <w:rFonts w:cs="Arial"/>
                <w:shd w:val="clear" w:color="auto" w:fill="FFFFFF"/>
              </w:rPr>
              <w:t>Opening balance</w:t>
            </w:r>
            <w:r w:rsidRPr="00456146">
              <w:rPr>
                <w:rFonts w:eastAsia="Times New Roman" w:cs="Arial"/>
                <w:spacing w:val="-2"/>
                <w:szCs w:val="14"/>
                <w:lang w:val="en-US" w:eastAsia="pt-BR"/>
              </w:rPr>
              <w:t>)</w:t>
            </w:r>
          </w:p>
        </w:tc>
        <w:tc>
          <w:tcPr>
            <w:tcW w:w="567" w:type="dxa"/>
            <w:tcBorders>
              <w:top w:val="nil"/>
              <w:bottom w:val="nil"/>
            </w:tcBorders>
            <w:shd w:val="clear" w:color="auto" w:fill="auto"/>
            <w:vAlign w:val="center"/>
          </w:tcPr>
          <w:p w14:paraId="5C04FF36" w14:textId="77777777" w:rsidR="00991E72" w:rsidRPr="00456146"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val="en-US" w:eastAsia="pt-BR"/>
              </w:rPr>
            </w:pPr>
          </w:p>
        </w:tc>
        <w:tc>
          <w:tcPr>
            <w:tcW w:w="1276" w:type="dxa"/>
            <w:tcBorders>
              <w:top w:val="nil"/>
              <w:bottom w:val="nil"/>
            </w:tcBorders>
            <w:shd w:val="clear" w:color="auto" w:fill="auto"/>
            <w:vAlign w:val="center"/>
          </w:tcPr>
          <w:p w14:paraId="46BFA9E3"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2F43CE">
              <w:rPr>
                <w:rFonts w:cs="Arial"/>
                <w:b/>
                <w:bCs/>
                <w:szCs w:val="14"/>
              </w:rPr>
              <w:t>3</w:t>
            </w:r>
            <w:r>
              <w:rPr>
                <w:rFonts w:cs="Arial"/>
                <w:b/>
                <w:bCs/>
                <w:szCs w:val="14"/>
              </w:rPr>
              <w:t>,</w:t>
            </w:r>
            <w:r w:rsidRPr="002F43CE">
              <w:rPr>
                <w:rFonts w:cs="Arial"/>
                <w:b/>
                <w:bCs/>
                <w:szCs w:val="14"/>
              </w:rPr>
              <w:t>396</w:t>
            </w:r>
            <w:r>
              <w:rPr>
                <w:rFonts w:cs="Arial"/>
                <w:b/>
                <w:bCs/>
                <w:szCs w:val="14"/>
              </w:rPr>
              <w:t>,</w:t>
            </w:r>
            <w:r w:rsidRPr="002F43CE">
              <w:rPr>
                <w:rFonts w:cs="Arial"/>
                <w:b/>
                <w:bCs/>
                <w:szCs w:val="14"/>
              </w:rPr>
              <w:t>767</w:t>
            </w:r>
          </w:p>
        </w:tc>
        <w:tc>
          <w:tcPr>
            <w:tcW w:w="993" w:type="dxa"/>
            <w:tcBorders>
              <w:top w:val="nil"/>
              <w:bottom w:val="nil"/>
            </w:tcBorders>
            <w:shd w:val="clear" w:color="auto" w:fill="auto"/>
            <w:vAlign w:val="center"/>
          </w:tcPr>
          <w:p w14:paraId="41E53930"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2F43CE">
              <w:rPr>
                <w:rFonts w:cs="Arial"/>
                <w:b/>
                <w:bCs/>
                <w:szCs w:val="14"/>
              </w:rPr>
              <w:t>1</w:t>
            </w:r>
            <w:r>
              <w:rPr>
                <w:rFonts w:cs="Arial"/>
                <w:b/>
                <w:bCs/>
                <w:szCs w:val="14"/>
              </w:rPr>
              <w:t>,</w:t>
            </w:r>
            <w:r w:rsidRPr="002F43CE">
              <w:rPr>
                <w:rFonts w:cs="Arial"/>
                <w:b/>
                <w:bCs/>
                <w:szCs w:val="14"/>
              </w:rPr>
              <w:t>508</w:t>
            </w:r>
          </w:p>
        </w:tc>
        <w:tc>
          <w:tcPr>
            <w:tcW w:w="1277" w:type="dxa"/>
            <w:tcBorders>
              <w:top w:val="nil"/>
              <w:bottom w:val="nil"/>
            </w:tcBorders>
            <w:shd w:val="clear" w:color="auto" w:fill="auto"/>
            <w:vAlign w:val="center"/>
          </w:tcPr>
          <w:p w14:paraId="11CFCA78"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2F43CE">
              <w:rPr>
                <w:rFonts w:cs="Arial"/>
                <w:b/>
                <w:bCs/>
                <w:szCs w:val="14"/>
              </w:rPr>
              <w:t>679</w:t>
            </w:r>
            <w:r>
              <w:rPr>
                <w:rFonts w:cs="Arial"/>
                <w:b/>
                <w:bCs/>
                <w:szCs w:val="14"/>
              </w:rPr>
              <w:t>,</w:t>
            </w:r>
            <w:r w:rsidRPr="002F43CE">
              <w:rPr>
                <w:rFonts w:cs="Arial"/>
                <w:b/>
                <w:bCs/>
                <w:szCs w:val="14"/>
              </w:rPr>
              <w:t>354</w:t>
            </w:r>
          </w:p>
        </w:tc>
        <w:tc>
          <w:tcPr>
            <w:tcW w:w="1846" w:type="dxa"/>
            <w:tcBorders>
              <w:top w:val="nil"/>
              <w:bottom w:val="nil"/>
            </w:tcBorders>
            <w:shd w:val="clear" w:color="auto" w:fill="auto"/>
            <w:vAlign w:val="center"/>
          </w:tcPr>
          <w:p w14:paraId="6B9723E0"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2F43CE">
              <w:rPr>
                <w:rFonts w:cs="Arial"/>
                <w:b/>
                <w:bCs/>
                <w:szCs w:val="14"/>
              </w:rPr>
              <w:t>3</w:t>
            </w:r>
            <w:r>
              <w:rPr>
                <w:rFonts w:cs="Arial"/>
                <w:b/>
                <w:bCs/>
                <w:szCs w:val="14"/>
              </w:rPr>
              <w:t>,</w:t>
            </w:r>
            <w:r w:rsidRPr="002F43CE">
              <w:rPr>
                <w:rFonts w:cs="Arial"/>
                <w:b/>
                <w:bCs/>
                <w:szCs w:val="14"/>
              </w:rPr>
              <w:t>443</w:t>
            </w:r>
            <w:r>
              <w:rPr>
                <w:rFonts w:cs="Arial"/>
                <w:b/>
                <w:bCs/>
                <w:szCs w:val="14"/>
              </w:rPr>
              <w:t>,</w:t>
            </w:r>
            <w:r w:rsidRPr="002F43CE">
              <w:rPr>
                <w:rFonts w:cs="Arial"/>
                <w:b/>
                <w:bCs/>
                <w:szCs w:val="14"/>
              </w:rPr>
              <w:t>571</w:t>
            </w:r>
          </w:p>
        </w:tc>
        <w:tc>
          <w:tcPr>
            <w:tcW w:w="1122" w:type="dxa"/>
            <w:tcBorders>
              <w:top w:val="nil"/>
              <w:bottom w:val="nil"/>
            </w:tcBorders>
            <w:shd w:val="clear" w:color="auto" w:fill="auto"/>
            <w:vAlign w:val="center"/>
          </w:tcPr>
          <w:p w14:paraId="204830C1"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Cs w:val="14"/>
              </w:rPr>
            </w:pPr>
            <w:r>
              <w:rPr>
                <w:rFonts w:cs="Arial"/>
                <w:b/>
                <w:bCs/>
                <w:szCs w:val="14"/>
              </w:rPr>
              <w:t>(</w:t>
            </w:r>
            <w:r w:rsidRPr="002F43CE">
              <w:rPr>
                <w:rFonts w:cs="Arial"/>
                <w:b/>
                <w:bCs/>
                <w:szCs w:val="14"/>
              </w:rPr>
              <w:t>81</w:t>
            </w:r>
            <w:r>
              <w:rPr>
                <w:rFonts w:cs="Arial"/>
                <w:b/>
                <w:bCs/>
                <w:szCs w:val="14"/>
              </w:rPr>
              <w:t>,</w:t>
            </w:r>
            <w:r w:rsidRPr="002F43CE">
              <w:rPr>
                <w:rFonts w:cs="Arial"/>
                <w:b/>
                <w:bCs/>
                <w:szCs w:val="14"/>
              </w:rPr>
              <w:t>320</w:t>
            </w:r>
            <w:r>
              <w:rPr>
                <w:rFonts w:cs="Arial"/>
                <w:b/>
                <w:bCs/>
                <w:szCs w:val="14"/>
              </w:rPr>
              <w:t>)</w:t>
            </w:r>
          </w:p>
        </w:tc>
        <w:tc>
          <w:tcPr>
            <w:tcW w:w="1289" w:type="dxa"/>
            <w:tcBorders>
              <w:top w:val="nil"/>
              <w:bottom w:val="nil"/>
            </w:tcBorders>
            <w:shd w:val="clear" w:color="auto" w:fill="auto"/>
            <w:vAlign w:val="center"/>
          </w:tcPr>
          <w:p w14:paraId="0C8310A4"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w:t>
            </w:r>
            <w:r w:rsidRPr="002F43CE">
              <w:rPr>
                <w:rFonts w:cs="Arial"/>
                <w:b/>
                <w:bCs/>
                <w:szCs w:val="14"/>
              </w:rPr>
              <w:t>158</w:t>
            </w:r>
            <w:r>
              <w:rPr>
                <w:rFonts w:cs="Arial"/>
                <w:b/>
                <w:bCs/>
                <w:szCs w:val="14"/>
              </w:rPr>
              <w:t>,</w:t>
            </w:r>
            <w:r w:rsidRPr="002F43CE">
              <w:rPr>
                <w:rFonts w:cs="Arial"/>
                <w:b/>
                <w:bCs/>
                <w:szCs w:val="14"/>
              </w:rPr>
              <w:t>464</w:t>
            </w:r>
            <w:r>
              <w:rPr>
                <w:rFonts w:cs="Arial"/>
                <w:b/>
                <w:bCs/>
                <w:szCs w:val="14"/>
              </w:rPr>
              <w:t>)</w:t>
            </w:r>
          </w:p>
        </w:tc>
        <w:tc>
          <w:tcPr>
            <w:tcW w:w="1560" w:type="dxa"/>
            <w:tcBorders>
              <w:top w:val="nil"/>
              <w:bottom w:val="nil"/>
            </w:tcBorders>
            <w:shd w:val="clear" w:color="auto" w:fill="auto"/>
            <w:vAlign w:val="center"/>
          </w:tcPr>
          <w:p w14:paraId="1B2223B8" w14:textId="77777777" w:rsidR="00991E72" w:rsidRPr="00533587"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115,141</w:t>
            </w:r>
          </w:p>
        </w:tc>
        <w:tc>
          <w:tcPr>
            <w:tcW w:w="1122" w:type="dxa"/>
            <w:tcBorders>
              <w:top w:val="nil"/>
              <w:bottom w:val="nil"/>
            </w:tcBorders>
            <w:shd w:val="clear" w:color="auto" w:fill="auto"/>
            <w:vAlign w:val="center"/>
          </w:tcPr>
          <w:p w14:paraId="07C10FE8" w14:textId="77777777" w:rsidR="00991E72" w:rsidRPr="00A63B7B"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Cs w:val="14"/>
              </w:rPr>
            </w:pPr>
            <w:r>
              <w:rPr>
                <w:rFonts w:cs="Arial"/>
                <w:b/>
                <w:bCs/>
                <w:szCs w:val="14"/>
              </w:rPr>
              <w:t>7,396,557</w:t>
            </w:r>
          </w:p>
        </w:tc>
      </w:tr>
      <w:tr w:rsidR="00991E72" w:rsidRPr="004E4235" w14:paraId="4CC9A74B" w14:textId="77777777" w:rsidTr="00991E7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5C59124" w14:textId="77777777" w:rsidR="00991E72" w:rsidRPr="00456146" w:rsidRDefault="00991E72" w:rsidP="00991E72">
            <w:pPr>
              <w:keepNext/>
              <w:keepLines/>
              <w:spacing w:before="40" w:after="40"/>
              <w:ind w:left="177"/>
              <w:rPr>
                <w:rFonts w:eastAsia="Times New Roman" w:cs="Arial"/>
                <w:b w:val="0"/>
                <w:spacing w:val="-2"/>
                <w:szCs w:val="14"/>
                <w:lang w:val="en-US" w:eastAsia="pt-BR"/>
              </w:rPr>
            </w:pPr>
            <w:r w:rsidRPr="00456146">
              <w:rPr>
                <w:rFonts w:eastAsia="Times New Roman" w:cs="Arial"/>
                <w:b w:val="0"/>
                <w:spacing w:val="-2"/>
                <w:szCs w:val="14"/>
                <w:lang w:val="en-US" w:eastAsia="pt-BR"/>
              </w:rPr>
              <w:t>Other comprehensive income</w:t>
            </w:r>
          </w:p>
        </w:tc>
        <w:tc>
          <w:tcPr>
            <w:tcW w:w="567" w:type="dxa"/>
            <w:tcBorders>
              <w:top w:val="nil"/>
              <w:bottom w:val="nil"/>
            </w:tcBorders>
            <w:shd w:val="clear" w:color="auto" w:fill="auto"/>
            <w:vAlign w:val="center"/>
          </w:tcPr>
          <w:p w14:paraId="175DF07E" w14:textId="77777777" w:rsidR="00991E72" w:rsidRPr="0045614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val="en-US" w:eastAsia="pt-BR"/>
              </w:rPr>
            </w:pPr>
          </w:p>
        </w:tc>
        <w:tc>
          <w:tcPr>
            <w:tcW w:w="1276" w:type="dxa"/>
            <w:tcBorders>
              <w:top w:val="nil"/>
              <w:bottom w:val="nil"/>
            </w:tcBorders>
            <w:shd w:val="clear" w:color="auto" w:fill="auto"/>
            <w:vAlign w:val="center"/>
          </w:tcPr>
          <w:p w14:paraId="09DFC028"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993" w:type="dxa"/>
            <w:tcBorders>
              <w:top w:val="nil"/>
              <w:bottom w:val="nil"/>
            </w:tcBorders>
            <w:shd w:val="clear" w:color="auto" w:fill="auto"/>
            <w:vAlign w:val="center"/>
          </w:tcPr>
          <w:p w14:paraId="67DB82B7"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277" w:type="dxa"/>
            <w:tcBorders>
              <w:top w:val="nil"/>
              <w:bottom w:val="nil"/>
            </w:tcBorders>
            <w:shd w:val="clear" w:color="auto" w:fill="auto"/>
            <w:vAlign w:val="center"/>
          </w:tcPr>
          <w:p w14:paraId="6B328B8E"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846" w:type="dxa"/>
            <w:tcBorders>
              <w:top w:val="nil"/>
              <w:bottom w:val="nil"/>
            </w:tcBorders>
            <w:shd w:val="clear" w:color="auto" w:fill="auto"/>
            <w:vAlign w:val="center"/>
          </w:tcPr>
          <w:p w14:paraId="0D20C811"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122" w:type="dxa"/>
            <w:tcBorders>
              <w:top w:val="nil"/>
              <w:bottom w:val="nil"/>
            </w:tcBorders>
            <w:shd w:val="clear" w:color="auto" w:fill="auto"/>
            <w:vAlign w:val="center"/>
          </w:tcPr>
          <w:p w14:paraId="3DA7E2DB"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289" w:type="dxa"/>
            <w:tcBorders>
              <w:top w:val="nil"/>
              <w:bottom w:val="nil"/>
            </w:tcBorders>
            <w:shd w:val="clear" w:color="auto" w:fill="auto"/>
            <w:vAlign w:val="center"/>
          </w:tcPr>
          <w:p w14:paraId="6CB6CB9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37461D">
              <w:rPr>
                <w:rFonts w:eastAsia="Times New Roman" w:cs="Arial"/>
                <w:spacing w:val="-2"/>
                <w:szCs w:val="14"/>
                <w:lang w:eastAsia="pt-BR"/>
              </w:rPr>
              <w:t>(15</w:t>
            </w:r>
            <w:r>
              <w:rPr>
                <w:rFonts w:eastAsia="Times New Roman" w:cs="Arial"/>
                <w:spacing w:val="-2"/>
                <w:szCs w:val="14"/>
                <w:lang w:eastAsia="pt-BR"/>
              </w:rPr>
              <w:t>,</w:t>
            </w:r>
            <w:r w:rsidRPr="0037461D">
              <w:rPr>
                <w:rFonts w:eastAsia="Times New Roman" w:cs="Arial"/>
                <w:spacing w:val="-2"/>
                <w:szCs w:val="14"/>
                <w:lang w:eastAsia="pt-BR"/>
              </w:rPr>
              <w:t>832)</w:t>
            </w:r>
          </w:p>
        </w:tc>
        <w:tc>
          <w:tcPr>
            <w:tcW w:w="1560" w:type="dxa"/>
            <w:tcBorders>
              <w:top w:val="nil"/>
              <w:bottom w:val="nil"/>
            </w:tcBorders>
            <w:shd w:val="clear" w:color="auto" w:fill="auto"/>
            <w:vAlign w:val="center"/>
          </w:tcPr>
          <w:p w14:paraId="3BAE40FE"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37461D">
              <w:rPr>
                <w:rFonts w:eastAsia="Times New Roman" w:cs="Arial"/>
                <w:spacing w:val="-2"/>
                <w:szCs w:val="14"/>
                <w:lang w:eastAsia="pt-BR"/>
              </w:rPr>
              <w:t>--</w:t>
            </w:r>
          </w:p>
        </w:tc>
        <w:tc>
          <w:tcPr>
            <w:tcW w:w="1122" w:type="dxa"/>
            <w:tcBorders>
              <w:top w:val="nil"/>
              <w:bottom w:val="nil"/>
            </w:tcBorders>
            <w:shd w:val="clear" w:color="auto" w:fill="auto"/>
            <w:vAlign w:val="center"/>
          </w:tcPr>
          <w:p w14:paraId="27002CF6"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eastAsia="Times New Roman" w:cs="Arial"/>
                <w:b/>
                <w:spacing w:val="-2"/>
                <w:szCs w:val="14"/>
                <w:lang w:eastAsia="pt-BR"/>
              </w:rPr>
              <w:t>(15</w:t>
            </w:r>
            <w:r>
              <w:rPr>
                <w:rFonts w:eastAsia="Times New Roman" w:cs="Arial"/>
                <w:b/>
                <w:spacing w:val="-2"/>
                <w:szCs w:val="14"/>
                <w:lang w:eastAsia="pt-BR"/>
              </w:rPr>
              <w:t>,</w:t>
            </w:r>
            <w:r w:rsidRPr="00CC7FB7">
              <w:rPr>
                <w:rFonts w:eastAsia="Times New Roman" w:cs="Arial"/>
                <w:b/>
                <w:spacing w:val="-2"/>
                <w:szCs w:val="14"/>
                <w:lang w:eastAsia="pt-BR"/>
              </w:rPr>
              <w:t xml:space="preserve">832) </w:t>
            </w:r>
          </w:p>
        </w:tc>
      </w:tr>
      <w:tr w:rsidR="00991E72" w:rsidRPr="004E4235" w14:paraId="23449D42" w14:textId="77777777" w:rsidTr="00991E72">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F23BE7C" w14:textId="77777777" w:rsidR="00991E72" w:rsidRPr="00456146" w:rsidRDefault="00991E72" w:rsidP="00991E72">
            <w:pPr>
              <w:keepNext/>
              <w:keepLines/>
              <w:spacing w:before="40" w:after="40"/>
              <w:ind w:left="177"/>
              <w:rPr>
                <w:rFonts w:eastAsia="Times New Roman" w:cs="Arial"/>
                <w:b w:val="0"/>
                <w:spacing w:val="-2"/>
                <w:szCs w:val="14"/>
                <w:lang w:val="en-US" w:eastAsia="pt-BR"/>
              </w:rPr>
            </w:pPr>
            <w:r w:rsidRPr="00456146">
              <w:rPr>
                <w:rFonts w:eastAsia="Times New Roman" w:cs="Arial"/>
                <w:b w:val="0"/>
                <w:spacing w:val="-2"/>
                <w:szCs w:val="14"/>
                <w:lang w:val="en-US" w:eastAsia="pt-BR"/>
              </w:rPr>
              <w:t>Other comprehensive income -</w:t>
            </w:r>
            <w:r>
              <w:rPr>
                <w:rFonts w:eastAsia="Times New Roman" w:cs="Arial"/>
                <w:b w:val="0"/>
                <w:spacing w:val="-2"/>
                <w:szCs w:val="14"/>
                <w:lang w:val="en-US" w:eastAsia="pt-BR"/>
              </w:rPr>
              <w:t xml:space="preserve"> E</w:t>
            </w:r>
            <w:r w:rsidRPr="00E32FFE">
              <w:rPr>
                <w:rFonts w:cs="Arial"/>
                <w:b w:val="0"/>
                <w:bCs w:val="0"/>
                <w:szCs w:val="14"/>
                <w:lang w:val="en-US"/>
              </w:rPr>
              <w:t>ffects CPC 48 and 50</w:t>
            </w:r>
          </w:p>
        </w:tc>
        <w:tc>
          <w:tcPr>
            <w:tcW w:w="567" w:type="dxa"/>
            <w:tcBorders>
              <w:top w:val="nil"/>
              <w:bottom w:val="nil"/>
            </w:tcBorders>
            <w:shd w:val="clear" w:color="auto" w:fill="auto"/>
            <w:vAlign w:val="center"/>
          </w:tcPr>
          <w:p w14:paraId="494F9DDF" w14:textId="77777777" w:rsidR="00991E72" w:rsidRPr="00456146"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val="en-US" w:eastAsia="pt-BR"/>
              </w:rPr>
            </w:pPr>
          </w:p>
        </w:tc>
        <w:tc>
          <w:tcPr>
            <w:tcW w:w="1276" w:type="dxa"/>
            <w:tcBorders>
              <w:top w:val="nil"/>
              <w:bottom w:val="nil"/>
            </w:tcBorders>
            <w:shd w:val="clear" w:color="auto" w:fill="auto"/>
            <w:vAlign w:val="center"/>
          </w:tcPr>
          <w:p w14:paraId="0E68538C"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993" w:type="dxa"/>
            <w:tcBorders>
              <w:top w:val="nil"/>
              <w:bottom w:val="nil"/>
            </w:tcBorders>
            <w:shd w:val="clear" w:color="auto" w:fill="auto"/>
            <w:vAlign w:val="center"/>
          </w:tcPr>
          <w:p w14:paraId="5359EC0A"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277" w:type="dxa"/>
            <w:tcBorders>
              <w:top w:val="nil"/>
              <w:bottom w:val="nil"/>
            </w:tcBorders>
            <w:shd w:val="clear" w:color="auto" w:fill="auto"/>
            <w:vAlign w:val="center"/>
          </w:tcPr>
          <w:p w14:paraId="3BC10EBB"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846" w:type="dxa"/>
            <w:tcBorders>
              <w:top w:val="nil"/>
              <w:bottom w:val="nil"/>
            </w:tcBorders>
            <w:shd w:val="clear" w:color="auto" w:fill="auto"/>
            <w:vAlign w:val="center"/>
          </w:tcPr>
          <w:p w14:paraId="785EE044"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122" w:type="dxa"/>
            <w:tcBorders>
              <w:top w:val="nil"/>
              <w:bottom w:val="nil"/>
            </w:tcBorders>
            <w:shd w:val="clear" w:color="auto" w:fill="auto"/>
            <w:vAlign w:val="center"/>
          </w:tcPr>
          <w:p w14:paraId="6ACE83B7"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eastAsia="Times New Roman" w:cs="Arial"/>
                <w:spacing w:val="-2"/>
                <w:szCs w:val="14"/>
                <w:lang w:eastAsia="pt-BR"/>
              </w:rPr>
              <w:t>--</w:t>
            </w:r>
          </w:p>
        </w:tc>
        <w:tc>
          <w:tcPr>
            <w:tcW w:w="1289" w:type="dxa"/>
            <w:tcBorders>
              <w:top w:val="nil"/>
              <w:bottom w:val="nil"/>
            </w:tcBorders>
            <w:shd w:val="clear" w:color="auto" w:fill="auto"/>
            <w:vAlign w:val="center"/>
          </w:tcPr>
          <w:p w14:paraId="0F9FFCCB"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spacing w:val="-2"/>
                <w:szCs w:val="14"/>
                <w:lang w:eastAsia="pt-BR"/>
              </w:rPr>
              <w:t>(6</w:t>
            </w:r>
            <w:r>
              <w:rPr>
                <w:rFonts w:eastAsia="Times New Roman" w:cs="Arial"/>
                <w:spacing w:val="-2"/>
                <w:szCs w:val="14"/>
                <w:lang w:eastAsia="pt-BR"/>
              </w:rPr>
              <w:t>,</w:t>
            </w:r>
            <w:r w:rsidRPr="0037461D">
              <w:rPr>
                <w:rFonts w:eastAsia="Times New Roman" w:cs="Arial"/>
                <w:spacing w:val="-2"/>
                <w:szCs w:val="14"/>
                <w:lang w:eastAsia="pt-BR"/>
              </w:rPr>
              <w:t>100)</w:t>
            </w:r>
          </w:p>
        </w:tc>
        <w:tc>
          <w:tcPr>
            <w:tcW w:w="1560" w:type="dxa"/>
            <w:tcBorders>
              <w:top w:val="nil"/>
              <w:bottom w:val="nil"/>
            </w:tcBorders>
            <w:shd w:val="clear" w:color="auto" w:fill="auto"/>
            <w:vAlign w:val="center"/>
          </w:tcPr>
          <w:p w14:paraId="07B1AE39"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spacing w:val="-2"/>
                <w:szCs w:val="14"/>
                <w:lang w:eastAsia="pt-BR"/>
              </w:rPr>
              <w:t>--</w:t>
            </w:r>
          </w:p>
        </w:tc>
        <w:tc>
          <w:tcPr>
            <w:tcW w:w="1122" w:type="dxa"/>
            <w:tcBorders>
              <w:top w:val="nil"/>
              <w:bottom w:val="nil"/>
            </w:tcBorders>
            <w:shd w:val="clear" w:color="auto" w:fill="auto"/>
            <w:vAlign w:val="center"/>
          </w:tcPr>
          <w:p w14:paraId="4675763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eastAsia="Times New Roman" w:cs="Arial"/>
                <w:b/>
                <w:spacing w:val="-2"/>
                <w:szCs w:val="14"/>
                <w:lang w:eastAsia="pt-BR"/>
              </w:rPr>
              <w:t>(</w:t>
            </w:r>
            <w:r>
              <w:rPr>
                <w:rFonts w:eastAsia="Times New Roman" w:cs="Arial"/>
                <w:b/>
                <w:spacing w:val="-2"/>
                <w:szCs w:val="14"/>
                <w:lang w:eastAsia="pt-BR"/>
              </w:rPr>
              <w:t>6,100</w:t>
            </w:r>
            <w:r w:rsidRPr="00CC7FB7">
              <w:rPr>
                <w:rFonts w:eastAsia="Times New Roman" w:cs="Arial"/>
                <w:b/>
                <w:spacing w:val="-2"/>
                <w:szCs w:val="14"/>
                <w:lang w:eastAsia="pt-BR"/>
              </w:rPr>
              <w:t xml:space="preserve">) </w:t>
            </w:r>
          </w:p>
        </w:tc>
      </w:tr>
      <w:tr w:rsidR="00991E72" w:rsidRPr="004E4235" w14:paraId="26994595" w14:textId="77777777" w:rsidTr="00991E72">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A51A3D4" w14:textId="77777777" w:rsidR="00991E72" w:rsidRPr="00B03722" w:rsidRDefault="00991E72" w:rsidP="00991E72">
            <w:pPr>
              <w:keepNext/>
              <w:keepLines/>
              <w:spacing w:before="40" w:after="40"/>
              <w:ind w:firstLine="176"/>
              <w:rPr>
                <w:rFonts w:eastAsia="Times New Roman" w:cs="Arial"/>
                <w:spacing w:val="-2"/>
                <w:szCs w:val="14"/>
                <w:lang w:val="en-US" w:eastAsia="pt-BR"/>
              </w:rPr>
            </w:pPr>
            <w:r>
              <w:rPr>
                <w:rStyle w:val="rynqvb"/>
                <w:lang w:val="en"/>
              </w:rPr>
              <w:t>Net Income for the Period</w:t>
            </w:r>
          </w:p>
        </w:tc>
        <w:tc>
          <w:tcPr>
            <w:tcW w:w="567" w:type="dxa"/>
            <w:tcBorders>
              <w:top w:val="nil"/>
              <w:bottom w:val="nil"/>
            </w:tcBorders>
            <w:shd w:val="clear" w:color="auto" w:fill="auto"/>
            <w:vAlign w:val="center"/>
          </w:tcPr>
          <w:p w14:paraId="4906ADFE" w14:textId="77777777" w:rsidR="00991E72" w:rsidRPr="003260CE"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val="en-US" w:eastAsia="pt-BR"/>
              </w:rPr>
            </w:pPr>
          </w:p>
        </w:tc>
        <w:tc>
          <w:tcPr>
            <w:tcW w:w="1276" w:type="dxa"/>
            <w:tcBorders>
              <w:top w:val="nil"/>
              <w:bottom w:val="nil"/>
            </w:tcBorders>
            <w:shd w:val="clear" w:color="auto" w:fill="auto"/>
            <w:vAlign w:val="center"/>
          </w:tcPr>
          <w:p w14:paraId="204DC909"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w:t>
            </w:r>
          </w:p>
        </w:tc>
        <w:tc>
          <w:tcPr>
            <w:tcW w:w="993" w:type="dxa"/>
            <w:tcBorders>
              <w:top w:val="nil"/>
              <w:bottom w:val="nil"/>
            </w:tcBorders>
            <w:shd w:val="clear" w:color="auto" w:fill="auto"/>
            <w:vAlign w:val="center"/>
          </w:tcPr>
          <w:p w14:paraId="632616F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w:t>
            </w:r>
          </w:p>
        </w:tc>
        <w:tc>
          <w:tcPr>
            <w:tcW w:w="1277" w:type="dxa"/>
            <w:tcBorders>
              <w:top w:val="nil"/>
              <w:bottom w:val="nil"/>
            </w:tcBorders>
            <w:shd w:val="clear" w:color="auto" w:fill="auto"/>
            <w:vAlign w:val="center"/>
          </w:tcPr>
          <w:p w14:paraId="474CD501"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w:t>
            </w:r>
          </w:p>
        </w:tc>
        <w:tc>
          <w:tcPr>
            <w:tcW w:w="1846" w:type="dxa"/>
            <w:tcBorders>
              <w:top w:val="nil"/>
              <w:bottom w:val="nil"/>
            </w:tcBorders>
            <w:shd w:val="clear" w:color="auto" w:fill="auto"/>
            <w:vAlign w:val="center"/>
          </w:tcPr>
          <w:p w14:paraId="6994732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w:t>
            </w:r>
          </w:p>
        </w:tc>
        <w:tc>
          <w:tcPr>
            <w:tcW w:w="1122" w:type="dxa"/>
            <w:tcBorders>
              <w:top w:val="nil"/>
              <w:bottom w:val="nil"/>
            </w:tcBorders>
            <w:shd w:val="clear" w:color="auto" w:fill="auto"/>
            <w:vAlign w:val="center"/>
          </w:tcPr>
          <w:p w14:paraId="7F13BA85"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w:t>
            </w:r>
          </w:p>
        </w:tc>
        <w:tc>
          <w:tcPr>
            <w:tcW w:w="1289" w:type="dxa"/>
            <w:tcBorders>
              <w:top w:val="nil"/>
              <w:bottom w:val="nil"/>
            </w:tcBorders>
            <w:shd w:val="clear" w:color="auto" w:fill="auto"/>
            <w:vAlign w:val="center"/>
          </w:tcPr>
          <w:p w14:paraId="32E78876"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w:t>
            </w:r>
          </w:p>
        </w:tc>
        <w:tc>
          <w:tcPr>
            <w:tcW w:w="1560" w:type="dxa"/>
            <w:tcBorders>
              <w:top w:val="nil"/>
              <w:bottom w:val="nil"/>
            </w:tcBorders>
            <w:shd w:val="clear" w:color="auto" w:fill="auto"/>
            <w:vAlign w:val="center"/>
          </w:tcPr>
          <w:p w14:paraId="776AF25A"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1</w:t>
            </w:r>
            <w:r>
              <w:rPr>
                <w:rFonts w:cs="Arial"/>
                <w:b/>
                <w:bCs/>
                <w:szCs w:val="14"/>
              </w:rPr>
              <w:t>,</w:t>
            </w:r>
            <w:r w:rsidRPr="0037461D">
              <w:rPr>
                <w:rFonts w:cs="Arial"/>
                <w:b/>
                <w:bCs/>
                <w:szCs w:val="14"/>
              </w:rPr>
              <w:t>179</w:t>
            </w:r>
            <w:r>
              <w:rPr>
                <w:rFonts w:cs="Arial"/>
                <w:b/>
                <w:bCs/>
                <w:szCs w:val="14"/>
              </w:rPr>
              <w:t>,</w:t>
            </w:r>
            <w:r w:rsidRPr="0037461D">
              <w:rPr>
                <w:rFonts w:cs="Arial"/>
                <w:b/>
                <w:bCs/>
                <w:szCs w:val="14"/>
              </w:rPr>
              <w:t>431</w:t>
            </w:r>
          </w:p>
        </w:tc>
        <w:tc>
          <w:tcPr>
            <w:tcW w:w="1122" w:type="dxa"/>
            <w:tcBorders>
              <w:top w:val="nil"/>
              <w:bottom w:val="nil"/>
            </w:tcBorders>
            <w:shd w:val="clear" w:color="auto" w:fill="auto"/>
            <w:vAlign w:val="center"/>
          </w:tcPr>
          <w:p w14:paraId="5CE05E94"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37461D">
              <w:rPr>
                <w:rFonts w:cs="Arial"/>
                <w:b/>
                <w:bCs/>
                <w:szCs w:val="14"/>
              </w:rPr>
              <w:t>1</w:t>
            </w:r>
            <w:r>
              <w:rPr>
                <w:rFonts w:cs="Arial"/>
                <w:b/>
                <w:bCs/>
                <w:szCs w:val="14"/>
              </w:rPr>
              <w:t>,</w:t>
            </w:r>
            <w:r w:rsidRPr="0037461D">
              <w:rPr>
                <w:rFonts w:cs="Arial"/>
                <w:b/>
                <w:bCs/>
                <w:szCs w:val="14"/>
              </w:rPr>
              <w:t>179</w:t>
            </w:r>
            <w:r>
              <w:rPr>
                <w:rFonts w:cs="Arial"/>
                <w:b/>
                <w:bCs/>
                <w:szCs w:val="14"/>
              </w:rPr>
              <w:t>,</w:t>
            </w:r>
            <w:r w:rsidRPr="0037461D">
              <w:rPr>
                <w:rFonts w:cs="Arial"/>
                <w:b/>
                <w:bCs/>
                <w:szCs w:val="14"/>
              </w:rPr>
              <w:t xml:space="preserve">431 </w:t>
            </w:r>
          </w:p>
        </w:tc>
      </w:tr>
      <w:tr w:rsidR="00991E72" w:rsidRPr="004E4235" w14:paraId="75D008D9" w14:textId="77777777" w:rsidTr="00991E72">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10F3B98" w14:textId="77777777" w:rsidR="00991E72" w:rsidRPr="0098342A" w:rsidRDefault="00991E72" w:rsidP="00991E72">
            <w:pPr>
              <w:keepNext/>
              <w:keepLines/>
              <w:spacing w:before="40" w:after="40"/>
              <w:ind w:firstLine="176"/>
              <w:rPr>
                <w:rFonts w:eastAsia="Times New Roman" w:cs="Arial"/>
                <w:b w:val="0"/>
                <w:spacing w:val="-2"/>
                <w:szCs w:val="14"/>
                <w:lang w:val="en-US" w:eastAsia="pt-BR"/>
              </w:rPr>
            </w:pPr>
            <w:r>
              <w:rPr>
                <w:rStyle w:val="rynqvb"/>
                <w:lang w:val="en"/>
              </w:rPr>
              <w:t xml:space="preserve">Net Income for the Period </w:t>
            </w:r>
            <w:r w:rsidRPr="00677D47">
              <w:rPr>
                <w:rStyle w:val="rynqvb"/>
                <w:lang w:val="en"/>
              </w:rPr>
              <w:t xml:space="preserve">- </w:t>
            </w:r>
            <w:r>
              <w:rPr>
                <w:rFonts w:eastAsia="Times New Roman" w:cs="Arial"/>
                <w:spacing w:val="-2"/>
                <w:szCs w:val="14"/>
                <w:lang w:val="en-US" w:eastAsia="pt-BR"/>
              </w:rPr>
              <w:t>E</w:t>
            </w:r>
            <w:r w:rsidRPr="00E32FFE">
              <w:rPr>
                <w:rFonts w:cs="Arial"/>
                <w:bCs w:val="0"/>
                <w:szCs w:val="14"/>
                <w:lang w:val="en-US"/>
              </w:rPr>
              <w:t>ffects CPC 48 and 50</w:t>
            </w:r>
          </w:p>
        </w:tc>
        <w:tc>
          <w:tcPr>
            <w:tcW w:w="567" w:type="dxa"/>
            <w:tcBorders>
              <w:top w:val="nil"/>
              <w:bottom w:val="nil"/>
            </w:tcBorders>
            <w:shd w:val="clear" w:color="auto" w:fill="auto"/>
            <w:vAlign w:val="center"/>
          </w:tcPr>
          <w:p w14:paraId="206E2796" w14:textId="77777777" w:rsidR="00991E72" w:rsidRPr="00FD7EA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val="en-US" w:eastAsia="pt-BR"/>
              </w:rPr>
            </w:pPr>
          </w:p>
        </w:tc>
        <w:tc>
          <w:tcPr>
            <w:tcW w:w="1276" w:type="dxa"/>
            <w:tcBorders>
              <w:top w:val="nil"/>
              <w:bottom w:val="nil"/>
            </w:tcBorders>
            <w:shd w:val="clear" w:color="auto" w:fill="auto"/>
            <w:vAlign w:val="center"/>
          </w:tcPr>
          <w:p w14:paraId="3CF17883"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 </w:t>
            </w:r>
          </w:p>
        </w:tc>
        <w:tc>
          <w:tcPr>
            <w:tcW w:w="993" w:type="dxa"/>
            <w:tcBorders>
              <w:top w:val="nil"/>
              <w:bottom w:val="nil"/>
            </w:tcBorders>
            <w:shd w:val="clear" w:color="auto" w:fill="auto"/>
            <w:vAlign w:val="center"/>
          </w:tcPr>
          <w:p w14:paraId="16A91D52"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w:t>
            </w:r>
          </w:p>
        </w:tc>
        <w:tc>
          <w:tcPr>
            <w:tcW w:w="1277" w:type="dxa"/>
            <w:tcBorders>
              <w:top w:val="nil"/>
              <w:bottom w:val="nil"/>
            </w:tcBorders>
            <w:shd w:val="clear" w:color="auto" w:fill="auto"/>
            <w:vAlign w:val="center"/>
          </w:tcPr>
          <w:p w14:paraId="70D6A38F"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w:t>
            </w:r>
          </w:p>
        </w:tc>
        <w:tc>
          <w:tcPr>
            <w:tcW w:w="1846" w:type="dxa"/>
            <w:tcBorders>
              <w:top w:val="nil"/>
              <w:bottom w:val="nil"/>
            </w:tcBorders>
            <w:shd w:val="clear" w:color="auto" w:fill="auto"/>
            <w:vAlign w:val="center"/>
          </w:tcPr>
          <w:p w14:paraId="754D9DCE"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w:t>
            </w:r>
          </w:p>
        </w:tc>
        <w:tc>
          <w:tcPr>
            <w:tcW w:w="1122" w:type="dxa"/>
            <w:tcBorders>
              <w:top w:val="nil"/>
              <w:bottom w:val="nil"/>
            </w:tcBorders>
            <w:shd w:val="clear" w:color="auto" w:fill="auto"/>
            <w:vAlign w:val="center"/>
          </w:tcPr>
          <w:p w14:paraId="3DABE797"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w:t>
            </w:r>
          </w:p>
        </w:tc>
        <w:tc>
          <w:tcPr>
            <w:tcW w:w="1289" w:type="dxa"/>
            <w:tcBorders>
              <w:top w:val="nil"/>
              <w:bottom w:val="nil"/>
            </w:tcBorders>
            <w:shd w:val="clear" w:color="auto" w:fill="auto"/>
            <w:vAlign w:val="center"/>
          </w:tcPr>
          <w:p w14:paraId="06E05A29"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w:t>
            </w:r>
          </w:p>
        </w:tc>
        <w:tc>
          <w:tcPr>
            <w:tcW w:w="1560" w:type="dxa"/>
            <w:tcBorders>
              <w:top w:val="nil"/>
              <w:bottom w:val="nil"/>
            </w:tcBorders>
            <w:shd w:val="clear" w:color="auto" w:fill="auto"/>
            <w:vAlign w:val="center"/>
          </w:tcPr>
          <w:p w14:paraId="67EF8340" w14:textId="77777777" w:rsidR="00991E72" w:rsidRPr="0039799A"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37461D">
              <w:rPr>
                <w:rFonts w:eastAsia="Times New Roman" w:cs="Arial"/>
                <w:b/>
                <w:spacing w:val="-2"/>
                <w:szCs w:val="14"/>
                <w:lang w:eastAsia="pt-BR"/>
              </w:rPr>
              <w:t>30</w:t>
            </w:r>
            <w:r>
              <w:rPr>
                <w:rFonts w:eastAsia="Times New Roman" w:cs="Arial"/>
                <w:b/>
                <w:spacing w:val="-2"/>
                <w:szCs w:val="14"/>
                <w:lang w:eastAsia="pt-BR"/>
              </w:rPr>
              <w:t>,</w:t>
            </w:r>
            <w:r w:rsidRPr="0037461D">
              <w:rPr>
                <w:rFonts w:eastAsia="Times New Roman" w:cs="Arial"/>
                <w:b/>
                <w:spacing w:val="-2"/>
                <w:szCs w:val="14"/>
                <w:lang w:eastAsia="pt-BR"/>
              </w:rPr>
              <w:t xml:space="preserve">086 </w:t>
            </w:r>
          </w:p>
        </w:tc>
        <w:tc>
          <w:tcPr>
            <w:tcW w:w="1122" w:type="dxa"/>
            <w:tcBorders>
              <w:top w:val="nil"/>
              <w:bottom w:val="nil"/>
            </w:tcBorders>
            <w:shd w:val="clear" w:color="auto" w:fill="auto"/>
            <w:vAlign w:val="center"/>
          </w:tcPr>
          <w:p w14:paraId="6A8B1C78"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37461D">
              <w:rPr>
                <w:rFonts w:eastAsia="Times New Roman" w:cs="Arial"/>
                <w:b/>
                <w:spacing w:val="-2"/>
                <w:szCs w:val="14"/>
                <w:lang w:eastAsia="pt-BR"/>
              </w:rPr>
              <w:t>30</w:t>
            </w:r>
            <w:r>
              <w:rPr>
                <w:rFonts w:eastAsia="Times New Roman" w:cs="Arial"/>
                <w:b/>
                <w:spacing w:val="-2"/>
                <w:szCs w:val="14"/>
                <w:lang w:eastAsia="pt-BR"/>
              </w:rPr>
              <w:t>,</w:t>
            </w:r>
            <w:r w:rsidRPr="0037461D">
              <w:rPr>
                <w:rFonts w:eastAsia="Times New Roman" w:cs="Arial"/>
                <w:b/>
                <w:spacing w:val="-2"/>
                <w:szCs w:val="14"/>
                <w:lang w:eastAsia="pt-BR"/>
              </w:rPr>
              <w:t>086</w:t>
            </w:r>
          </w:p>
        </w:tc>
      </w:tr>
      <w:tr w:rsidR="00991E72" w:rsidRPr="004E4235" w14:paraId="590FCA22" w14:textId="77777777" w:rsidTr="00991E7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4" w:space="0" w:color="1F4E79" w:themeColor="accent1" w:themeShade="80"/>
            </w:tcBorders>
            <w:shd w:val="clear" w:color="auto" w:fill="auto"/>
            <w:vAlign w:val="center"/>
          </w:tcPr>
          <w:p w14:paraId="48F06431" w14:textId="71E83CA5" w:rsidR="00991E72" w:rsidRPr="00E32FFE" w:rsidRDefault="00991E72" w:rsidP="00991E72">
            <w:pPr>
              <w:keepNext/>
              <w:keepLines/>
              <w:spacing w:before="40" w:after="40"/>
              <w:ind w:firstLine="176"/>
              <w:rPr>
                <w:rFonts w:eastAsia="Times New Roman" w:cs="Arial"/>
                <w:spacing w:val="-2"/>
                <w:szCs w:val="14"/>
                <w:lang w:val="en-US" w:eastAsia="pt-BR"/>
              </w:rPr>
            </w:pPr>
            <w:r w:rsidRPr="00E32FFE">
              <w:rPr>
                <w:rFonts w:cs="Arial"/>
                <w:color w:val="000000"/>
                <w:szCs w:val="14"/>
                <w:lang w:val="en-US"/>
              </w:rPr>
              <w:t xml:space="preserve">Balances at Mar 31, 2022 </w:t>
            </w:r>
            <w:r>
              <w:rPr>
                <w:rStyle w:val="rynqvb"/>
                <w:lang w:val="en"/>
              </w:rPr>
              <w:t>(</w:t>
            </w:r>
            <w:r w:rsidRPr="00CC6076">
              <w:rPr>
                <w:rStyle w:val="rynqvb"/>
                <w:lang w:val="en"/>
              </w:rPr>
              <w:t>R</w:t>
            </w:r>
            <w:r w:rsidRPr="000C6C6A">
              <w:rPr>
                <w:rFonts w:cs="Arial"/>
                <w:shd w:val="clear" w:color="auto" w:fill="FFFFFF"/>
                <w:lang w:val="en-US"/>
              </w:rPr>
              <w:t>estated balances</w:t>
            </w:r>
            <w:r>
              <w:rPr>
                <w:rStyle w:val="rynqvb"/>
                <w:lang w:val="en"/>
              </w:rPr>
              <w:t>)</w:t>
            </w:r>
          </w:p>
        </w:tc>
        <w:tc>
          <w:tcPr>
            <w:tcW w:w="567" w:type="dxa"/>
            <w:tcBorders>
              <w:top w:val="nil"/>
              <w:bottom w:val="single" w:sz="4" w:space="0" w:color="1F4E79" w:themeColor="accent1" w:themeShade="80"/>
            </w:tcBorders>
            <w:shd w:val="clear" w:color="auto" w:fill="auto"/>
            <w:vAlign w:val="center"/>
          </w:tcPr>
          <w:p w14:paraId="49409347" w14:textId="77777777" w:rsidR="00991E72" w:rsidRPr="00E32FFE"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val="en-US" w:eastAsia="pt-BR"/>
              </w:rPr>
            </w:pPr>
          </w:p>
        </w:tc>
        <w:tc>
          <w:tcPr>
            <w:tcW w:w="1276" w:type="dxa"/>
            <w:tcBorders>
              <w:top w:val="nil"/>
              <w:bottom w:val="single" w:sz="4" w:space="0" w:color="1F4E79" w:themeColor="accent1" w:themeShade="80"/>
            </w:tcBorders>
            <w:shd w:val="clear" w:color="auto" w:fill="auto"/>
            <w:vAlign w:val="center"/>
          </w:tcPr>
          <w:p w14:paraId="4D5EDEB6"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F43CE">
              <w:rPr>
                <w:rFonts w:cs="Arial"/>
                <w:b/>
                <w:bCs/>
                <w:szCs w:val="14"/>
              </w:rPr>
              <w:t>3</w:t>
            </w:r>
            <w:r>
              <w:rPr>
                <w:rFonts w:cs="Arial"/>
                <w:b/>
                <w:bCs/>
                <w:szCs w:val="14"/>
              </w:rPr>
              <w:t>,</w:t>
            </w:r>
            <w:r w:rsidRPr="002F43CE">
              <w:rPr>
                <w:rFonts w:cs="Arial"/>
                <w:b/>
                <w:bCs/>
                <w:szCs w:val="14"/>
              </w:rPr>
              <w:t>396</w:t>
            </w:r>
            <w:r>
              <w:rPr>
                <w:rFonts w:cs="Arial"/>
                <w:b/>
                <w:bCs/>
                <w:szCs w:val="14"/>
              </w:rPr>
              <w:t>,</w:t>
            </w:r>
            <w:r w:rsidRPr="002F43CE">
              <w:rPr>
                <w:rFonts w:cs="Arial"/>
                <w:b/>
                <w:bCs/>
                <w:szCs w:val="14"/>
              </w:rPr>
              <w:t>767</w:t>
            </w:r>
          </w:p>
        </w:tc>
        <w:tc>
          <w:tcPr>
            <w:tcW w:w="993" w:type="dxa"/>
            <w:tcBorders>
              <w:top w:val="nil"/>
              <w:bottom w:val="single" w:sz="4" w:space="0" w:color="1F4E79" w:themeColor="accent1" w:themeShade="80"/>
            </w:tcBorders>
            <w:shd w:val="clear" w:color="auto" w:fill="auto"/>
            <w:vAlign w:val="center"/>
          </w:tcPr>
          <w:p w14:paraId="4B92D6B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F43CE">
              <w:rPr>
                <w:rFonts w:cs="Arial"/>
                <w:b/>
                <w:bCs/>
                <w:szCs w:val="14"/>
              </w:rPr>
              <w:t>1</w:t>
            </w:r>
            <w:r>
              <w:rPr>
                <w:rFonts w:cs="Arial"/>
                <w:b/>
                <w:bCs/>
                <w:szCs w:val="14"/>
              </w:rPr>
              <w:t>,</w:t>
            </w:r>
            <w:r w:rsidRPr="002F43CE">
              <w:rPr>
                <w:rFonts w:cs="Arial"/>
                <w:b/>
                <w:bCs/>
                <w:szCs w:val="14"/>
              </w:rPr>
              <w:t>508</w:t>
            </w:r>
          </w:p>
        </w:tc>
        <w:tc>
          <w:tcPr>
            <w:tcW w:w="1277" w:type="dxa"/>
            <w:tcBorders>
              <w:top w:val="nil"/>
              <w:bottom w:val="single" w:sz="4" w:space="0" w:color="1F4E79" w:themeColor="accent1" w:themeShade="80"/>
            </w:tcBorders>
            <w:shd w:val="clear" w:color="auto" w:fill="auto"/>
            <w:vAlign w:val="center"/>
          </w:tcPr>
          <w:p w14:paraId="5B44FCB5"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F43CE">
              <w:rPr>
                <w:rFonts w:cs="Arial"/>
                <w:b/>
                <w:bCs/>
                <w:szCs w:val="14"/>
              </w:rPr>
              <w:t>679</w:t>
            </w:r>
            <w:r>
              <w:rPr>
                <w:rFonts w:cs="Arial"/>
                <w:b/>
                <w:bCs/>
                <w:szCs w:val="14"/>
              </w:rPr>
              <w:t>,</w:t>
            </w:r>
            <w:r w:rsidRPr="002F43CE">
              <w:rPr>
                <w:rFonts w:cs="Arial"/>
                <w:b/>
                <w:bCs/>
                <w:szCs w:val="14"/>
              </w:rPr>
              <w:t>354</w:t>
            </w:r>
          </w:p>
        </w:tc>
        <w:tc>
          <w:tcPr>
            <w:tcW w:w="1846" w:type="dxa"/>
            <w:tcBorders>
              <w:top w:val="nil"/>
              <w:bottom w:val="single" w:sz="4" w:space="0" w:color="1F4E79" w:themeColor="accent1" w:themeShade="80"/>
            </w:tcBorders>
            <w:shd w:val="clear" w:color="auto" w:fill="auto"/>
            <w:vAlign w:val="center"/>
          </w:tcPr>
          <w:p w14:paraId="009F82C0"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F43CE">
              <w:rPr>
                <w:rFonts w:cs="Arial"/>
                <w:b/>
                <w:bCs/>
                <w:szCs w:val="14"/>
              </w:rPr>
              <w:t>3</w:t>
            </w:r>
            <w:r>
              <w:rPr>
                <w:rFonts w:cs="Arial"/>
                <w:b/>
                <w:bCs/>
                <w:szCs w:val="14"/>
              </w:rPr>
              <w:t>,</w:t>
            </w:r>
            <w:r w:rsidRPr="002F43CE">
              <w:rPr>
                <w:rFonts w:cs="Arial"/>
                <w:b/>
                <w:bCs/>
                <w:szCs w:val="14"/>
              </w:rPr>
              <w:t>443</w:t>
            </w:r>
            <w:r>
              <w:rPr>
                <w:rFonts w:cs="Arial"/>
                <w:b/>
                <w:bCs/>
                <w:szCs w:val="14"/>
              </w:rPr>
              <w:t>,</w:t>
            </w:r>
            <w:r w:rsidRPr="002F43CE">
              <w:rPr>
                <w:rFonts w:cs="Arial"/>
                <w:b/>
                <w:bCs/>
                <w:szCs w:val="14"/>
              </w:rPr>
              <w:t>571</w:t>
            </w:r>
          </w:p>
        </w:tc>
        <w:tc>
          <w:tcPr>
            <w:tcW w:w="1122" w:type="dxa"/>
            <w:tcBorders>
              <w:top w:val="nil"/>
              <w:bottom w:val="single" w:sz="4" w:space="0" w:color="1F4E79" w:themeColor="accent1" w:themeShade="80"/>
            </w:tcBorders>
            <w:shd w:val="clear" w:color="auto" w:fill="auto"/>
            <w:vAlign w:val="center"/>
          </w:tcPr>
          <w:p w14:paraId="0267AEC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w:t>
            </w:r>
            <w:r w:rsidRPr="002F43CE">
              <w:rPr>
                <w:rFonts w:cs="Arial"/>
                <w:b/>
                <w:bCs/>
                <w:szCs w:val="14"/>
              </w:rPr>
              <w:t>81</w:t>
            </w:r>
            <w:r>
              <w:rPr>
                <w:rFonts w:cs="Arial"/>
                <w:b/>
                <w:bCs/>
                <w:szCs w:val="14"/>
              </w:rPr>
              <w:t>,</w:t>
            </w:r>
            <w:r w:rsidRPr="002F43CE">
              <w:rPr>
                <w:rFonts w:cs="Arial"/>
                <w:b/>
                <w:bCs/>
                <w:szCs w:val="14"/>
              </w:rPr>
              <w:t>320</w:t>
            </w:r>
            <w:r>
              <w:rPr>
                <w:rFonts w:cs="Arial"/>
                <w:b/>
                <w:bCs/>
                <w:szCs w:val="14"/>
              </w:rPr>
              <w:t>)</w:t>
            </w:r>
          </w:p>
        </w:tc>
        <w:tc>
          <w:tcPr>
            <w:tcW w:w="1289" w:type="dxa"/>
            <w:tcBorders>
              <w:top w:val="nil"/>
              <w:bottom w:val="single" w:sz="4" w:space="0" w:color="1F4E79" w:themeColor="accent1" w:themeShade="80"/>
            </w:tcBorders>
            <w:shd w:val="clear" w:color="auto" w:fill="auto"/>
            <w:vAlign w:val="center"/>
          </w:tcPr>
          <w:p w14:paraId="5EA9F15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w:t>
            </w:r>
            <w:r w:rsidRPr="000F3FE3">
              <w:rPr>
                <w:rFonts w:cs="Arial"/>
                <w:b/>
                <w:bCs/>
                <w:szCs w:val="14"/>
              </w:rPr>
              <w:t>180</w:t>
            </w:r>
            <w:r>
              <w:rPr>
                <w:rFonts w:cs="Arial"/>
                <w:b/>
                <w:bCs/>
                <w:szCs w:val="14"/>
              </w:rPr>
              <w:t>,</w:t>
            </w:r>
            <w:r w:rsidRPr="000F3FE3">
              <w:rPr>
                <w:rFonts w:cs="Arial"/>
                <w:b/>
                <w:bCs/>
                <w:szCs w:val="14"/>
              </w:rPr>
              <w:t>396</w:t>
            </w:r>
            <w:r>
              <w:rPr>
                <w:rFonts w:cs="Arial"/>
                <w:b/>
                <w:bCs/>
                <w:szCs w:val="14"/>
              </w:rPr>
              <w:t>)</w:t>
            </w:r>
          </w:p>
        </w:tc>
        <w:tc>
          <w:tcPr>
            <w:tcW w:w="1560" w:type="dxa"/>
            <w:tcBorders>
              <w:top w:val="nil"/>
              <w:bottom w:val="single" w:sz="4" w:space="0" w:color="1F4E79" w:themeColor="accent1" w:themeShade="80"/>
            </w:tcBorders>
            <w:shd w:val="clear" w:color="auto" w:fill="auto"/>
            <w:vAlign w:val="center"/>
          </w:tcPr>
          <w:p w14:paraId="389DBB5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1,324,658</w:t>
            </w:r>
          </w:p>
        </w:tc>
        <w:tc>
          <w:tcPr>
            <w:tcW w:w="1122" w:type="dxa"/>
            <w:tcBorders>
              <w:top w:val="nil"/>
              <w:bottom w:val="single" w:sz="4" w:space="0" w:color="1F4E79" w:themeColor="accent1" w:themeShade="80"/>
            </w:tcBorders>
            <w:shd w:val="clear" w:color="auto" w:fill="auto"/>
            <w:vAlign w:val="center"/>
          </w:tcPr>
          <w:p w14:paraId="1629B4F5"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8,584,142</w:t>
            </w:r>
          </w:p>
        </w:tc>
      </w:tr>
      <w:tr w:rsidR="00991E72" w:rsidRPr="004E4235" w14:paraId="05CB797E" w14:textId="77777777" w:rsidTr="00991E72">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1F4E79" w:themeColor="accent1" w:themeShade="80"/>
              <w:bottom w:val="single" w:sz="4" w:space="0" w:color="1F4E79" w:themeColor="accent1" w:themeShade="80"/>
            </w:tcBorders>
            <w:shd w:val="clear" w:color="auto" w:fill="auto"/>
            <w:vAlign w:val="center"/>
          </w:tcPr>
          <w:p w14:paraId="4DCA5DDB" w14:textId="0BF435F1" w:rsidR="00991E72" w:rsidRPr="00456146" w:rsidRDefault="00991E72" w:rsidP="00991E72">
            <w:pPr>
              <w:keepNext/>
              <w:keepLines/>
              <w:spacing w:before="40" w:after="40"/>
              <w:rPr>
                <w:rFonts w:eastAsia="Times New Roman" w:cs="Arial"/>
                <w:spacing w:val="-2"/>
                <w:szCs w:val="14"/>
                <w:lang w:val="en-US" w:eastAsia="pt-BR"/>
              </w:rPr>
            </w:pPr>
            <w:r w:rsidRPr="00456146">
              <w:rPr>
                <w:rFonts w:cs="Arial"/>
                <w:color w:val="000000"/>
                <w:szCs w:val="14"/>
                <w:lang w:val="en-US"/>
              </w:rPr>
              <w:t xml:space="preserve">Changes in the </w:t>
            </w:r>
            <w:r>
              <w:rPr>
                <w:rStyle w:val="rynqvb"/>
                <w:lang w:val="en"/>
              </w:rPr>
              <w:t>period</w:t>
            </w:r>
            <w:r w:rsidRPr="00456146">
              <w:rPr>
                <w:rFonts w:cs="Arial"/>
                <w:color w:val="000000"/>
                <w:szCs w:val="14"/>
                <w:lang w:val="en-US"/>
              </w:rPr>
              <w:t xml:space="preserve"> </w:t>
            </w:r>
            <w:r>
              <w:rPr>
                <w:rStyle w:val="rynqvb"/>
                <w:lang w:val="en"/>
              </w:rPr>
              <w:t>(R</w:t>
            </w:r>
            <w:r w:rsidRPr="000C6C6A">
              <w:rPr>
                <w:rFonts w:cs="Arial"/>
                <w:shd w:val="clear" w:color="auto" w:fill="FFFFFF"/>
                <w:lang w:val="en-US"/>
              </w:rPr>
              <w:t>estated balances</w:t>
            </w:r>
            <w:r>
              <w:rPr>
                <w:rStyle w:val="rynqvb"/>
                <w:lang w:val="en"/>
              </w:rPr>
              <w:t>)</w:t>
            </w:r>
          </w:p>
        </w:tc>
        <w:tc>
          <w:tcPr>
            <w:tcW w:w="567" w:type="dxa"/>
            <w:tcBorders>
              <w:top w:val="single" w:sz="4" w:space="0" w:color="1F4E79" w:themeColor="accent1" w:themeShade="80"/>
              <w:bottom w:val="single" w:sz="4" w:space="0" w:color="1F4E79" w:themeColor="accent1" w:themeShade="80"/>
            </w:tcBorders>
            <w:shd w:val="clear" w:color="auto" w:fill="auto"/>
            <w:vAlign w:val="center"/>
          </w:tcPr>
          <w:p w14:paraId="677F7CCA" w14:textId="77777777" w:rsidR="00991E72" w:rsidRPr="00456146"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val="en-US" w:eastAsia="pt-BR"/>
              </w:rPr>
            </w:pPr>
          </w:p>
        </w:tc>
        <w:tc>
          <w:tcPr>
            <w:tcW w:w="1276" w:type="dxa"/>
            <w:tcBorders>
              <w:top w:val="single" w:sz="4" w:space="0" w:color="1F4E79" w:themeColor="accent1" w:themeShade="80"/>
              <w:bottom w:val="single" w:sz="4" w:space="0" w:color="1F4E79" w:themeColor="accent1" w:themeShade="80"/>
            </w:tcBorders>
            <w:shd w:val="clear" w:color="auto" w:fill="auto"/>
            <w:vAlign w:val="center"/>
          </w:tcPr>
          <w:p w14:paraId="20E3303F"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w:t>
            </w:r>
          </w:p>
        </w:tc>
        <w:tc>
          <w:tcPr>
            <w:tcW w:w="993" w:type="dxa"/>
            <w:tcBorders>
              <w:top w:val="single" w:sz="4" w:space="0" w:color="1F4E79" w:themeColor="accent1" w:themeShade="80"/>
              <w:bottom w:val="single" w:sz="4" w:space="0" w:color="1F4E79" w:themeColor="accent1" w:themeShade="80"/>
            </w:tcBorders>
            <w:shd w:val="clear" w:color="auto" w:fill="auto"/>
            <w:vAlign w:val="center"/>
          </w:tcPr>
          <w:p w14:paraId="46BE92B7"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w:t>
            </w:r>
          </w:p>
        </w:tc>
        <w:tc>
          <w:tcPr>
            <w:tcW w:w="1277" w:type="dxa"/>
            <w:tcBorders>
              <w:top w:val="single" w:sz="4" w:space="0" w:color="1F4E79" w:themeColor="accent1" w:themeShade="80"/>
              <w:bottom w:val="single" w:sz="4" w:space="0" w:color="1F4E79" w:themeColor="accent1" w:themeShade="80"/>
            </w:tcBorders>
            <w:shd w:val="clear" w:color="auto" w:fill="auto"/>
            <w:vAlign w:val="center"/>
          </w:tcPr>
          <w:p w14:paraId="180F484E"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w:t>
            </w:r>
          </w:p>
        </w:tc>
        <w:tc>
          <w:tcPr>
            <w:tcW w:w="1846" w:type="dxa"/>
            <w:tcBorders>
              <w:top w:val="single" w:sz="4" w:space="0" w:color="1F4E79" w:themeColor="accent1" w:themeShade="80"/>
              <w:bottom w:val="single" w:sz="4" w:space="0" w:color="1F4E79" w:themeColor="accent1" w:themeShade="80"/>
            </w:tcBorders>
            <w:shd w:val="clear" w:color="auto" w:fill="auto"/>
            <w:vAlign w:val="center"/>
          </w:tcPr>
          <w:p w14:paraId="1D55994D"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77E6E4F4"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w:t>
            </w:r>
          </w:p>
        </w:tc>
        <w:tc>
          <w:tcPr>
            <w:tcW w:w="1289" w:type="dxa"/>
            <w:tcBorders>
              <w:top w:val="single" w:sz="4" w:space="0" w:color="1F4E79" w:themeColor="accent1" w:themeShade="80"/>
              <w:bottom w:val="single" w:sz="4" w:space="0" w:color="1F4E79" w:themeColor="accent1" w:themeShade="80"/>
            </w:tcBorders>
            <w:shd w:val="clear" w:color="auto" w:fill="auto"/>
            <w:vAlign w:val="center"/>
          </w:tcPr>
          <w:p w14:paraId="6FEA5781"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w:t>
            </w:r>
            <w:r w:rsidRPr="000F3FE3">
              <w:rPr>
                <w:rFonts w:cs="Arial"/>
                <w:b/>
                <w:bCs/>
                <w:szCs w:val="14"/>
              </w:rPr>
              <w:t>21</w:t>
            </w:r>
            <w:r>
              <w:rPr>
                <w:rFonts w:cs="Arial"/>
                <w:b/>
                <w:bCs/>
                <w:szCs w:val="14"/>
              </w:rPr>
              <w:t>,</w:t>
            </w:r>
            <w:r w:rsidRPr="000F3FE3">
              <w:rPr>
                <w:rFonts w:cs="Arial"/>
                <w:b/>
                <w:bCs/>
                <w:szCs w:val="14"/>
              </w:rPr>
              <w:t>932</w:t>
            </w:r>
            <w:r>
              <w:rPr>
                <w:rFonts w:cs="Arial"/>
                <w:b/>
                <w:bCs/>
                <w:szCs w:val="14"/>
              </w:rPr>
              <w:t>)</w:t>
            </w:r>
          </w:p>
        </w:tc>
        <w:tc>
          <w:tcPr>
            <w:tcW w:w="1560" w:type="dxa"/>
            <w:tcBorders>
              <w:top w:val="single" w:sz="4" w:space="0" w:color="1F4E79" w:themeColor="accent1" w:themeShade="80"/>
              <w:bottom w:val="single" w:sz="4" w:space="0" w:color="1F4E79" w:themeColor="accent1" w:themeShade="80"/>
            </w:tcBorders>
            <w:shd w:val="clear" w:color="auto" w:fill="auto"/>
            <w:vAlign w:val="center"/>
          </w:tcPr>
          <w:p w14:paraId="0C2BDB3D"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1,217,950</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098671E1"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1,197,695</w:t>
            </w:r>
          </w:p>
        </w:tc>
      </w:tr>
      <w:tr w:rsidR="00991E72" w:rsidRPr="004E4235" w14:paraId="5C4DDCD8" w14:textId="77777777" w:rsidTr="00991E72">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1F4E79" w:themeColor="accent1" w:themeShade="80"/>
              <w:bottom w:val="nil"/>
            </w:tcBorders>
            <w:shd w:val="clear" w:color="auto" w:fill="auto"/>
            <w:vAlign w:val="center"/>
          </w:tcPr>
          <w:p w14:paraId="6A008574" w14:textId="77777777" w:rsidR="00991E72" w:rsidRPr="00B03722" w:rsidRDefault="00991E72" w:rsidP="00991E72">
            <w:pPr>
              <w:keepNext/>
              <w:keepLines/>
              <w:spacing w:before="40" w:after="40"/>
              <w:rPr>
                <w:rFonts w:cs="Arial"/>
                <w:color w:val="000000"/>
                <w:szCs w:val="14"/>
              </w:rPr>
            </w:pPr>
          </w:p>
        </w:tc>
        <w:tc>
          <w:tcPr>
            <w:tcW w:w="567" w:type="dxa"/>
            <w:tcBorders>
              <w:top w:val="single" w:sz="4" w:space="0" w:color="1F4E79" w:themeColor="accent1" w:themeShade="80"/>
              <w:bottom w:val="nil"/>
            </w:tcBorders>
            <w:shd w:val="clear" w:color="auto" w:fill="auto"/>
            <w:vAlign w:val="center"/>
          </w:tcPr>
          <w:p w14:paraId="310C9333"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276" w:type="dxa"/>
            <w:tcBorders>
              <w:top w:val="single" w:sz="4" w:space="0" w:color="1F4E79" w:themeColor="accent1" w:themeShade="80"/>
              <w:bottom w:val="nil"/>
            </w:tcBorders>
            <w:shd w:val="clear" w:color="auto" w:fill="auto"/>
            <w:vAlign w:val="center"/>
          </w:tcPr>
          <w:p w14:paraId="4A77E01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993" w:type="dxa"/>
            <w:tcBorders>
              <w:top w:val="single" w:sz="4" w:space="0" w:color="1F4E79" w:themeColor="accent1" w:themeShade="80"/>
              <w:bottom w:val="nil"/>
            </w:tcBorders>
            <w:shd w:val="clear" w:color="auto" w:fill="auto"/>
            <w:vAlign w:val="center"/>
          </w:tcPr>
          <w:p w14:paraId="73DDE1D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277" w:type="dxa"/>
            <w:tcBorders>
              <w:top w:val="single" w:sz="4" w:space="0" w:color="1F4E79" w:themeColor="accent1" w:themeShade="80"/>
              <w:bottom w:val="nil"/>
            </w:tcBorders>
            <w:shd w:val="clear" w:color="auto" w:fill="auto"/>
            <w:vAlign w:val="center"/>
          </w:tcPr>
          <w:p w14:paraId="222F1556"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846" w:type="dxa"/>
            <w:tcBorders>
              <w:top w:val="single" w:sz="4" w:space="0" w:color="1F4E79" w:themeColor="accent1" w:themeShade="80"/>
              <w:bottom w:val="nil"/>
            </w:tcBorders>
            <w:shd w:val="clear" w:color="auto" w:fill="auto"/>
            <w:vAlign w:val="center"/>
          </w:tcPr>
          <w:p w14:paraId="03523852"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122" w:type="dxa"/>
            <w:tcBorders>
              <w:top w:val="single" w:sz="4" w:space="0" w:color="1F4E79" w:themeColor="accent1" w:themeShade="80"/>
              <w:bottom w:val="nil"/>
            </w:tcBorders>
            <w:shd w:val="clear" w:color="auto" w:fill="auto"/>
            <w:vAlign w:val="center"/>
          </w:tcPr>
          <w:p w14:paraId="04475E7C"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289" w:type="dxa"/>
            <w:tcBorders>
              <w:top w:val="single" w:sz="4" w:space="0" w:color="1F4E79" w:themeColor="accent1" w:themeShade="80"/>
              <w:bottom w:val="nil"/>
            </w:tcBorders>
            <w:shd w:val="clear" w:color="auto" w:fill="auto"/>
            <w:vAlign w:val="center"/>
          </w:tcPr>
          <w:p w14:paraId="41007378"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560" w:type="dxa"/>
            <w:tcBorders>
              <w:top w:val="single" w:sz="4" w:space="0" w:color="1F4E79" w:themeColor="accent1" w:themeShade="80"/>
              <w:bottom w:val="nil"/>
            </w:tcBorders>
            <w:shd w:val="clear" w:color="auto" w:fill="auto"/>
            <w:vAlign w:val="center"/>
          </w:tcPr>
          <w:p w14:paraId="495AAAC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122" w:type="dxa"/>
            <w:tcBorders>
              <w:top w:val="single" w:sz="4" w:space="0" w:color="1F4E79" w:themeColor="accent1" w:themeShade="80"/>
              <w:bottom w:val="nil"/>
            </w:tcBorders>
            <w:shd w:val="clear" w:color="auto" w:fill="auto"/>
            <w:vAlign w:val="center"/>
          </w:tcPr>
          <w:p w14:paraId="3657AB28"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r>
      <w:tr w:rsidR="00991E72" w:rsidRPr="004E4235" w14:paraId="3050BEC5" w14:textId="77777777" w:rsidTr="00991E72">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21E36F7" w14:textId="1747002E" w:rsidR="00991E72" w:rsidRPr="00E32FFE" w:rsidRDefault="00991E72" w:rsidP="00991E72">
            <w:pPr>
              <w:keepNext/>
              <w:keepLines/>
              <w:spacing w:before="40" w:after="40"/>
              <w:rPr>
                <w:rFonts w:eastAsia="Times New Roman" w:cs="Arial"/>
                <w:spacing w:val="-2"/>
                <w:szCs w:val="14"/>
                <w:lang w:val="en-US" w:eastAsia="pt-BR"/>
              </w:rPr>
            </w:pPr>
            <w:r w:rsidRPr="00E32FFE">
              <w:rPr>
                <w:rFonts w:eastAsia="Times New Roman" w:cs="Arial"/>
                <w:spacing w:val="-2"/>
                <w:szCs w:val="14"/>
                <w:lang w:val="en-US" w:eastAsia="pt-BR"/>
              </w:rPr>
              <w:t xml:space="preserve">Balances at Dec 31, 2022 </w:t>
            </w:r>
            <w:r w:rsidRPr="00E32FFE">
              <w:rPr>
                <w:lang w:val="en-US"/>
              </w:rPr>
              <w:t>(</w:t>
            </w:r>
            <w:r w:rsidRPr="00CC6076">
              <w:rPr>
                <w:rStyle w:val="rynqvb"/>
                <w:lang w:val="en"/>
              </w:rPr>
              <w:t>R</w:t>
            </w:r>
            <w:r w:rsidRPr="000C6C6A">
              <w:rPr>
                <w:rFonts w:cs="Arial"/>
                <w:shd w:val="clear" w:color="auto" w:fill="FFFFFF"/>
                <w:lang w:val="en-US"/>
              </w:rPr>
              <w:t>estated balances</w:t>
            </w:r>
            <w:r w:rsidRPr="002E1E12">
              <w:rPr>
                <w:rStyle w:val="Hyperlink"/>
                <w:rFonts w:cs="Arial"/>
                <w:color w:val="auto"/>
                <w:shd w:val="clear" w:color="auto" w:fill="FFFFFF"/>
                <w:lang w:val="en-US"/>
              </w:rPr>
              <w:t>)</w:t>
            </w:r>
          </w:p>
        </w:tc>
        <w:tc>
          <w:tcPr>
            <w:tcW w:w="567" w:type="dxa"/>
            <w:tcBorders>
              <w:top w:val="nil"/>
              <w:bottom w:val="nil"/>
            </w:tcBorders>
            <w:shd w:val="clear" w:color="auto" w:fill="auto"/>
            <w:vAlign w:val="center"/>
          </w:tcPr>
          <w:p w14:paraId="4C2F7C2B" w14:textId="77777777" w:rsidR="00991E72" w:rsidRPr="00E32FFE"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val="en-US" w:eastAsia="pt-BR"/>
              </w:rPr>
            </w:pPr>
          </w:p>
        </w:tc>
        <w:tc>
          <w:tcPr>
            <w:tcW w:w="1276" w:type="dxa"/>
            <w:tcBorders>
              <w:top w:val="nil"/>
              <w:bottom w:val="nil"/>
            </w:tcBorders>
            <w:shd w:val="clear" w:color="auto" w:fill="auto"/>
            <w:vAlign w:val="center"/>
          </w:tcPr>
          <w:p w14:paraId="54BB60AD"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6</w:t>
            </w:r>
            <w:r>
              <w:rPr>
                <w:rFonts w:cs="Arial"/>
                <w:b/>
                <w:bCs/>
                <w:szCs w:val="14"/>
              </w:rPr>
              <w:t>,</w:t>
            </w:r>
            <w:r w:rsidRPr="00F43CF4">
              <w:rPr>
                <w:rFonts w:cs="Arial"/>
                <w:b/>
                <w:bCs/>
                <w:szCs w:val="14"/>
              </w:rPr>
              <w:t>269</w:t>
            </w:r>
            <w:r>
              <w:rPr>
                <w:rFonts w:cs="Arial"/>
                <w:b/>
                <w:bCs/>
                <w:szCs w:val="14"/>
              </w:rPr>
              <w:t>,</w:t>
            </w:r>
            <w:r w:rsidRPr="00F43CF4">
              <w:rPr>
                <w:rFonts w:cs="Arial"/>
                <w:b/>
                <w:bCs/>
                <w:szCs w:val="14"/>
              </w:rPr>
              <w:t>692</w:t>
            </w:r>
          </w:p>
        </w:tc>
        <w:tc>
          <w:tcPr>
            <w:tcW w:w="993" w:type="dxa"/>
            <w:tcBorders>
              <w:top w:val="nil"/>
              <w:bottom w:val="nil"/>
            </w:tcBorders>
            <w:shd w:val="clear" w:color="auto" w:fill="auto"/>
            <w:vAlign w:val="center"/>
          </w:tcPr>
          <w:p w14:paraId="3378ABA2"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1</w:t>
            </w:r>
            <w:r>
              <w:rPr>
                <w:rFonts w:cs="Arial"/>
                <w:b/>
                <w:bCs/>
                <w:szCs w:val="14"/>
              </w:rPr>
              <w:t>,</w:t>
            </w:r>
            <w:r w:rsidRPr="00F43CF4">
              <w:rPr>
                <w:rFonts w:cs="Arial"/>
                <w:b/>
                <w:bCs/>
                <w:szCs w:val="14"/>
              </w:rPr>
              <w:t>571</w:t>
            </w:r>
          </w:p>
        </w:tc>
        <w:tc>
          <w:tcPr>
            <w:tcW w:w="1277" w:type="dxa"/>
            <w:tcBorders>
              <w:top w:val="nil"/>
              <w:bottom w:val="nil"/>
            </w:tcBorders>
            <w:shd w:val="clear" w:color="auto" w:fill="auto"/>
            <w:vAlign w:val="center"/>
          </w:tcPr>
          <w:p w14:paraId="375D3713"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302</w:t>
            </w:r>
            <w:r>
              <w:rPr>
                <w:rFonts w:cs="Arial"/>
                <w:b/>
                <w:bCs/>
                <w:szCs w:val="14"/>
              </w:rPr>
              <w:t>,</w:t>
            </w:r>
            <w:r w:rsidRPr="00F43CF4">
              <w:rPr>
                <w:rFonts w:cs="Arial"/>
                <w:b/>
                <w:bCs/>
                <w:szCs w:val="14"/>
              </w:rPr>
              <w:t>229</w:t>
            </w:r>
          </w:p>
        </w:tc>
        <w:tc>
          <w:tcPr>
            <w:tcW w:w="1846" w:type="dxa"/>
            <w:tcBorders>
              <w:top w:val="nil"/>
              <w:bottom w:val="nil"/>
            </w:tcBorders>
            <w:shd w:val="clear" w:color="auto" w:fill="auto"/>
            <w:vAlign w:val="center"/>
          </w:tcPr>
          <w:p w14:paraId="0E16A9D9"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1</w:t>
            </w:r>
            <w:r>
              <w:rPr>
                <w:rFonts w:cs="Arial"/>
                <w:b/>
                <w:bCs/>
                <w:szCs w:val="14"/>
              </w:rPr>
              <w:t>,</w:t>
            </w:r>
            <w:r w:rsidRPr="00F43CF4">
              <w:rPr>
                <w:rFonts w:cs="Arial"/>
                <w:b/>
                <w:bCs/>
                <w:szCs w:val="14"/>
              </w:rPr>
              <w:t>250</w:t>
            </w:r>
            <w:r>
              <w:rPr>
                <w:rFonts w:cs="Arial"/>
                <w:b/>
                <w:bCs/>
                <w:szCs w:val="14"/>
              </w:rPr>
              <w:t>,</w:t>
            </w:r>
            <w:r w:rsidRPr="00F43CF4">
              <w:rPr>
                <w:rFonts w:cs="Arial"/>
                <w:b/>
                <w:bCs/>
                <w:szCs w:val="14"/>
              </w:rPr>
              <w:t>000</w:t>
            </w:r>
          </w:p>
        </w:tc>
        <w:tc>
          <w:tcPr>
            <w:tcW w:w="1122" w:type="dxa"/>
            <w:tcBorders>
              <w:top w:val="nil"/>
              <w:bottom w:val="nil"/>
            </w:tcBorders>
            <w:shd w:val="clear" w:color="auto" w:fill="auto"/>
            <w:vAlign w:val="center"/>
          </w:tcPr>
          <w:p w14:paraId="167EAA6C"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F43CF4">
              <w:rPr>
                <w:rFonts w:cs="Arial"/>
                <w:b/>
                <w:bCs/>
                <w:szCs w:val="14"/>
              </w:rPr>
              <w:t>(80</w:t>
            </w:r>
            <w:r>
              <w:rPr>
                <w:rFonts w:cs="Arial"/>
                <w:b/>
                <w:bCs/>
                <w:szCs w:val="14"/>
              </w:rPr>
              <w:t>,</w:t>
            </w:r>
            <w:r w:rsidRPr="00F43CF4">
              <w:rPr>
                <w:rFonts w:cs="Arial"/>
                <w:b/>
                <w:bCs/>
                <w:szCs w:val="14"/>
              </w:rPr>
              <w:t>344)</w:t>
            </w:r>
          </w:p>
        </w:tc>
        <w:tc>
          <w:tcPr>
            <w:tcW w:w="1289" w:type="dxa"/>
            <w:tcBorders>
              <w:top w:val="nil"/>
              <w:bottom w:val="nil"/>
            </w:tcBorders>
            <w:shd w:val="clear" w:color="auto" w:fill="auto"/>
            <w:vAlign w:val="center"/>
          </w:tcPr>
          <w:p w14:paraId="145CBABE"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18,038</w:t>
            </w:r>
          </w:p>
        </w:tc>
        <w:tc>
          <w:tcPr>
            <w:tcW w:w="1560" w:type="dxa"/>
            <w:tcBorders>
              <w:top w:val="nil"/>
              <w:bottom w:val="nil"/>
            </w:tcBorders>
            <w:shd w:val="clear" w:color="auto" w:fill="auto"/>
            <w:vAlign w:val="center"/>
          </w:tcPr>
          <w:p w14:paraId="4474C5C4"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eastAsia="Times New Roman" w:cs="Arial"/>
                <w:b/>
                <w:bCs/>
                <w:szCs w:val="14"/>
              </w:rPr>
              <w:t>266,985</w:t>
            </w:r>
          </w:p>
        </w:tc>
        <w:tc>
          <w:tcPr>
            <w:tcW w:w="1122" w:type="dxa"/>
            <w:tcBorders>
              <w:top w:val="nil"/>
              <w:bottom w:val="nil"/>
            </w:tcBorders>
            <w:shd w:val="clear" w:color="auto" w:fill="auto"/>
            <w:vAlign w:val="center"/>
          </w:tcPr>
          <w:p w14:paraId="4ED3D9A0"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2B3E52">
              <w:rPr>
                <w:rFonts w:cs="Arial"/>
                <w:b/>
                <w:bCs/>
                <w:szCs w:val="14"/>
              </w:rPr>
              <w:t>8</w:t>
            </w:r>
            <w:r>
              <w:rPr>
                <w:rFonts w:cs="Arial"/>
                <w:b/>
                <w:bCs/>
                <w:szCs w:val="14"/>
              </w:rPr>
              <w:t>,</w:t>
            </w:r>
            <w:r w:rsidRPr="002B3E52">
              <w:rPr>
                <w:rFonts w:cs="Arial"/>
                <w:b/>
                <w:bCs/>
                <w:szCs w:val="14"/>
              </w:rPr>
              <w:t>02</w:t>
            </w:r>
            <w:r>
              <w:rPr>
                <w:rFonts w:cs="Arial"/>
                <w:b/>
                <w:bCs/>
                <w:szCs w:val="14"/>
              </w:rPr>
              <w:t>8,171</w:t>
            </w:r>
          </w:p>
        </w:tc>
      </w:tr>
      <w:tr w:rsidR="00991E72" w:rsidRPr="004E4235" w14:paraId="6604A393" w14:textId="77777777" w:rsidTr="00991E72">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4B357C5" w14:textId="77777777" w:rsidR="00991E72" w:rsidRPr="00B03722" w:rsidRDefault="00991E72" w:rsidP="00991E72">
            <w:pPr>
              <w:keepNext/>
              <w:keepLines/>
              <w:spacing w:before="40" w:after="40"/>
              <w:ind w:left="177"/>
              <w:rPr>
                <w:rFonts w:cs="Arial"/>
                <w:szCs w:val="14"/>
              </w:rPr>
            </w:pPr>
            <w:r w:rsidRPr="00B03722">
              <w:rPr>
                <w:rFonts w:eastAsia="Times New Roman" w:cs="Arial"/>
                <w:b w:val="0"/>
                <w:spacing w:val="-2"/>
                <w:szCs w:val="14"/>
                <w:lang w:eastAsia="pt-BR"/>
              </w:rPr>
              <w:t>Share-based payment transactions</w:t>
            </w:r>
          </w:p>
        </w:tc>
        <w:tc>
          <w:tcPr>
            <w:tcW w:w="567" w:type="dxa"/>
            <w:tcBorders>
              <w:top w:val="nil"/>
              <w:bottom w:val="nil"/>
            </w:tcBorders>
            <w:shd w:val="clear" w:color="auto" w:fill="auto"/>
            <w:vAlign w:val="center"/>
          </w:tcPr>
          <w:p w14:paraId="0F3AEFFE"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p>
        </w:tc>
        <w:tc>
          <w:tcPr>
            <w:tcW w:w="1276" w:type="dxa"/>
            <w:tcBorders>
              <w:top w:val="nil"/>
              <w:bottom w:val="nil"/>
            </w:tcBorders>
            <w:shd w:val="clear" w:color="auto" w:fill="auto"/>
            <w:vAlign w:val="center"/>
          </w:tcPr>
          <w:p w14:paraId="6315AB6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993" w:type="dxa"/>
            <w:tcBorders>
              <w:top w:val="nil"/>
              <w:bottom w:val="nil"/>
            </w:tcBorders>
            <w:shd w:val="clear" w:color="auto" w:fill="auto"/>
            <w:vAlign w:val="center"/>
          </w:tcPr>
          <w:p w14:paraId="515E71BA"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230</w:t>
            </w:r>
          </w:p>
        </w:tc>
        <w:tc>
          <w:tcPr>
            <w:tcW w:w="1277" w:type="dxa"/>
            <w:tcBorders>
              <w:top w:val="nil"/>
              <w:bottom w:val="nil"/>
            </w:tcBorders>
            <w:shd w:val="clear" w:color="auto" w:fill="auto"/>
            <w:vAlign w:val="center"/>
          </w:tcPr>
          <w:p w14:paraId="2F3DD373"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846" w:type="dxa"/>
            <w:tcBorders>
              <w:top w:val="nil"/>
              <w:bottom w:val="nil"/>
            </w:tcBorders>
            <w:shd w:val="clear" w:color="auto" w:fill="auto"/>
            <w:vAlign w:val="center"/>
          </w:tcPr>
          <w:p w14:paraId="71E5A550"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122" w:type="dxa"/>
            <w:tcBorders>
              <w:top w:val="nil"/>
              <w:bottom w:val="nil"/>
            </w:tcBorders>
            <w:shd w:val="clear" w:color="auto" w:fill="auto"/>
            <w:vAlign w:val="center"/>
          </w:tcPr>
          <w:p w14:paraId="1203D34B"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586</w:t>
            </w:r>
          </w:p>
        </w:tc>
        <w:tc>
          <w:tcPr>
            <w:tcW w:w="1289" w:type="dxa"/>
            <w:tcBorders>
              <w:top w:val="nil"/>
              <w:bottom w:val="nil"/>
            </w:tcBorders>
            <w:shd w:val="clear" w:color="auto" w:fill="auto"/>
            <w:vAlign w:val="center"/>
          </w:tcPr>
          <w:p w14:paraId="37CDA702"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560" w:type="dxa"/>
            <w:tcBorders>
              <w:top w:val="nil"/>
              <w:bottom w:val="nil"/>
            </w:tcBorders>
            <w:shd w:val="clear" w:color="auto" w:fill="auto"/>
            <w:vAlign w:val="center"/>
          </w:tcPr>
          <w:p w14:paraId="678CCB7F"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122" w:type="dxa"/>
            <w:tcBorders>
              <w:top w:val="nil"/>
              <w:bottom w:val="nil"/>
            </w:tcBorders>
            <w:shd w:val="clear" w:color="auto" w:fill="auto"/>
            <w:vAlign w:val="center"/>
          </w:tcPr>
          <w:p w14:paraId="1F67A3D3"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Cs w:val="14"/>
              </w:rPr>
            </w:pPr>
            <w:r w:rsidRPr="002B3E52">
              <w:rPr>
                <w:rFonts w:cs="Arial"/>
                <w:b/>
                <w:bCs/>
                <w:szCs w:val="14"/>
              </w:rPr>
              <w:t>816</w:t>
            </w:r>
          </w:p>
        </w:tc>
      </w:tr>
      <w:tr w:rsidR="00991E72" w:rsidRPr="004E4235" w14:paraId="5835691D" w14:textId="77777777" w:rsidTr="00991E72">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B043B02" w14:textId="77777777" w:rsidR="00991E72" w:rsidRPr="00456146" w:rsidRDefault="00991E72" w:rsidP="00991E72">
            <w:pPr>
              <w:keepNext/>
              <w:keepLines/>
              <w:spacing w:before="40" w:after="40"/>
              <w:ind w:left="177"/>
              <w:rPr>
                <w:rFonts w:cs="Arial"/>
                <w:szCs w:val="14"/>
                <w:lang w:val="en-US"/>
              </w:rPr>
            </w:pPr>
            <w:r w:rsidRPr="00456146">
              <w:rPr>
                <w:rFonts w:eastAsia="Times New Roman" w:cs="Arial"/>
                <w:b w:val="0"/>
                <w:spacing w:val="-2"/>
                <w:szCs w:val="14"/>
                <w:lang w:val="en-US" w:eastAsia="pt-BR"/>
              </w:rPr>
              <w:t>Other comprehensive income</w:t>
            </w:r>
          </w:p>
        </w:tc>
        <w:tc>
          <w:tcPr>
            <w:tcW w:w="567" w:type="dxa"/>
            <w:tcBorders>
              <w:top w:val="nil"/>
              <w:bottom w:val="nil"/>
            </w:tcBorders>
            <w:shd w:val="clear" w:color="auto" w:fill="auto"/>
            <w:vAlign w:val="center"/>
          </w:tcPr>
          <w:p w14:paraId="4C589830" w14:textId="77777777" w:rsidR="00991E72" w:rsidRPr="00456146"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val="en-US" w:eastAsia="pt-BR"/>
              </w:rPr>
            </w:pPr>
          </w:p>
        </w:tc>
        <w:tc>
          <w:tcPr>
            <w:tcW w:w="1276" w:type="dxa"/>
            <w:tcBorders>
              <w:top w:val="nil"/>
              <w:bottom w:val="nil"/>
            </w:tcBorders>
            <w:shd w:val="clear" w:color="auto" w:fill="auto"/>
            <w:vAlign w:val="center"/>
          </w:tcPr>
          <w:p w14:paraId="7DD348D1"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993" w:type="dxa"/>
            <w:tcBorders>
              <w:top w:val="nil"/>
              <w:bottom w:val="nil"/>
            </w:tcBorders>
            <w:shd w:val="clear" w:color="auto" w:fill="auto"/>
            <w:vAlign w:val="center"/>
          </w:tcPr>
          <w:p w14:paraId="2D9D82E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277" w:type="dxa"/>
            <w:tcBorders>
              <w:top w:val="nil"/>
              <w:bottom w:val="nil"/>
            </w:tcBorders>
            <w:shd w:val="clear" w:color="auto" w:fill="auto"/>
            <w:vAlign w:val="center"/>
          </w:tcPr>
          <w:p w14:paraId="0EB36688"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846" w:type="dxa"/>
            <w:tcBorders>
              <w:top w:val="nil"/>
              <w:bottom w:val="nil"/>
            </w:tcBorders>
            <w:shd w:val="clear" w:color="auto" w:fill="auto"/>
            <w:vAlign w:val="center"/>
          </w:tcPr>
          <w:p w14:paraId="137132FF"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122" w:type="dxa"/>
            <w:tcBorders>
              <w:top w:val="nil"/>
              <w:bottom w:val="nil"/>
            </w:tcBorders>
            <w:shd w:val="clear" w:color="auto" w:fill="auto"/>
            <w:vAlign w:val="center"/>
          </w:tcPr>
          <w:p w14:paraId="78BE0DF7"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289" w:type="dxa"/>
            <w:tcBorders>
              <w:top w:val="nil"/>
              <w:bottom w:val="nil"/>
            </w:tcBorders>
            <w:shd w:val="clear" w:color="auto" w:fill="auto"/>
            <w:vAlign w:val="center"/>
          </w:tcPr>
          <w:p w14:paraId="2E2AB8D0"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28</w:t>
            </w:r>
            <w:r>
              <w:rPr>
                <w:rFonts w:cs="Arial"/>
                <w:bCs/>
                <w:szCs w:val="14"/>
              </w:rPr>
              <w:t>,</w:t>
            </w:r>
            <w:r w:rsidRPr="00CC7FB7">
              <w:rPr>
                <w:rFonts w:cs="Arial"/>
                <w:bCs/>
                <w:szCs w:val="14"/>
              </w:rPr>
              <w:t>22</w:t>
            </w:r>
            <w:r>
              <w:rPr>
                <w:rFonts w:cs="Arial"/>
                <w:bCs/>
                <w:szCs w:val="14"/>
              </w:rPr>
              <w:t>6</w:t>
            </w:r>
          </w:p>
        </w:tc>
        <w:tc>
          <w:tcPr>
            <w:tcW w:w="1560" w:type="dxa"/>
            <w:tcBorders>
              <w:top w:val="nil"/>
              <w:bottom w:val="nil"/>
            </w:tcBorders>
            <w:shd w:val="clear" w:color="auto" w:fill="auto"/>
            <w:vAlign w:val="center"/>
          </w:tcPr>
          <w:p w14:paraId="3800D59C"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122" w:type="dxa"/>
            <w:tcBorders>
              <w:top w:val="nil"/>
              <w:bottom w:val="nil"/>
            </w:tcBorders>
            <w:shd w:val="clear" w:color="auto" w:fill="auto"/>
            <w:vAlign w:val="center"/>
          </w:tcPr>
          <w:p w14:paraId="130F978B"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Cs w:val="14"/>
              </w:rPr>
            </w:pPr>
            <w:r w:rsidRPr="002B3E52">
              <w:rPr>
                <w:rFonts w:cs="Arial"/>
                <w:b/>
                <w:bCs/>
                <w:szCs w:val="14"/>
              </w:rPr>
              <w:t>28</w:t>
            </w:r>
            <w:r>
              <w:rPr>
                <w:rFonts w:cs="Arial"/>
                <w:b/>
                <w:bCs/>
                <w:szCs w:val="14"/>
              </w:rPr>
              <w:t>,</w:t>
            </w:r>
            <w:r w:rsidRPr="002B3E52">
              <w:rPr>
                <w:rFonts w:cs="Arial"/>
                <w:b/>
                <w:bCs/>
                <w:szCs w:val="14"/>
              </w:rPr>
              <w:t>22</w:t>
            </w:r>
            <w:r>
              <w:rPr>
                <w:rFonts w:cs="Arial"/>
                <w:b/>
                <w:bCs/>
                <w:szCs w:val="14"/>
              </w:rPr>
              <w:t>6</w:t>
            </w:r>
          </w:p>
        </w:tc>
      </w:tr>
      <w:tr w:rsidR="00991E72" w:rsidRPr="004E4235" w14:paraId="1A54A2A7" w14:textId="77777777" w:rsidTr="00991E72">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40E7187" w14:textId="77777777" w:rsidR="00991E72" w:rsidRPr="00456146" w:rsidRDefault="00991E72" w:rsidP="00991E72">
            <w:pPr>
              <w:keepNext/>
              <w:keepLines/>
              <w:spacing w:before="40" w:after="40"/>
              <w:ind w:left="177"/>
              <w:rPr>
                <w:rFonts w:eastAsia="Times New Roman" w:cs="Arial"/>
                <w:b w:val="0"/>
                <w:spacing w:val="-2"/>
                <w:szCs w:val="14"/>
                <w:lang w:val="en-US" w:eastAsia="pt-BR"/>
              </w:rPr>
            </w:pPr>
            <w:r w:rsidRPr="00456146">
              <w:rPr>
                <w:rFonts w:eastAsia="Times New Roman" w:cs="Arial"/>
                <w:b w:val="0"/>
                <w:spacing w:val="-2"/>
                <w:szCs w:val="14"/>
                <w:lang w:val="en-US" w:eastAsia="pt-BR"/>
              </w:rPr>
              <w:t xml:space="preserve">Other comprehensive income - </w:t>
            </w:r>
            <w:r>
              <w:rPr>
                <w:rFonts w:eastAsia="Times New Roman" w:cs="Arial"/>
                <w:b w:val="0"/>
                <w:spacing w:val="-2"/>
                <w:szCs w:val="14"/>
                <w:lang w:val="en-US" w:eastAsia="pt-BR"/>
              </w:rPr>
              <w:t>E</w:t>
            </w:r>
            <w:r w:rsidRPr="00E32FFE">
              <w:rPr>
                <w:rFonts w:cs="Arial"/>
                <w:b w:val="0"/>
                <w:bCs w:val="0"/>
                <w:szCs w:val="14"/>
                <w:lang w:val="en-US"/>
              </w:rPr>
              <w:t>ffects CPC 48 and 50</w:t>
            </w:r>
          </w:p>
        </w:tc>
        <w:tc>
          <w:tcPr>
            <w:tcW w:w="567" w:type="dxa"/>
            <w:tcBorders>
              <w:top w:val="nil"/>
              <w:bottom w:val="nil"/>
            </w:tcBorders>
            <w:shd w:val="clear" w:color="auto" w:fill="auto"/>
            <w:vAlign w:val="center"/>
          </w:tcPr>
          <w:p w14:paraId="0926026A" w14:textId="77777777" w:rsidR="00991E72" w:rsidRPr="0045614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val="en-US" w:eastAsia="pt-BR"/>
              </w:rPr>
            </w:pPr>
          </w:p>
        </w:tc>
        <w:tc>
          <w:tcPr>
            <w:tcW w:w="1276" w:type="dxa"/>
            <w:tcBorders>
              <w:top w:val="nil"/>
              <w:bottom w:val="nil"/>
            </w:tcBorders>
            <w:shd w:val="clear" w:color="auto" w:fill="auto"/>
            <w:vAlign w:val="center"/>
          </w:tcPr>
          <w:p w14:paraId="12376318"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993" w:type="dxa"/>
            <w:tcBorders>
              <w:top w:val="nil"/>
              <w:bottom w:val="nil"/>
            </w:tcBorders>
            <w:shd w:val="clear" w:color="auto" w:fill="auto"/>
            <w:vAlign w:val="center"/>
          </w:tcPr>
          <w:p w14:paraId="71E1473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277" w:type="dxa"/>
            <w:tcBorders>
              <w:top w:val="nil"/>
              <w:bottom w:val="nil"/>
            </w:tcBorders>
            <w:shd w:val="clear" w:color="auto" w:fill="auto"/>
            <w:vAlign w:val="center"/>
          </w:tcPr>
          <w:p w14:paraId="6A76DFDA"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846" w:type="dxa"/>
            <w:tcBorders>
              <w:top w:val="nil"/>
              <w:bottom w:val="nil"/>
            </w:tcBorders>
            <w:shd w:val="clear" w:color="auto" w:fill="auto"/>
            <w:vAlign w:val="center"/>
          </w:tcPr>
          <w:p w14:paraId="6D768F3A"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122" w:type="dxa"/>
            <w:tcBorders>
              <w:top w:val="nil"/>
              <w:bottom w:val="nil"/>
            </w:tcBorders>
            <w:shd w:val="clear" w:color="auto" w:fill="auto"/>
            <w:vAlign w:val="center"/>
          </w:tcPr>
          <w:p w14:paraId="78618686"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289" w:type="dxa"/>
            <w:tcBorders>
              <w:top w:val="nil"/>
              <w:bottom w:val="nil"/>
            </w:tcBorders>
            <w:shd w:val="clear" w:color="auto" w:fill="auto"/>
            <w:vAlign w:val="center"/>
          </w:tcPr>
          <w:p w14:paraId="5072B698"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bCs/>
                <w:szCs w:val="14"/>
              </w:rPr>
              <w:t>157,162</w:t>
            </w:r>
          </w:p>
        </w:tc>
        <w:tc>
          <w:tcPr>
            <w:tcW w:w="1560" w:type="dxa"/>
            <w:tcBorders>
              <w:top w:val="nil"/>
              <w:bottom w:val="nil"/>
            </w:tcBorders>
            <w:shd w:val="clear" w:color="auto" w:fill="auto"/>
            <w:vAlign w:val="center"/>
          </w:tcPr>
          <w:p w14:paraId="5BD3BF0E"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sidRPr="00CC7FB7">
              <w:rPr>
                <w:rFonts w:cs="Arial"/>
                <w:bCs/>
                <w:szCs w:val="14"/>
              </w:rPr>
              <w:t>--</w:t>
            </w:r>
          </w:p>
        </w:tc>
        <w:tc>
          <w:tcPr>
            <w:tcW w:w="1122" w:type="dxa"/>
            <w:tcBorders>
              <w:top w:val="nil"/>
              <w:bottom w:val="nil"/>
            </w:tcBorders>
            <w:shd w:val="clear" w:color="auto" w:fill="auto"/>
            <w:vAlign w:val="center"/>
          </w:tcPr>
          <w:p w14:paraId="6555741E"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Cs w:val="14"/>
                <w:lang w:eastAsia="pt-BR"/>
              </w:rPr>
            </w:pPr>
            <w:r>
              <w:rPr>
                <w:rFonts w:cs="Arial"/>
                <w:b/>
                <w:bCs/>
                <w:szCs w:val="14"/>
              </w:rPr>
              <w:t>157,162</w:t>
            </w:r>
          </w:p>
        </w:tc>
      </w:tr>
      <w:tr w:rsidR="00991E72" w:rsidRPr="004E4235" w14:paraId="62824C34" w14:textId="77777777" w:rsidTr="00991E72">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BF0AEE5" w14:textId="77777777" w:rsidR="00991E72" w:rsidRPr="00B03722" w:rsidRDefault="00991E72" w:rsidP="00991E72">
            <w:pPr>
              <w:keepNext/>
              <w:keepLines/>
              <w:spacing w:before="40" w:after="40"/>
              <w:rPr>
                <w:rFonts w:eastAsia="Times New Roman" w:cs="Arial"/>
                <w:spacing w:val="-2"/>
                <w:szCs w:val="14"/>
                <w:lang w:val="en-US" w:eastAsia="pt-BR"/>
              </w:rPr>
            </w:pPr>
            <w:r w:rsidRPr="00B03722">
              <w:rPr>
                <w:rFonts w:cs="Arial"/>
                <w:szCs w:val="14"/>
                <w:lang w:val="en-US"/>
              </w:rPr>
              <w:t>Net income for the period</w:t>
            </w:r>
          </w:p>
        </w:tc>
        <w:tc>
          <w:tcPr>
            <w:tcW w:w="567" w:type="dxa"/>
            <w:tcBorders>
              <w:top w:val="nil"/>
              <w:bottom w:val="nil"/>
            </w:tcBorders>
            <w:shd w:val="clear" w:color="auto" w:fill="auto"/>
            <w:vAlign w:val="center"/>
          </w:tcPr>
          <w:p w14:paraId="1B7252F2" w14:textId="77777777" w:rsidR="00991E72" w:rsidRPr="003260CE"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val="en-US" w:eastAsia="pt-BR"/>
              </w:rPr>
            </w:pPr>
          </w:p>
        </w:tc>
        <w:tc>
          <w:tcPr>
            <w:tcW w:w="1276" w:type="dxa"/>
            <w:tcBorders>
              <w:top w:val="nil"/>
              <w:bottom w:val="nil"/>
            </w:tcBorders>
            <w:shd w:val="clear" w:color="auto" w:fill="auto"/>
            <w:vAlign w:val="center"/>
          </w:tcPr>
          <w:p w14:paraId="0BE4D9E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7D2679">
              <w:rPr>
                <w:rFonts w:cs="Arial"/>
                <w:b/>
                <w:bCs/>
                <w:szCs w:val="14"/>
              </w:rPr>
              <w:t>--</w:t>
            </w:r>
          </w:p>
        </w:tc>
        <w:tc>
          <w:tcPr>
            <w:tcW w:w="993" w:type="dxa"/>
            <w:tcBorders>
              <w:top w:val="nil"/>
              <w:bottom w:val="nil"/>
            </w:tcBorders>
            <w:shd w:val="clear" w:color="auto" w:fill="auto"/>
            <w:vAlign w:val="center"/>
          </w:tcPr>
          <w:p w14:paraId="6587E0B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7D2679">
              <w:rPr>
                <w:rFonts w:cs="Arial"/>
                <w:b/>
                <w:bCs/>
                <w:szCs w:val="14"/>
              </w:rPr>
              <w:t>--</w:t>
            </w:r>
          </w:p>
        </w:tc>
        <w:tc>
          <w:tcPr>
            <w:tcW w:w="1277" w:type="dxa"/>
            <w:tcBorders>
              <w:top w:val="nil"/>
              <w:bottom w:val="nil"/>
            </w:tcBorders>
            <w:shd w:val="clear" w:color="auto" w:fill="auto"/>
            <w:vAlign w:val="center"/>
          </w:tcPr>
          <w:p w14:paraId="28C47AA3"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7D2679">
              <w:rPr>
                <w:rFonts w:cs="Arial"/>
                <w:b/>
                <w:bCs/>
                <w:szCs w:val="14"/>
              </w:rPr>
              <w:t>--</w:t>
            </w:r>
          </w:p>
        </w:tc>
        <w:tc>
          <w:tcPr>
            <w:tcW w:w="1846" w:type="dxa"/>
            <w:tcBorders>
              <w:top w:val="nil"/>
              <w:bottom w:val="nil"/>
            </w:tcBorders>
            <w:shd w:val="clear" w:color="auto" w:fill="auto"/>
            <w:vAlign w:val="center"/>
          </w:tcPr>
          <w:p w14:paraId="14A194DC"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7D2679">
              <w:rPr>
                <w:rFonts w:cs="Arial"/>
                <w:b/>
                <w:bCs/>
                <w:szCs w:val="14"/>
              </w:rPr>
              <w:t>--</w:t>
            </w:r>
          </w:p>
        </w:tc>
        <w:tc>
          <w:tcPr>
            <w:tcW w:w="1122" w:type="dxa"/>
            <w:tcBorders>
              <w:top w:val="nil"/>
              <w:bottom w:val="nil"/>
            </w:tcBorders>
            <w:shd w:val="clear" w:color="auto" w:fill="auto"/>
            <w:vAlign w:val="center"/>
          </w:tcPr>
          <w:p w14:paraId="15D88701"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7D2679">
              <w:rPr>
                <w:rFonts w:cs="Arial"/>
                <w:b/>
                <w:bCs/>
                <w:szCs w:val="14"/>
              </w:rPr>
              <w:t>--</w:t>
            </w:r>
          </w:p>
        </w:tc>
        <w:tc>
          <w:tcPr>
            <w:tcW w:w="1289" w:type="dxa"/>
            <w:tcBorders>
              <w:top w:val="nil"/>
              <w:bottom w:val="nil"/>
            </w:tcBorders>
            <w:shd w:val="clear" w:color="auto" w:fill="auto"/>
            <w:vAlign w:val="center"/>
          </w:tcPr>
          <w:p w14:paraId="2EBFE4FE"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sidRPr="007D2679">
              <w:rPr>
                <w:rFonts w:cs="Arial"/>
                <w:b/>
                <w:bCs/>
                <w:szCs w:val="14"/>
              </w:rPr>
              <w:t>--</w:t>
            </w:r>
          </w:p>
        </w:tc>
        <w:tc>
          <w:tcPr>
            <w:tcW w:w="1560" w:type="dxa"/>
            <w:tcBorders>
              <w:top w:val="nil"/>
              <w:bottom w:val="nil"/>
            </w:tcBorders>
            <w:shd w:val="clear" w:color="auto" w:fill="auto"/>
            <w:vAlign w:val="center"/>
          </w:tcPr>
          <w:p w14:paraId="12C09D86"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1,832,959</w:t>
            </w:r>
          </w:p>
        </w:tc>
        <w:tc>
          <w:tcPr>
            <w:tcW w:w="1122" w:type="dxa"/>
            <w:tcBorders>
              <w:top w:val="nil"/>
              <w:bottom w:val="nil"/>
            </w:tcBorders>
            <w:shd w:val="clear" w:color="auto" w:fill="auto"/>
            <w:vAlign w:val="center"/>
          </w:tcPr>
          <w:p w14:paraId="0267C878"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Cs w:val="14"/>
                <w:lang w:eastAsia="pt-BR"/>
              </w:rPr>
            </w:pPr>
            <w:r>
              <w:rPr>
                <w:rFonts w:cs="Arial"/>
                <w:b/>
                <w:bCs/>
                <w:szCs w:val="14"/>
              </w:rPr>
              <w:t>1,832,959</w:t>
            </w:r>
          </w:p>
        </w:tc>
      </w:tr>
      <w:tr w:rsidR="00991E72" w:rsidRPr="004E4235" w14:paraId="260359B4" w14:textId="77777777" w:rsidTr="00991E72">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3BB251F7" w14:textId="77777777" w:rsidR="00991E72" w:rsidRPr="00B03722" w:rsidRDefault="00991E72" w:rsidP="00991E72">
            <w:pPr>
              <w:keepNext/>
              <w:keepLines/>
              <w:spacing w:before="40" w:after="40"/>
              <w:rPr>
                <w:rFonts w:eastAsia="Times New Roman" w:cs="Arial"/>
                <w:spacing w:val="-2"/>
                <w:szCs w:val="14"/>
                <w:lang w:eastAsia="pt-BR"/>
              </w:rPr>
            </w:pPr>
            <w:r w:rsidRPr="00B03722">
              <w:rPr>
                <w:rFonts w:cs="Arial"/>
                <w:szCs w:val="14"/>
              </w:rPr>
              <w:t xml:space="preserve">Balances at </w:t>
            </w:r>
            <w:r>
              <w:rPr>
                <w:rFonts w:cs="Arial"/>
                <w:szCs w:val="14"/>
              </w:rPr>
              <w:t xml:space="preserve">Mar </w:t>
            </w:r>
            <w:r w:rsidRPr="00B03722">
              <w:rPr>
                <w:rFonts w:cs="Arial"/>
                <w:szCs w:val="14"/>
              </w:rPr>
              <w:t>3</w:t>
            </w:r>
            <w:r>
              <w:rPr>
                <w:rFonts w:cs="Arial"/>
                <w:szCs w:val="14"/>
              </w:rPr>
              <w:t xml:space="preserve">1, </w:t>
            </w:r>
            <w:r w:rsidRPr="00B03722">
              <w:rPr>
                <w:rFonts w:cs="Arial"/>
                <w:szCs w:val="14"/>
              </w:rPr>
              <w:t>202</w:t>
            </w:r>
            <w:r>
              <w:rPr>
                <w:rFonts w:cs="Arial"/>
                <w:szCs w:val="14"/>
              </w:rPr>
              <w:t>3</w:t>
            </w:r>
          </w:p>
        </w:tc>
        <w:tc>
          <w:tcPr>
            <w:tcW w:w="567" w:type="dxa"/>
            <w:tcBorders>
              <w:top w:val="nil"/>
              <w:bottom w:val="single" w:sz="2" w:space="0" w:color="1F4E79" w:themeColor="accent1" w:themeShade="80"/>
            </w:tcBorders>
            <w:shd w:val="clear" w:color="auto" w:fill="auto"/>
            <w:vAlign w:val="center"/>
          </w:tcPr>
          <w:p w14:paraId="42FF50DD"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p>
        </w:tc>
        <w:tc>
          <w:tcPr>
            <w:tcW w:w="1276" w:type="dxa"/>
            <w:tcBorders>
              <w:top w:val="nil"/>
              <w:bottom w:val="single" w:sz="2" w:space="0" w:color="1F4E79" w:themeColor="accent1" w:themeShade="80"/>
            </w:tcBorders>
            <w:shd w:val="clear" w:color="auto" w:fill="auto"/>
            <w:vAlign w:val="center"/>
          </w:tcPr>
          <w:p w14:paraId="57CE09D9"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B3E52">
              <w:rPr>
                <w:rFonts w:cs="Arial"/>
                <w:b/>
                <w:bCs/>
                <w:szCs w:val="14"/>
              </w:rPr>
              <w:t>6</w:t>
            </w:r>
            <w:r>
              <w:rPr>
                <w:rFonts w:cs="Arial"/>
                <w:b/>
                <w:bCs/>
                <w:szCs w:val="14"/>
              </w:rPr>
              <w:t>,</w:t>
            </w:r>
            <w:r w:rsidRPr="002B3E52">
              <w:rPr>
                <w:rFonts w:cs="Arial"/>
                <w:b/>
                <w:bCs/>
                <w:szCs w:val="14"/>
              </w:rPr>
              <w:t>269</w:t>
            </w:r>
            <w:r>
              <w:rPr>
                <w:rFonts w:cs="Arial"/>
                <w:b/>
                <w:bCs/>
                <w:szCs w:val="14"/>
              </w:rPr>
              <w:t>,</w:t>
            </w:r>
            <w:r w:rsidRPr="002B3E52">
              <w:rPr>
                <w:rFonts w:cs="Arial"/>
                <w:b/>
                <w:bCs/>
                <w:szCs w:val="14"/>
              </w:rPr>
              <w:t>692</w:t>
            </w:r>
          </w:p>
        </w:tc>
        <w:tc>
          <w:tcPr>
            <w:tcW w:w="993" w:type="dxa"/>
            <w:tcBorders>
              <w:top w:val="nil"/>
              <w:bottom w:val="single" w:sz="2" w:space="0" w:color="1F4E79" w:themeColor="accent1" w:themeShade="80"/>
            </w:tcBorders>
            <w:shd w:val="clear" w:color="auto" w:fill="auto"/>
            <w:vAlign w:val="center"/>
          </w:tcPr>
          <w:p w14:paraId="165CA253"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B3E52">
              <w:rPr>
                <w:rFonts w:cs="Arial"/>
                <w:b/>
                <w:bCs/>
                <w:szCs w:val="14"/>
              </w:rPr>
              <w:t>1</w:t>
            </w:r>
            <w:r>
              <w:rPr>
                <w:rFonts w:cs="Arial"/>
                <w:b/>
                <w:bCs/>
                <w:szCs w:val="14"/>
              </w:rPr>
              <w:t>,</w:t>
            </w:r>
            <w:r w:rsidRPr="002B3E52">
              <w:rPr>
                <w:rFonts w:cs="Arial"/>
                <w:b/>
                <w:bCs/>
                <w:szCs w:val="14"/>
              </w:rPr>
              <w:t>801</w:t>
            </w:r>
          </w:p>
        </w:tc>
        <w:tc>
          <w:tcPr>
            <w:tcW w:w="1277" w:type="dxa"/>
            <w:tcBorders>
              <w:top w:val="nil"/>
              <w:bottom w:val="single" w:sz="2" w:space="0" w:color="1F4E79" w:themeColor="accent1" w:themeShade="80"/>
            </w:tcBorders>
            <w:shd w:val="clear" w:color="auto" w:fill="auto"/>
            <w:vAlign w:val="center"/>
          </w:tcPr>
          <w:p w14:paraId="7ACC117B"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B3E52">
              <w:rPr>
                <w:rFonts w:cs="Arial"/>
                <w:b/>
                <w:bCs/>
                <w:szCs w:val="14"/>
              </w:rPr>
              <w:t>302</w:t>
            </w:r>
            <w:r>
              <w:rPr>
                <w:rFonts w:cs="Arial"/>
                <w:b/>
                <w:bCs/>
                <w:szCs w:val="14"/>
              </w:rPr>
              <w:t>,</w:t>
            </w:r>
            <w:r w:rsidRPr="002B3E52">
              <w:rPr>
                <w:rFonts w:cs="Arial"/>
                <w:b/>
                <w:bCs/>
                <w:szCs w:val="14"/>
              </w:rPr>
              <w:t>229</w:t>
            </w:r>
          </w:p>
        </w:tc>
        <w:tc>
          <w:tcPr>
            <w:tcW w:w="1846" w:type="dxa"/>
            <w:tcBorders>
              <w:top w:val="nil"/>
              <w:bottom w:val="single" w:sz="2" w:space="0" w:color="1F4E79" w:themeColor="accent1" w:themeShade="80"/>
            </w:tcBorders>
            <w:shd w:val="clear" w:color="auto" w:fill="auto"/>
            <w:vAlign w:val="center"/>
          </w:tcPr>
          <w:p w14:paraId="01C798E5"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sidRPr="002B3E52">
              <w:rPr>
                <w:rFonts w:cs="Arial"/>
                <w:b/>
                <w:bCs/>
                <w:szCs w:val="14"/>
              </w:rPr>
              <w:t>1</w:t>
            </w:r>
            <w:r>
              <w:rPr>
                <w:rFonts w:cs="Arial"/>
                <w:b/>
                <w:bCs/>
                <w:szCs w:val="14"/>
              </w:rPr>
              <w:t>,</w:t>
            </w:r>
            <w:r w:rsidRPr="002B3E52">
              <w:rPr>
                <w:rFonts w:cs="Arial"/>
                <w:b/>
                <w:bCs/>
                <w:szCs w:val="14"/>
              </w:rPr>
              <w:t>250</w:t>
            </w:r>
            <w:r>
              <w:rPr>
                <w:rFonts w:cs="Arial"/>
                <w:b/>
                <w:bCs/>
                <w:szCs w:val="14"/>
              </w:rPr>
              <w:t>,</w:t>
            </w:r>
            <w:r w:rsidRPr="002B3E52">
              <w:rPr>
                <w:rFonts w:cs="Arial"/>
                <w:b/>
                <w:bCs/>
                <w:szCs w:val="14"/>
              </w:rPr>
              <w:t>000</w:t>
            </w:r>
          </w:p>
        </w:tc>
        <w:tc>
          <w:tcPr>
            <w:tcW w:w="1122" w:type="dxa"/>
            <w:tcBorders>
              <w:top w:val="nil"/>
              <w:bottom w:val="single" w:sz="2" w:space="0" w:color="1F4E79" w:themeColor="accent1" w:themeShade="80"/>
            </w:tcBorders>
            <w:shd w:val="clear" w:color="auto" w:fill="auto"/>
            <w:vAlign w:val="center"/>
          </w:tcPr>
          <w:p w14:paraId="61412A62"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w:t>
            </w:r>
            <w:r w:rsidRPr="002B3E52">
              <w:rPr>
                <w:rFonts w:cs="Arial"/>
                <w:b/>
                <w:bCs/>
                <w:szCs w:val="14"/>
              </w:rPr>
              <w:t>79</w:t>
            </w:r>
            <w:r>
              <w:rPr>
                <w:rFonts w:cs="Arial"/>
                <w:b/>
                <w:bCs/>
                <w:szCs w:val="14"/>
              </w:rPr>
              <w:t>,</w:t>
            </w:r>
            <w:r w:rsidRPr="002B3E52">
              <w:rPr>
                <w:rFonts w:cs="Arial"/>
                <w:b/>
                <w:bCs/>
                <w:szCs w:val="14"/>
              </w:rPr>
              <w:t>758</w:t>
            </w:r>
            <w:r>
              <w:rPr>
                <w:rFonts w:cs="Arial"/>
                <w:b/>
                <w:bCs/>
                <w:szCs w:val="14"/>
              </w:rPr>
              <w:t>)</w:t>
            </w:r>
          </w:p>
        </w:tc>
        <w:tc>
          <w:tcPr>
            <w:tcW w:w="1289" w:type="dxa"/>
            <w:tcBorders>
              <w:top w:val="nil"/>
              <w:bottom w:val="single" w:sz="2" w:space="0" w:color="1F4E79" w:themeColor="accent1" w:themeShade="80"/>
            </w:tcBorders>
            <w:shd w:val="clear" w:color="auto" w:fill="auto"/>
            <w:vAlign w:val="center"/>
          </w:tcPr>
          <w:p w14:paraId="1C03DD5A"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203,426</w:t>
            </w:r>
          </w:p>
        </w:tc>
        <w:tc>
          <w:tcPr>
            <w:tcW w:w="1560" w:type="dxa"/>
            <w:tcBorders>
              <w:top w:val="nil"/>
              <w:bottom w:val="single" w:sz="2" w:space="0" w:color="1F4E79" w:themeColor="accent1" w:themeShade="80"/>
            </w:tcBorders>
            <w:shd w:val="clear" w:color="auto" w:fill="auto"/>
            <w:vAlign w:val="center"/>
          </w:tcPr>
          <w:p w14:paraId="5B4F97D1"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2,099,944</w:t>
            </w:r>
          </w:p>
        </w:tc>
        <w:tc>
          <w:tcPr>
            <w:tcW w:w="1122" w:type="dxa"/>
            <w:tcBorders>
              <w:top w:val="nil"/>
              <w:bottom w:val="single" w:sz="2" w:space="0" w:color="1F4E79" w:themeColor="accent1" w:themeShade="80"/>
            </w:tcBorders>
            <w:shd w:val="clear" w:color="auto" w:fill="auto"/>
            <w:vAlign w:val="center"/>
          </w:tcPr>
          <w:p w14:paraId="178009C4" w14:textId="77777777" w:rsidR="00991E72" w:rsidRPr="00B03722"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Cs w:val="14"/>
                <w:lang w:eastAsia="pt-BR"/>
              </w:rPr>
            </w:pPr>
            <w:r>
              <w:rPr>
                <w:rFonts w:cs="Arial"/>
                <w:b/>
                <w:bCs/>
                <w:szCs w:val="14"/>
              </w:rPr>
              <w:t>10,047,334</w:t>
            </w:r>
          </w:p>
        </w:tc>
      </w:tr>
      <w:tr w:rsidR="00991E72" w:rsidRPr="004E4235" w14:paraId="7E4FDFE4" w14:textId="77777777" w:rsidTr="00991E72">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single" w:sz="2" w:space="0" w:color="1F4E79" w:themeColor="accent1" w:themeShade="80"/>
            </w:tcBorders>
            <w:shd w:val="clear" w:color="auto" w:fill="auto"/>
            <w:vAlign w:val="center"/>
          </w:tcPr>
          <w:p w14:paraId="69951C64" w14:textId="77777777" w:rsidR="00991E72" w:rsidRPr="00B03722" w:rsidRDefault="00991E72" w:rsidP="00991E72">
            <w:pPr>
              <w:keepNext/>
              <w:keepLines/>
              <w:spacing w:before="40" w:after="40"/>
              <w:rPr>
                <w:rFonts w:eastAsia="Times New Roman" w:cs="Arial"/>
                <w:spacing w:val="-2"/>
                <w:szCs w:val="14"/>
                <w:lang w:eastAsia="pt-BR"/>
              </w:rPr>
            </w:pPr>
            <w:r w:rsidRPr="00B03722">
              <w:rPr>
                <w:rFonts w:cs="Arial"/>
                <w:color w:val="000000"/>
                <w:szCs w:val="14"/>
              </w:rPr>
              <w:t xml:space="preserve">Changes in </w:t>
            </w:r>
            <w:r>
              <w:rPr>
                <w:rFonts w:cs="Arial"/>
                <w:color w:val="000000"/>
                <w:szCs w:val="14"/>
              </w:rPr>
              <w:t xml:space="preserve">the </w:t>
            </w:r>
            <w:r>
              <w:rPr>
                <w:rStyle w:val="rynqvb"/>
                <w:lang w:val="en"/>
              </w:rPr>
              <w:t>period</w:t>
            </w:r>
          </w:p>
        </w:tc>
        <w:tc>
          <w:tcPr>
            <w:tcW w:w="567" w:type="dxa"/>
            <w:tcBorders>
              <w:top w:val="single" w:sz="2" w:space="0" w:color="1F4E79" w:themeColor="accent1" w:themeShade="80"/>
              <w:bottom w:val="single" w:sz="2" w:space="0" w:color="1F4E79" w:themeColor="accent1" w:themeShade="80"/>
            </w:tcBorders>
            <w:shd w:val="clear" w:color="auto" w:fill="auto"/>
            <w:vAlign w:val="center"/>
          </w:tcPr>
          <w:p w14:paraId="186F058B"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6345778"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510C9CB7"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2B3E52">
              <w:rPr>
                <w:rFonts w:cs="Arial"/>
                <w:b/>
                <w:bCs/>
                <w:szCs w:val="14"/>
              </w:rPr>
              <w:t>230</w:t>
            </w: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6BE4F7B6"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49FFFC26"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7C792188"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sidRPr="002B3E52">
              <w:rPr>
                <w:rFonts w:cs="Arial"/>
                <w:b/>
                <w:bCs/>
                <w:szCs w:val="14"/>
              </w:rPr>
              <w:t>586</w:t>
            </w:r>
          </w:p>
        </w:tc>
        <w:tc>
          <w:tcPr>
            <w:tcW w:w="1289" w:type="dxa"/>
            <w:tcBorders>
              <w:top w:val="single" w:sz="2" w:space="0" w:color="1F4E79" w:themeColor="accent1" w:themeShade="80"/>
              <w:bottom w:val="single" w:sz="2" w:space="0" w:color="1F4E79" w:themeColor="accent1" w:themeShade="80"/>
            </w:tcBorders>
            <w:shd w:val="clear" w:color="auto" w:fill="auto"/>
            <w:vAlign w:val="center"/>
          </w:tcPr>
          <w:p w14:paraId="4E08558B"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185,388</w:t>
            </w: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30C68825"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1,832,959</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4B61B454" w14:textId="77777777" w:rsidR="00991E72" w:rsidRPr="00B03722" w:rsidRDefault="00991E72" w:rsidP="00991E72">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Cs w:val="14"/>
                <w:lang w:eastAsia="pt-BR"/>
              </w:rPr>
            </w:pPr>
            <w:r>
              <w:rPr>
                <w:rFonts w:cs="Arial"/>
                <w:b/>
                <w:bCs/>
                <w:szCs w:val="14"/>
              </w:rPr>
              <w:t>2,019,163</w:t>
            </w:r>
          </w:p>
        </w:tc>
      </w:tr>
    </w:tbl>
    <w:p w14:paraId="594D24D0" w14:textId="77777777" w:rsidR="00991E72" w:rsidRPr="00456146" w:rsidRDefault="00991E72" w:rsidP="00991E72">
      <w:pPr>
        <w:spacing w:after="0"/>
        <w:rPr>
          <w:rFonts w:cs="Arial"/>
          <w:sz w:val="14"/>
          <w:szCs w:val="14"/>
          <w:lang w:val="en-US"/>
        </w:rPr>
      </w:pPr>
      <w:r w:rsidRPr="00456146">
        <w:rPr>
          <w:rFonts w:cs="Arial"/>
          <w:sz w:val="14"/>
          <w:szCs w:val="14"/>
          <w:lang w:val="en-US"/>
        </w:rPr>
        <w:t>Other comprehensive income is presented net of tax effects.</w:t>
      </w:r>
    </w:p>
    <w:p w14:paraId="7F8A2A7B" w14:textId="77777777" w:rsidR="00991E72" w:rsidRPr="00456146" w:rsidRDefault="00991E72" w:rsidP="00991E72">
      <w:pPr>
        <w:spacing w:after="0"/>
        <w:rPr>
          <w:rFonts w:cs="Arial"/>
          <w:sz w:val="14"/>
          <w:szCs w:val="14"/>
          <w:lang w:val="en-US"/>
        </w:rPr>
        <w:sectPr w:rsidR="00991E72" w:rsidRPr="00456146" w:rsidSect="00991E72">
          <w:headerReference w:type="even" r:id="rId25"/>
          <w:headerReference w:type="default" r:id="rId26"/>
          <w:footerReference w:type="default" r:id="rId27"/>
          <w:headerReference w:type="first" r:id="rId28"/>
          <w:pgSz w:w="16838" w:h="11906" w:orient="landscape" w:code="9"/>
          <w:pgMar w:top="1134" w:right="1134" w:bottom="1134" w:left="851" w:header="851" w:footer="284" w:gutter="0"/>
          <w:cols w:space="708"/>
          <w:docGrid w:linePitch="360"/>
        </w:sectPr>
      </w:pPr>
      <w:r w:rsidRPr="00456146">
        <w:rPr>
          <w:rFonts w:cs="Arial"/>
          <w:sz w:val="14"/>
          <w:szCs w:val="14"/>
          <w:lang w:val="en-US"/>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728CB89A" w14:textId="77777777" w:rsidR="00991E72" w:rsidRPr="00BA4C93" w:rsidRDefault="00991E72" w:rsidP="00991E72">
      <w:pPr>
        <w:pStyle w:val="Ttulo1"/>
        <w:rPr>
          <w:b w:val="0"/>
          <w:bCs w:val="0"/>
        </w:rPr>
      </w:pPr>
      <w:bookmarkStart w:id="12" w:name="_Toc134823561"/>
      <w:r w:rsidRPr="00BA4C93">
        <w:lastRenderedPageBreak/>
        <w:t>STATEMENT OF VALUE ADDED</w:t>
      </w:r>
      <w:bookmarkEnd w:id="12"/>
    </w:p>
    <w:p w14:paraId="1B92D8F8" w14:textId="77777777" w:rsidR="00991E72" w:rsidRPr="0038283D" w:rsidRDefault="00991E72" w:rsidP="00991E72">
      <w:pPr>
        <w:pStyle w:val="06-Rmil"/>
      </w:pPr>
      <w:r w:rsidRPr="0038283D">
        <w:t>R$ thousand</w:t>
      </w:r>
    </w:p>
    <w:tbl>
      <w:tblPr>
        <w:tblStyle w:val="TabeladeLista6Colorida-nfase5"/>
        <w:tblW w:w="9639" w:type="dxa"/>
        <w:jc w:val="center"/>
        <w:tblLayout w:type="fixed"/>
        <w:tblLook w:val="04A0" w:firstRow="1" w:lastRow="0" w:firstColumn="1" w:lastColumn="0" w:noHBand="0" w:noVBand="1"/>
      </w:tblPr>
      <w:tblGrid>
        <w:gridCol w:w="2977"/>
        <w:gridCol w:w="709"/>
        <w:gridCol w:w="1417"/>
        <w:gridCol w:w="1418"/>
        <w:gridCol w:w="280"/>
        <w:gridCol w:w="1421"/>
        <w:gridCol w:w="1417"/>
      </w:tblGrid>
      <w:tr w:rsidR="00991E72" w14:paraId="6F07B3BA" w14:textId="77777777" w:rsidTr="00991E72">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6B9A60A8" w14:textId="77777777" w:rsidR="00991E72" w:rsidRPr="0038283D" w:rsidRDefault="00991E72" w:rsidP="00991E72">
            <w:pPr>
              <w:jc w:val="center"/>
              <w:rPr>
                <w:rFonts w:cs="Arial"/>
                <w:b w:val="0"/>
                <w:szCs w:val="18"/>
                <w:lang w:val="en-US"/>
              </w:rPr>
            </w:pPr>
          </w:p>
        </w:tc>
        <w:tc>
          <w:tcPr>
            <w:tcW w:w="709" w:type="dxa"/>
            <w:tcBorders>
              <w:top w:val="single" w:sz="2" w:space="0" w:color="1F4E79" w:themeColor="accent1" w:themeShade="80"/>
              <w:bottom w:val="nil"/>
            </w:tcBorders>
            <w:shd w:val="clear" w:color="auto" w:fill="auto"/>
          </w:tcPr>
          <w:p w14:paraId="1C7B0093" w14:textId="77777777" w:rsidR="00991E72" w:rsidRPr="0038283D"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5D1BE7A"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0" w:type="dxa"/>
            <w:tcBorders>
              <w:top w:val="single" w:sz="2" w:space="0" w:color="1F4E79" w:themeColor="accent1" w:themeShade="80"/>
              <w:bottom w:val="nil"/>
            </w:tcBorders>
            <w:shd w:val="clear" w:color="auto" w:fill="auto"/>
          </w:tcPr>
          <w:p w14:paraId="4A851534" w14:textId="77777777" w:rsidR="00991E72" w:rsidRPr="001D6BE8"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8" w:type="dxa"/>
            <w:gridSpan w:val="2"/>
            <w:tcBorders>
              <w:top w:val="single" w:sz="2" w:space="0" w:color="1F4E79" w:themeColor="accent1" w:themeShade="80"/>
              <w:bottom w:val="single" w:sz="2" w:space="0" w:color="1F4E79" w:themeColor="accent1" w:themeShade="80"/>
            </w:tcBorders>
            <w:shd w:val="clear" w:color="auto" w:fill="auto"/>
            <w:vAlign w:val="center"/>
          </w:tcPr>
          <w:p w14:paraId="6E8B3F49" w14:textId="77777777" w:rsidR="00991E72" w:rsidRPr="0038031F"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991E72" w:rsidRPr="001D6BE8" w14:paraId="02CF3BD0" w14:textId="77777777" w:rsidTr="00991E72">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tcPr>
          <w:p w14:paraId="1586C91B" w14:textId="77777777" w:rsidR="00991E72" w:rsidRPr="001D6BE8" w:rsidRDefault="00991E72" w:rsidP="00991E72">
            <w:pPr>
              <w:pStyle w:val="08-Tabelageral"/>
              <w:jc w:val="left"/>
              <w:rPr>
                <w:rFonts w:cs="Arial"/>
                <w:b w:val="0"/>
              </w:rPr>
            </w:pPr>
          </w:p>
        </w:tc>
        <w:tc>
          <w:tcPr>
            <w:tcW w:w="709" w:type="dxa"/>
            <w:tcBorders>
              <w:top w:val="nil"/>
              <w:bottom w:val="single" w:sz="2" w:space="0" w:color="1F4E79" w:themeColor="accent1" w:themeShade="80"/>
            </w:tcBorders>
            <w:shd w:val="clear" w:color="auto" w:fill="auto"/>
          </w:tcPr>
          <w:p w14:paraId="6EDDBEE3" w14:textId="77777777" w:rsidR="00991E72" w:rsidRPr="001D6BE8"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A01CCC">
              <w:rPr>
                <w:b/>
              </w:rPr>
              <w:t>Note</w:t>
            </w:r>
          </w:p>
        </w:tc>
        <w:tc>
          <w:tcPr>
            <w:tcW w:w="1417" w:type="dxa"/>
            <w:tcBorders>
              <w:top w:val="single" w:sz="2" w:space="0" w:color="1F4E79" w:themeColor="accent1" w:themeShade="80"/>
              <w:bottom w:val="single" w:sz="2" w:space="0" w:color="1F4E79" w:themeColor="accent1" w:themeShade="80"/>
            </w:tcBorders>
            <w:shd w:val="clear" w:color="auto" w:fill="auto"/>
          </w:tcPr>
          <w:p w14:paraId="4BF0FF81" w14:textId="77777777" w:rsidR="00991E72" w:rsidRPr="00BB0772" w:rsidRDefault="00991E72" w:rsidP="00991E72">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1F0568">
              <w:rPr>
                <w:b/>
                <w:sz w:val="14"/>
                <w:szCs w:val="14"/>
              </w:rPr>
              <w:t>1</w:t>
            </w:r>
            <w:r w:rsidRPr="00586087">
              <w:rPr>
                <w:b/>
                <w:sz w:val="14"/>
                <w:szCs w:val="14"/>
                <w:vertAlign w:val="superscript"/>
              </w:rPr>
              <w:t>st</w:t>
            </w:r>
            <w:r w:rsidRPr="001F0568">
              <w:rPr>
                <w:b/>
                <w:sz w:val="14"/>
                <w:szCs w:val="14"/>
              </w:rPr>
              <w:t xml:space="preserve"> Quarter 2023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786C736" w14:textId="77A7A58B" w:rsidR="00991E72" w:rsidRDefault="00991E72" w:rsidP="00991E72">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1F0568">
              <w:rPr>
                <w:b/>
                <w:sz w:val="14"/>
                <w:szCs w:val="14"/>
              </w:rPr>
              <w:t>1</w:t>
            </w:r>
            <w:r w:rsidRPr="00586087">
              <w:rPr>
                <w:b/>
                <w:sz w:val="14"/>
                <w:szCs w:val="14"/>
                <w:vertAlign w:val="superscript"/>
              </w:rPr>
              <w:t>st</w:t>
            </w:r>
            <w:r w:rsidRPr="001F0568">
              <w:rPr>
                <w:b/>
                <w:sz w:val="14"/>
                <w:szCs w:val="14"/>
              </w:rPr>
              <w:t xml:space="preserve"> Quarter 202</w:t>
            </w:r>
            <w:r>
              <w:rPr>
                <w:b/>
                <w:sz w:val="14"/>
                <w:szCs w:val="14"/>
              </w:rPr>
              <w:t>2</w:t>
            </w:r>
            <w:r w:rsidRPr="001F0568">
              <w:rPr>
                <w:b/>
                <w:sz w:val="14"/>
                <w:szCs w:val="14"/>
              </w:rPr>
              <w:t xml:space="preserve"> </w:t>
            </w:r>
            <w:r w:rsidR="006A362F">
              <w:rPr>
                <w:b/>
                <w:sz w:val="14"/>
                <w:szCs w:val="14"/>
              </w:rPr>
              <w:t>Restated balance</w:t>
            </w:r>
          </w:p>
          <w:p w14:paraId="08954A2C" w14:textId="77777777" w:rsidR="00991E72" w:rsidRPr="00DE24BE" w:rsidRDefault="00991E72" w:rsidP="00991E72">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p>
        </w:tc>
        <w:tc>
          <w:tcPr>
            <w:tcW w:w="280" w:type="dxa"/>
            <w:tcBorders>
              <w:top w:val="nil"/>
              <w:bottom w:val="single" w:sz="2" w:space="0" w:color="1F4E79" w:themeColor="accent1" w:themeShade="80"/>
            </w:tcBorders>
            <w:shd w:val="clear" w:color="auto" w:fill="auto"/>
            <w:vAlign w:val="center"/>
          </w:tcPr>
          <w:p w14:paraId="624B2EA8" w14:textId="77777777" w:rsidR="00991E72" w:rsidRPr="00DE24B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421" w:type="dxa"/>
            <w:tcBorders>
              <w:top w:val="single" w:sz="2" w:space="0" w:color="1F4E79" w:themeColor="accent1" w:themeShade="80"/>
              <w:bottom w:val="single" w:sz="2" w:space="0" w:color="1F4E79" w:themeColor="accent1" w:themeShade="80"/>
            </w:tcBorders>
            <w:shd w:val="clear" w:color="auto" w:fill="auto"/>
          </w:tcPr>
          <w:p w14:paraId="7949D777" w14:textId="77777777" w:rsidR="00991E72" w:rsidRPr="00DE24BE" w:rsidRDefault="00991E72" w:rsidP="00991E72">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r w:rsidRPr="001F0568">
              <w:rPr>
                <w:b/>
                <w:sz w:val="14"/>
                <w:szCs w:val="14"/>
              </w:rPr>
              <w:t>1</w:t>
            </w:r>
            <w:r w:rsidRPr="00586087">
              <w:rPr>
                <w:b/>
                <w:sz w:val="14"/>
                <w:szCs w:val="14"/>
                <w:vertAlign w:val="superscript"/>
              </w:rPr>
              <w:t>st</w:t>
            </w:r>
            <w:r w:rsidRPr="001F0568">
              <w:rPr>
                <w:b/>
                <w:sz w:val="14"/>
                <w:szCs w:val="14"/>
              </w:rPr>
              <w:t xml:space="preserve"> Quarter 2023</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0DBFAC6" w14:textId="2D292A0E" w:rsidR="00991E72" w:rsidRDefault="00991E72" w:rsidP="00991E72">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1F0568">
              <w:rPr>
                <w:b/>
                <w:sz w:val="14"/>
                <w:szCs w:val="14"/>
              </w:rPr>
              <w:t>1</w:t>
            </w:r>
            <w:r w:rsidRPr="00586087">
              <w:rPr>
                <w:b/>
                <w:sz w:val="14"/>
                <w:szCs w:val="14"/>
                <w:vertAlign w:val="superscript"/>
              </w:rPr>
              <w:t>st</w:t>
            </w:r>
            <w:r w:rsidRPr="001F0568">
              <w:rPr>
                <w:b/>
                <w:sz w:val="14"/>
                <w:szCs w:val="14"/>
              </w:rPr>
              <w:t xml:space="preserve"> Quarter 202</w:t>
            </w:r>
            <w:r>
              <w:rPr>
                <w:b/>
                <w:sz w:val="14"/>
                <w:szCs w:val="14"/>
              </w:rPr>
              <w:t>2</w:t>
            </w:r>
            <w:r w:rsidRPr="001F0568">
              <w:rPr>
                <w:b/>
                <w:sz w:val="14"/>
                <w:szCs w:val="14"/>
              </w:rPr>
              <w:t xml:space="preserve"> </w:t>
            </w:r>
            <w:r w:rsidR="006A362F">
              <w:rPr>
                <w:b/>
                <w:sz w:val="14"/>
                <w:szCs w:val="14"/>
              </w:rPr>
              <w:t>Restated balance</w:t>
            </w:r>
          </w:p>
          <w:p w14:paraId="3230523A" w14:textId="77777777" w:rsidR="00991E72" w:rsidRPr="00DE24BE" w:rsidRDefault="00991E72" w:rsidP="00991E72">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p>
        </w:tc>
      </w:tr>
      <w:tr w:rsidR="00991E72" w:rsidRPr="00634ADE" w14:paraId="5272992B"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4E79" w:themeColor="accent1" w:themeShade="80"/>
              <w:bottom w:val="nil"/>
            </w:tcBorders>
            <w:shd w:val="clear" w:color="auto" w:fill="auto"/>
            <w:vAlign w:val="center"/>
          </w:tcPr>
          <w:p w14:paraId="63364BA4" w14:textId="77777777" w:rsidR="00991E72" w:rsidRPr="00634ADE" w:rsidRDefault="00991E72" w:rsidP="00991E72">
            <w:pPr>
              <w:pStyle w:val="08-Tabelageral"/>
              <w:jc w:val="left"/>
            </w:pPr>
            <w:r w:rsidRPr="00634ADE">
              <w:t>Income</w:t>
            </w:r>
          </w:p>
        </w:tc>
        <w:tc>
          <w:tcPr>
            <w:tcW w:w="709" w:type="dxa"/>
            <w:tcBorders>
              <w:top w:val="single" w:sz="2" w:space="0" w:color="1F4E79" w:themeColor="accent1" w:themeShade="80"/>
              <w:bottom w:val="nil"/>
            </w:tcBorders>
            <w:shd w:val="clear" w:color="auto" w:fill="auto"/>
          </w:tcPr>
          <w:p w14:paraId="3500AB72" w14:textId="77777777" w:rsidR="00991E72" w:rsidRPr="00634ADE" w:rsidRDefault="00991E72" w:rsidP="00991E72">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single" w:sz="2" w:space="0" w:color="1F4E79" w:themeColor="accent1" w:themeShade="80"/>
              <w:left w:val="nil"/>
              <w:bottom w:val="nil"/>
              <w:right w:val="nil"/>
            </w:tcBorders>
            <w:vAlign w:val="center"/>
          </w:tcPr>
          <w:p w14:paraId="75BE0F39"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3,018</w:t>
            </w:r>
          </w:p>
        </w:tc>
        <w:tc>
          <w:tcPr>
            <w:tcW w:w="1418" w:type="dxa"/>
            <w:tcBorders>
              <w:top w:val="single" w:sz="2" w:space="0" w:color="1F4E79" w:themeColor="accent1" w:themeShade="80"/>
              <w:left w:val="nil"/>
              <w:bottom w:val="nil"/>
              <w:right w:val="nil"/>
            </w:tcBorders>
            <w:vAlign w:val="center"/>
          </w:tcPr>
          <w:p w14:paraId="175B039B"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2,567</w:t>
            </w:r>
          </w:p>
        </w:tc>
        <w:tc>
          <w:tcPr>
            <w:tcW w:w="280" w:type="dxa"/>
            <w:tcBorders>
              <w:top w:val="single" w:sz="2" w:space="0" w:color="1F4E79" w:themeColor="accent1" w:themeShade="80"/>
              <w:bottom w:val="nil"/>
            </w:tcBorders>
            <w:shd w:val="clear" w:color="auto" w:fill="auto"/>
            <w:vAlign w:val="center"/>
          </w:tcPr>
          <w:p w14:paraId="19A61B91"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1" w:type="dxa"/>
            <w:tcBorders>
              <w:top w:val="single" w:sz="2" w:space="0" w:color="1F4E79" w:themeColor="accent1" w:themeShade="80"/>
              <w:left w:val="nil"/>
              <w:bottom w:val="nil"/>
              <w:right w:val="nil"/>
            </w:tcBorders>
            <w:vAlign w:val="center"/>
          </w:tcPr>
          <w:p w14:paraId="147C3D61"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1,210,808</w:t>
            </w:r>
          </w:p>
        </w:tc>
        <w:tc>
          <w:tcPr>
            <w:tcW w:w="1417" w:type="dxa"/>
            <w:tcBorders>
              <w:top w:val="single" w:sz="2" w:space="0" w:color="1F4E79" w:themeColor="accent1" w:themeShade="80"/>
              <w:left w:val="nil"/>
              <w:bottom w:val="nil"/>
              <w:right w:val="nil"/>
            </w:tcBorders>
            <w:vAlign w:val="center"/>
          </w:tcPr>
          <w:p w14:paraId="7D4B7273"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1,028,619</w:t>
            </w:r>
          </w:p>
        </w:tc>
      </w:tr>
      <w:tr w:rsidR="00991E72" w:rsidRPr="00DB02F0" w14:paraId="57666FDA"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16AD5F9" w14:textId="77777777" w:rsidR="00991E72" w:rsidRPr="009768B6" w:rsidRDefault="00991E72" w:rsidP="00991E72">
            <w:pPr>
              <w:pStyle w:val="08-Tabelageral"/>
              <w:ind w:left="113"/>
              <w:jc w:val="left"/>
              <w:rPr>
                <w:b w:val="0"/>
              </w:rPr>
            </w:pPr>
            <w:r w:rsidRPr="009768B6">
              <w:rPr>
                <w:b w:val="0"/>
              </w:rPr>
              <w:t>Commissions income</w:t>
            </w:r>
          </w:p>
        </w:tc>
        <w:tc>
          <w:tcPr>
            <w:tcW w:w="709" w:type="dxa"/>
            <w:tcBorders>
              <w:top w:val="nil"/>
              <w:bottom w:val="nil"/>
            </w:tcBorders>
            <w:shd w:val="clear" w:color="auto" w:fill="auto"/>
          </w:tcPr>
          <w:p w14:paraId="4A9F72A5" w14:textId="77777777" w:rsidR="00991E72" w:rsidRPr="00165BD7"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pPr>
            <w:r w:rsidRPr="00B10394">
              <w:t>[8]</w:t>
            </w:r>
          </w:p>
        </w:tc>
        <w:tc>
          <w:tcPr>
            <w:tcW w:w="1417" w:type="dxa"/>
            <w:tcBorders>
              <w:top w:val="nil"/>
              <w:left w:val="nil"/>
              <w:bottom w:val="nil"/>
              <w:right w:val="nil"/>
            </w:tcBorders>
            <w:shd w:val="clear" w:color="auto" w:fill="FFFFFF" w:themeFill="background1"/>
            <w:vAlign w:val="center"/>
          </w:tcPr>
          <w:p w14:paraId="61FDFED4"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1418" w:type="dxa"/>
            <w:tcBorders>
              <w:top w:val="nil"/>
              <w:left w:val="nil"/>
              <w:bottom w:val="nil"/>
              <w:right w:val="nil"/>
            </w:tcBorders>
            <w:shd w:val="clear" w:color="auto" w:fill="FFFFFF" w:themeFill="background1"/>
            <w:vAlign w:val="center"/>
          </w:tcPr>
          <w:p w14:paraId="6825F184"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280" w:type="dxa"/>
            <w:tcBorders>
              <w:top w:val="nil"/>
              <w:bottom w:val="nil"/>
            </w:tcBorders>
            <w:shd w:val="clear" w:color="auto" w:fill="FFFFFF" w:themeFill="background1"/>
            <w:vAlign w:val="center"/>
          </w:tcPr>
          <w:p w14:paraId="12AF4161"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left w:val="nil"/>
              <w:bottom w:val="nil"/>
              <w:right w:val="nil"/>
            </w:tcBorders>
            <w:shd w:val="clear" w:color="auto" w:fill="FFFFFF" w:themeFill="background1"/>
            <w:vAlign w:val="center"/>
          </w:tcPr>
          <w:p w14:paraId="686BD358"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1,207,177</w:t>
            </w:r>
          </w:p>
        </w:tc>
        <w:tc>
          <w:tcPr>
            <w:tcW w:w="1417" w:type="dxa"/>
            <w:tcBorders>
              <w:top w:val="nil"/>
              <w:left w:val="nil"/>
              <w:bottom w:val="nil"/>
              <w:right w:val="nil"/>
            </w:tcBorders>
            <w:shd w:val="clear" w:color="auto" w:fill="FFFFFF" w:themeFill="background1"/>
            <w:vAlign w:val="center"/>
          </w:tcPr>
          <w:p w14:paraId="0B97BE26"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1,025,027</w:t>
            </w:r>
          </w:p>
        </w:tc>
      </w:tr>
      <w:tr w:rsidR="00991E72" w:rsidRPr="001C7112" w14:paraId="22297E1E"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0FDDD2F1" w14:textId="77777777" w:rsidR="00991E72" w:rsidRPr="001C7112" w:rsidRDefault="00991E72" w:rsidP="00991E72">
            <w:pPr>
              <w:pStyle w:val="08-Tabelageral"/>
              <w:ind w:left="113"/>
              <w:jc w:val="left"/>
              <w:rPr>
                <w:b w:val="0"/>
              </w:rPr>
            </w:pPr>
            <w:r>
              <w:rPr>
                <w:b w:val="0"/>
              </w:rPr>
              <w:t>Other income</w:t>
            </w:r>
          </w:p>
        </w:tc>
        <w:tc>
          <w:tcPr>
            <w:tcW w:w="709" w:type="dxa"/>
            <w:tcBorders>
              <w:top w:val="nil"/>
              <w:bottom w:val="nil"/>
            </w:tcBorders>
            <w:shd w:val="clear" w:color="auto" w:fill="auto"/>
            <w:vAlign w:val="center"/>
          </w:tcPr>
          <w:p w14:paraId="4BF22BBC" w14:textId="77777777" w:rsidR="00991E72" w:rsidRPr="00165BD7"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417" w:type="dxa"/>
            <w:tcBorders>
              <w:top w:val="nil"/>
              <w:left w:val="nil"/>
              <w:bottom w:val="nil"/>
              <w:right w:val="nil"/>
            </w:tcBorders>
            <w:shd w:val="clear" w:color="auto" w:fill="FFFFFF" w:themeFill="background1"/>
            <w:vAlign w:val="center"/>
          </w:tcPr>
          <w:p w14:paraId="2484B061"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3,018</w:t>
            </w:r>
          </w:p>
        </w:tc>
        <w:tc>
          <w:tcPr>
            <w:tcW w:w="1418" w:type="dxa"/>
            <w:tcBorders>
              <w:top w:val="nil"/>
              <w:left w:val="nil"/>
              <w:bottom w:val="nil"/>
              <w:right w:val="nil"/>
            </w:tcBorders>
            <w:shd w:val="clear" w:color="auto" w:fill="FFFFFF" w:themeFill="background1"/>
            <w:vAlign w:val="center"/>
          </w:tcPr>
          <w:p w14:paraId="116F2DFE"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lang w:eastAsia="en-US"/>
              </w:rPr>
              <w:t>2,567</w:t>
            </w:r>
          </w:p>
        </w:tc>
        <w:tc>
          <w:tcPr>
            <w:tcW w:w="280" w:type="dxa"/>
            <w:tcBorders>
              <w:top w:val="nil"/>
              <w:bottom w:val="nil"/>
            </w:tcBorders>
            <w:shd w:val="clear" w:color="auto" w:fill="FFFFFF" w:themeFill="background1"/>
            <w:vAlign w:val="center"/>
          </w:tcPr>
          <w:p w14:paraId="714417F3"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left w:val="nil"/>
              <w:bottom w:val="nil"/>
              <w:right w:val="nil"/>
            </w:tcBorders>
            <w:shd w:val="clear" w:color="auto" w:fill="FFFFFF" w:themeFill="background1"/>
            <w:vAlign w:val="center"/>
          </w:tcPr>
          <w:p w14:paraId="5C57CBB3"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3,631</w:t>
            </w:r>
          </w:p>
        </w:tc>
        <w:tc>
          <w:tcPr>
            <w:tcW w:w="1417" w:type="dxa"/>
            <w:tcBorders>
              <w:top w:val="nil"/>
              <w:left w:val="nil"/>
              <w:bottom w:val="nil"/>
              <w:right w:val="nil"/>
            </w:tcBorders>
            <w:shd w:val="clear" w:color="auto" w:fill="FFFFFF" w:themeFill="background1"/>
            <w:vAlign w:val="center"/>
          </w:tcPr>
          <w:p w14:paraId="2F2E66C6" w14:textId="77777777" w:rsidR="00991E72" w:rsidRPr="001C7112"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lang w:eastAsia="en-US"/>
              </w:rPr>
              <w:t>3,592</w:t>
            </w:r>
          </w:p>
        </w:tc>
      </w:tr>
      <w:tr w:rsidR="00991E72" w:rsidRPr="001C7112" w14:paraId="3F1D571E"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2CD8039D" w14:textId="77777777" w:rsidR="00991E72" w:rsidRPr="001C7112" w:rsidRDefault="00991E72" w:rsidP="00991E72">
            <w:pPr>
              <w:pStyle w:val="08-Tabelageral"/>
              <w:ind w:left="113"/>
              <w:jc w:val="left"/>
              <w:rPr>
                <w:b w:val="0"/>
              </w:rPr>
            </w:pPr>
          </w:p>
        </w:tc>
        <w:tc>
          <w:tcPr>
            <w:tcW w:w="709" w:type="dxa"/>
            <w:tcBorders>
              <w:top w:val="nil"/>
              <w:bottom w:val="nil"/>
            </w:tcBorders>
            <w:shd w:val="clear" w:color="auto" w:fill="auto"/>
            <w:vAlign w:val="center"/>
          </w:tcPr>
          <w:p w14:paraId="760F7925" w14:textId="77777777" w:rsidR="00991E72" w:rsidRPr="00165BD7"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417" w:type="dxa"/>
            <w:tcBorders>
              <w:top w:val="nil"/>
              <w:left w:val="nil"/>
              <w:bottom w:val="nil"/>
              <w:right w:val="nil"/>
            </w:tcBorders>
            <w:shd w:val="clear" w:color="auto" w:fill="FFFFFF" w:themeFill="background1"/>
            <w:vAlign w:val="center"/>
          </w:tcPr>
          <w:p w14:paraId="4AA77BD9"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left w:val="nil"/>
              <w:bottom w:val="nil"/>
              <w:right w:val="nil"/>
            </w:tcBorders>
            <w:shd w:val="clear" w:color="auto" w:fill="FFFFFF" w:themeFill="background1"/>
            <w:vAlign w:val="center"/>
          </w:tcPr>
          <w:p w14:paraId="164713F8"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shd w:val="clear" w:color="auto" w:fill="FFFFFF" w:themeFill="background1"/>
            <w:vAlign w:val="center"/>
          </w:tcPr>
          <w:p w14:paraId="3FD5C64B"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left w:val="nil"/>
              <w:bottom w:val="nil"/>
              <w:right w:val="nil"/>
            </w:tcBorders>
            <w:shd w:val="clear" w:color="auto" w:fill="FFFFFF" w:themeFill="background1"/>
            <w:vAlign w:val="center"/>
          </w:tcPr>
          <w:p w14:paraId="072503BD"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left w:val="nil"/>
              <w:bottom w:val="nil"/>
              <w:right w:val="nil"/>
            </w:tcBorders>
            <w:shd w:val="clear" w:color="auto" w:fill="FFFFFF" w:themeFill="background1"/>
            <w:vAlign w:val="center"/>
          </w:tcPr>
          <w:p w14:paraId="320D30FE" w14:textId="77777777" w:rsidR="00991E72" w:rsidRPr="001C7112" w:rsidRDefault="00991E72" w:rsidP="00991E72">
            <w:pPr>
              <w:pStyle w:val="08-Tabelageral"/>
              <w:cnfStyle w:val="000000100000" w:firstRow="0" w:lastRow="0" w:firstColumn="0" w:lastColumn="0" w:oddVBand="0" w:evenVBand="0" w:oddHBand="1" w:evenHBand="0" w:firstRowFirstColumn="0" w:firstRowLastColumn="0" w:lastRowFirstColumn="0" w:lastRowLastColumn="0"/>
            </w:pPr>
          </w:p>
        </w:tc>
      </w:tr>
      <w:tr w:rsidR="00991E72" w:rsidRPr="00634ADE" w14:paraId="48A6D488"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3A3E161" w14:textId="77777777" w:rsidR="00991E72" w:rsidRPr="00634ADE" w:rsidRDefault="00991E72" w:rsidP="00991E72">
            <w:pPr>
              <w:pStyle w:val="08-Tabelageral"/>
              <w:jc w:val="left"/>
              <w:rPr>
                <w:lang w:val="en-US"/>
              </w:rPr>
            </w:pPr>
            <w:r w:rsidRPr="00634ADE">
              <w:rPr>
                <w:lang w:val="en-US"/>
              </w:rPr>
              <w:t>Input Acquired from Third Parties</w:t>
            </w:r>
          </w:p>
        </w:tc>
        <w:tc>
          <w:tcPr>
            <w:tcW w:w="709" w:type="dxa"/>
            <w:tcBorders>
              <w:top w:val="nil"/>
              <w:bottom w:val="nil"/>
            </w:tcBorders>
            <w:shd w:val="clear" w:color="auto" w:fill="auto"/>
          </w:tcPr>
          <w:p w14:paraId="210A2B05" w14:textId="77777777" w:rsidR="00991E72" w:rsidRPr="00634ADE"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p>
        </w:tc>
        <w:tc>
          <w:tcPr>
            <w:tcW w:w="1417" w:type="dxa"/>
            <w:tcBorders>
              <w:top w:val="nil"/>
              <w:left w:val="nil"/>
              <w:bottom w:val="nil"/>
              <w:right w:val="nil"/>
            </w:tcBorders>
            <w:shd w:val="clear" w:color="auto" w:fill="FFFFFF" w:themeFill="background1"/>
            <w:vAlign w:val="center"/>
          </w:tcPr>
          <w:p w14:paraId="1E211E0F"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(531)</w:t>
            </w:r>
          </w:p>
        </w:tc>
        <w:tc>
          <w:tcPr>
            <w:tcW w:w="1418" w:type="dxa"/>
            <w:tcBorders>
              <w:top w:val="nil"/>
              <w:left w:val="nil"/>
              <w:bottom w:val="nil"/>
              <w:right w:val="nil"/>
            </w:tcBorders>
            <w:shd w:val="clear" w:color="auto" w:fill="FFFFFF" w:themeFill="background1"/>
            <w:vAlign w:val="center"/>
          </w:tcPr>
          <w:p w14:paraId="778AE49C"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(517)</w:t>
            </w:r>
          </w:p>
        </w:tc>
        <w:tc>
          <w:tcPr>
            <w:tcW w:w="280" w:type="dxa"/>
            <w:tcBorders>
              <w:top w:val="nil"/>
              <w:bottom w:val="nil"/>
            </w:tcBorders>
            <w:shd w:val="clear" w:color="auto" w:fill="FFFFFF" w:themeFill="background1"/>
            <w:vAlign w:val="center"/>
          </w:tcPr>
          <w:p w14:paraId="26713999"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1" w:type="dxa"/>
            <w:tcBorders>
              <w:top w:val="nil"/>
              <w:left w:val="nil"/>
              <w:bottom w:val="nil"/>
              <w:right w:val="nil"/>
            </w:tcBorders>
            <w:shd w:val="clear" w:color="auto" w:fill="FFFFFF" w:themeFill="background1"/>
            <w:vAlign w:val="center"/>
          </w:tcPr>
          <w:p w14:paraId="60BB5F0C"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(61,047)</w:t>
            </w:r>
          </w:p>
        </w:tc>
        <w:tc>
          <w:tcPr>
            <w:tcW w:w="1417" w:type="dxa"/>
            <w:tcBorders>
              <w:top w:val="nil"/>
              <w:left w:val="nil"/>
              <w:bottom w:val="nil"/>
              <w:right w:val="nil"/>
            </w:tcBorders>
            <w:shd w:val="clear" w:color="auto" w:fill="FFFFFF" w:themeFill="background1"/>
            <w:vAlign w:val="center"/>
          </w:tcPr>
          <w:p w14:paraId="0F3A3F9B"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bCs/>
              </w:rPr>
            </w:pPr>
            <w:r w:rsidRPr="00634ADE">
              <w:rPr>
                <w:rFonts w:cs="Arial"/>
                <w:b/>
                <w:szCs w:val="14"/>
                <w:lang w:eastAsia="en-US"/>
              </w:rPr>
              <w:t>(71,376)</w:t>
            </w:r>
          </w:p>
        </w:tc>
      </w:tr>
      <w:tr w:rsidR="00991E72" w:rsidRPr="00DB02F0" w14:paraId="0E238CE1"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3343A3A" w14:textId="77777777" w:rsidR="00991E72" w:rsidRPr="009768B6" w:rsidRDefault="00991E72" w:rsidP="00991E72">
            <w:pPr>
              <w:pStyle w:val="08-Tabelageral"/>
              <w:ind w:left="113"/>
              <w:jc w:val="left"/>
              <w:rPr>
                <w:b w:val="0"/>
              </w:rPr>
            </w:pPr>
            <w:r w:rsidRPr="009768B6">
              <w:rPr>
                <w:b w:val="0"/>
              </w:rPr>
              <w:t>Administrative expenses diverse</w:t>
            </w:r>
          </w:p>
        </w:tc>
        <w:tc>
          <w:tcPr>
            <w:tcW w:w="709" w:type="dxa"/>
            <w:tcBorders>
              <w:top w:val="nil"/>
              <w:bottom w:val="nil"/>
            </w:tcBorders>
            <w:shd w:val="clear" w:color="auto" w:fill="auto"/>
          </w:tcPr>
          <w:p w14:paraId="45AA8E39" w14:textId="77777777" w:rsidR="00991E72" w:rsidRPr="00165BD7"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417" w:type="dxa"/>
            <w:tcBorders>
              <w:top w:val="nil"/>
              <w:left w:val="nil"/>
              <w:bottom w:val="nil"/>
              <w:right w:val="nil"/>
            </w:tcBorders>
            <w:shd w:val="clear" w:color="auto" w:fill="FFFFFF" w:themeFill="background1"/>
            <w:vAlign w:val="center"/>
          </w:tcPr>
          <w:p w14:paraId="3B1F01AA"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(530)</w:t>
            </w:r>
          </w:p>
        </w:tc>
        <w:tc>
          <w:tcPr>
            <w:tcW w:w="1418" w:type="dxa"/>
            <w:tcBorders>
              <w:top w:val="nil"/>
              <w:left w:val="nil"/>
              <w:bottom w:val="nil"/>
              <w:right w:val="nil"/>
            </w:tcBorders>
            <w:shd w:val="clear" w:color="auto" w:fill="FFFFFF" w:themeFill="background1"/>
            <w:vAlign w:val="center"/>
          </w:tcPr>
          <w:p w14:paraId="2F8FB23F"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(444)</w:t>
            </w:r>
          </w:p>
        </w:tc>
        <w:tc>
          <w:tcPr>
            <w:tcW w:w="280" w:type="dxa"/>
            <w:tcBorders>
              <w:top w:val="nil"/>
              <w:bottom w:val="nil"/>
            </w:tcBorders>
            <w:shd w:val="clear" w:color="auto" w:fill="FFFFFF" w:themeFill="background1"/>
            <w:vAlign w:val="center"/>
          </w:tcPr>
          <w:p w14:paraId="36B5EC69"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left w:val="nil"/>
              <w:bottom w:val="nil"/>
              <w:right w:val="nil"/>
            </w:tcBorders>
            <w:shd w:val="clear" w:color="auto" w:fill="FFFFFF" w:themeFill="background1"/>
            <w:vAlign w:val="center"/>
          </w:tcPr>
          <w:p w14:paraId="7C3B4398"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(8,197)</w:t>
            </w:r>
          </w:p>
        </w:tc>
        <w:tc>
          <w:tcPr>
            <w:tcW w:w="1417" w:type="dxa"/>
            <w:tcBorders>
              <w:top w:val="nil"/>
              <w:left w:val="nil"/>
              <w:bottom w:val="nil"/>
              <w:right w:val="nil"/>
            </w:tcBorders>
            <w:shd w:val="clear" w:color="auto" w:fill="FFFFFF" w:themeFill="background1"/>
            <w:vAlign w:val="center"/>
          </w:tcPr>
          <w:p w14:paraId="089D1B0E"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(4,970)</w:t>
            </w:r>
          </w:p>
        </w:tc>
      </w:tr>
      <w:tr w:rsidR="00991E72" w:rsidRPr="00DB02F0" w14:paraId="3BA4097C"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4E04E56" w14:textId="77777777" w:rsidR="00991E72" w:rsidRPr="009768B6" w:rsidRDefault="00991E72" w:rsidP="00991E72">
            <w:pPr>
              <w:pStyle w:val="08-Tabelageral"/>
              <w:ind w:left="113"/>
              <w:jc w:val="left"/>
              <w:rPr>
                <w:b w:val="0"/>
              </w:rPr>
            </w:pPr>
            <w:r w:rsidRPr="009768B6">
              <w:rPr>
                <w:b w:val="0"/>
              </w:rPr>
              <w:t>Cost of services provided</w:t>
            </w:r>
          </w:p>
        </w:tc>
        <w:tc>
          <w:tcPr>
            <w:tcW w:w="709" w:type="dxa"/>
            <w:tcBorders>
              <w:top w:val="nil"/>
              <w:bottom w:val="nil"/>
            </w:tcBorders>
            <w:shd w:val="clear" w:color="auto" w:fill="auto"/>
          </w:tcPr>
          <w:p w14:paraId="2C29EE5E" w14:textId="77777777" w:rsidR="00991E72" w:rsidRPr="00165BD7"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[9]</w:t>
            </w:r>
          </w:p>
        </w:tc>
        <w:tc>
          <w:tcPr>
            <w:tcW w:w="1417" w:type="dxa"/>
            <w:tcBorders>
              <w:top w:val="nil"/>
              <w:left w:val="nil"/>
              <w:bottom w:val="nil"/>
              <w:right w:val="nil"/>
            </w:tcBorders>
            <w:shd w:val="clear" w:color="auto" w:fill="FFFFFF" w:themeFill="background1"/>
            <w:vAlign w:val="center"/>
          </w:tcPr>
          <w:p w14:paraId="5FAA5DAB" w14:textId="77777777" w:rsidR="00991E72" w:rsidRPr="00DB02F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c>
          <w:tcPr>
            <w:tcW w:w="1418" w:type="dxa"/>
            <w:tcBorders>
              <w:top w:val="nil"/>
              <w:left w:val="nil"/>
              <w:bottom w:val="nil"/>
              <w:right w:val="nil"/>
            </w:tcBorders>
            <w:shd w:val="clear" w:color="auto" w:fill="FFFFFF" w:themeFill="background1"/>
            <w:vAlign w:val="center"/>
          </w:tcPr>
          <w:p w14:paraId="25D85AF0" w14:textId="77777777" w:rsidR="00991E72" w:rsidRPr="00DB02F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c>
          <w:tcPr>
            <w:tcW w:w="280" w:type="dxa"/>
            <w:tcBorders>
              <w:top w:val="nil"/>
              <w:bottom w:val="nil"/>
            </w:tcBorders>
            <w:shd w:val="clear" w:color="auto" w:fill="FFFFFF" w:themeFill="background1"/>
            <w:vAlign w:val="center"/>
          </w:tcPr>
          <w:p w14:paraId="78257FA7" w14:textId="77777777" w:rsidR="00991E72" w:rsidRPr="00DB02F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left w:val="nil"/>
              <w:bottom w:val="nil"/>
              <w:right w:val="nil"/>
            </w:tcBorders>
            <w:shd w:val="clear" w:color="auto" w:fill="FFFFFF" w:themeFill="background1"/>
            <w:vAlign w:val="center"/>
          </w:tcPr>
          <w:p w14:paraId="519F1B09" w14:textId="77777777" w:rsidR="00991E72" w:rsidRPr="00DB02F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(50,722)</w:t>
            </w:r>
          </w:p>
        </w:tc>
        <w:tc>
          <w:tcPr>
            <w:tcW w:w="1417" w:type="dxa"/>
            <w:tcBorders>
              <w:top w:val="nil"/>
              <w:left w:val="nil"/>
              <w:bottom w:val="nil"/>
              <w:right w:val="nil"/>
            </w:tcBorders>
            <w:shd w:val="clear" w:color="auto" w:fill="FFFFFF" w:themeFill="background1"/>
            <w:vAlign w:val="center"/>
          </w:tcPr>
          <w:p w14:paraId="5FDCFB5D" w14:textId="77777777" w:rsidR="00991E72" w:rsidRPr="00DB02F0"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(48,037)</w:t>
            </w:r>
          </w:p>
        </w:tc>
      </w:tr>
      <w:tr w:rsidR="00991E72" w:rsidRPr="00DB02F0" w14:paraId="04EEE5C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F0CA6B3" w14:textId="77777777" w:rsidR="00991E72" w:rsidRPr="009768B6" w:rsidRDefault="00991E72" w:rsidP="00991E72">
            <w:pPr>
              <w:pStyle w:val="08-Tabelageral"/>
              <w:ind w:left="113"/>
              <w:jc w:val="left"/>
              <w:rPr>
                <w:b w:val="0"/>
              </w:rPr>
            </w:pPr>
            <w:r w:rsidRPr="009768B6">
              <w:rPr>
                <w:b w:val="0"/>
              </w:rPr>
              <w:t xml:space="preserve">Other </w:t>
            </w:r>
            <w:r>
              <w:rPr>
                <w:b w:val="0"/>
              </w:rPr>
              <w:t>expenses</w:t>
            </w:r>
          </w:p>
        </w:tc>
        <w:tc>
          <w:tcPr>
            <w:tcW w:w="709" w:type="dxa"/>
            <w:tcBorders>
              <w:top w:val="nil"/>
              <w:bottom w:val="nil"/>
            </w:tcBorders>
            <w:shd w:val="clear" w:color="auto" w:fill="auto"/>
          </w:tcPr>
          <w:p w14:paraId="4363F3E6" w14:textId="77777777" w:rsidR="00991E72" w:rsidRPr="00165BD7"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417" w:type="dxa"/>
            <w:tcBorders>
              <w:top w:val="nil"/>
              <w:left w:val="nil"/>
              <w:bottom w:val="nil"/>
              <w:right w:val="nil"/>
            </w:tcBorders>
            <w:shd w:val="clear" w:color="auto" w:fill="FFFFFF" w:themeFill="background1"/>
            <w:vAlign w:val="center"/>
          </w:tcPr>
          <w:p w14:paraId="6C909458"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w:t>
            </w:r>
          </w:p>
        </w:tc>
        <w:tc>
          <w:tcPr>
            <w:tcW w:w="1418" w:type="dxa"/>
            <w:tcBorders>
              <w:top w:val="nil"/>
              <w:left w:val="nil"/>
              <w:bottom w:val="nil"/>
              <w:right w:val="nil"/>
            </w:tcBorders>
            <w:shd w:val="clear" w:color="auto" w:fill="FFFFFF" w:themeFill="background1"/>
            <w:vAlign w:val="center"/>
          </w:tcPr>
          <w:p w14:paraId="0197F35A"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(73)</w:t>
            </w:r>
          </w:p>
        </w:tc>
        <w:tc>
          <w:tcPr>
            <w:tcW w:w="280" w:type="dxa"/>
            <w:tcBorders>
              <w:top w:val="nil"/>
              <w:bottom w:val="nil"/>
            </w:tcBorders>
            <w:shd w:val="clear" w:color="auto" w:fill="FFFFFF" w:themeFill="background1"/>
            <w:vAlign w:val="center"/>
          </w:tcPr>
          <w:p w14:paraId="3D5F6F14"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left w:val="nil"/>
              <w:bottom w:val="nil"/>
              <w:right w:val="nil"/>
            </w:tcBorders>
            <w:shd w:val="clear" w:color="auto" w:fill="FFFFFF" w:themeFill="background1"/>
            <w:vAlign w:val="center"/>
          </w:tcPr>
          <w:p w14:paraId="113532A1"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(2,128)</w:t>
            </w:r>
          </w:p>
        </w:tc>
        <w:tc>
          <w:tcPr>
            <w:tcW w:w="1417" w:type="dxa"/>
            <w:tcBorders>
              <w:top w:val="nil"/>
              <w:left w:val="nil"/>
              <w:bottom w:val="nil"/>
              <w:right w:val="nil"/>
            </w:tcBorders>
            <w:shd w:val="clear" w:color="auto" w:fill="FFFFFF" w:themeFill="background1"/>
            <w:vAlign w:val="center"/>
          </w:tcPr>
          <w:p w14:paraId="40E3F9B2" w14:textId="77777777" w:rsidR="00991E72" w:rsidRPr="00DB02F0"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(18,369)</w:t>
            </w:r>
          </w:p>
        </w:tc>
      </w:tr>
      <w:tr w:rsidR="00991E72" w:rsidRPr="001D6BE8" w14:paraId="2228772F"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BF1BB0A" w14:textId="77777777" w:rsidR="00991E72" w:rsidRPr="00924161" w:rsidRDefault="00991E72" w:rsidP="00991E72">
            <w:pPr>
              <w:pStyle w:val="08-Tabelageral"/>
              <w:jc w:val="left"/>
            </w:pPr>
            <w:r w:rsidRPr="00924161">
              <w:t> </w:t>
            </w:r>
          </w:p>
        </w:tc>
        <w:tc>
          <w:tcPr>
            <w:tcW w:w="709" w:type="dxa"/>
            <w:tcBorders>
              <w:top w:val="nil"/>
              <w:bottom w:val="nil"/>
            </w:tcBorders>
            <w:shd w:val="clear" w:color="auto" w:fill="auto"/>
          </w:tcPr>
          <w:p w14:paraId="63A14DDD" w14:textId="77777777" w:rsidR="00991E72" w:rsidRPr="00165BD7"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417" w:type="dxa"/>
            <w:tcBorders>
              <w:top w:val="nil"/>
              <w:left w:val="nil"/>
              <w:bottom w:val="nil"/>
              <w:right w:val="nil"/>
            </w:tcBorders>
            <w:shd w:val="clear" w:color="auto" w:fill="FFFFFF" w:themeFill="background1"/>
            <w:vAlign w:val="center"/>
          </w:tcPr>
          <w:p w14:paraId="3E351251"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left w:val="nil"/>
              <w:bottom w:val="nil"/>
              <w:right w:val="nil"/>
            </w:tcBorders>
            <w:shd w:val="clear" w:color="auto" w:fill="FFFFFF" w:themeFill="background1"/>
            <w:vAlign w:val="center"/>
          </w:tcPr>
          <w:p w14:paraId="150C9102"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FFFFFF" w:themeFill="background1"/>
            <w:vAlign w:val="center"/>
          </w:tcPr>
          <w:p w14:paraId="1E23BC91"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left w:val="nil"/>
              <w:bottom w:val="nil"/>
              <w:right w:val="nil"/>
            </w:tcBorders>
            <w:shd w:val="clear" w:color="auto" w:fill="FFFFFF" w:themeFill="background1"/>
            <w:vAlign w:val="center"/>
          </w:tcPr>
          <w:p w14:paraId="5C05BB0D" w14:textId="77777777" w:rsidR="00991E72" w:rsidRPr="00350BA7"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left w:val="nil"/>
              <w:bottom w:val="nil"/>
              <w:right w:val="nil"/>
            </w:tcBorders>
            <w:shd w:val="clear" w:color="auto" w:fill="FFFFFF" w:themeFill="background1"/>
            <w:vAlign w:val="center"/>
          </w:tcPr>
          <w:p w14:paraId="62E5BA49" w14:textId="77777777" w:rsidR="00991E72" w:rsidRPr="00CF4B29" w:rsidRDefault="00991E72" w:rsidP="00991E72">
            <w:pPr>
              <w:pStyle w:val="08-Tabelageral"/>
              <w:cnfStyle w:val="000000000000" w:firstRow="0" w:lastRow="0" w:firstColumn="0" w:lastColumn="0" w:oddVBand="0" w:evenVBand="0" w:oddHBand="0" w:evenHBand="0" w:firstRowFirstColumn="0" w:firstRowLastColumn="0" w:lastRowFirstColumn="0" w:lastRowLastColumn="0"/>
            </w:pPr>
          </w:p>
        </w:tc>
      </w:tr>
      <w:tr w:rsidR="00991E72" w:rsidRPr="00634ADE" w14:paraId="493FECE9"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57118CD" w14:textId="77777777" w:rsidR="00991E72" w:rsidRPr="00634ADE" w:rsidRDefault="00991E72" w:rsidP="00991E72">
            <w:pPr>
              <w:pStyle w:val="08-Tabelageral"/>
              <w:jc w:val="left"/>
            </w:pPr>
            <w:r w:rsidRPr="00634ADE">
              <w:t>Gross Added Value</w:t>
            </w:r>
          </w:p>
        </w:tc>
        <w:tc>
          <w:tcPr>
            <w:tcW w:w="709" w:type="dxa"/>
            <w:tcBorders>
              <w:top w:val="nil"/>
              <w:bottom w:val="nil"/>
            </w:tcBorders>
            <w:shd w:val="clear" w:color="auto" w:fill="auto"/>
          </w:tcPr>
          <w:p w14:paraId="5ED111F7" w14:textId="77777777" w:rsidR="00991E72" w:rsidRPr="00634ADE"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nil"/>
              <w:left w:val="nil"/>
              <w:bottom w:val="nil"/>
              <w:right w:val="nil"/>
            </w:tcBorders>
            <w:shd w:val="clear" w:color="auto" w:fill="FFFFFF" w:themeFill="background1"/>
            <w:vAlign w:val="center"/>
          </w:tcPr>
          <w:p w14:paraId="15AB11FE"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634ADE">
              <w:rPr>
                <w:rFonts w:cs="Arial"/>
                <w:b/>
                <w:szCs w:val="14"/>
                <w:lang w:eastAsia="en-US"/>
              </w:rPr>
              <w:t>2,487</w:t>
            </w:r>
          </w:p>
        </w:tc>
        <w:tc>
          <w:tcPr>
            <w:tcW w:w="1418" w:type="dxa"/>
            <w:tcBorders>
              <w:top w:val="nil"/>
              <w:left w:val="nil"/>
              <w:bottom w:val="nil"/>
              <w:right w:val="nil"/>
            </w:tcBorders>
            <w:shd w:val="clear" w:color="auto" w:fill="FFFFFF" w:themeFill="background1"/>
            <w:vAlign w:val="center"/>
          </w:tcPr>
          <w:p w14:paraId="5EDDE7E8"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634ADE">
              <w:rPr>
                <w:rFonts w:cs="Arial"/>
                <w:b/>
                <w:szCs w:val="14"/>
                <w:lang w:eastAsia="en-US"/>
              </w:rPr>
              <w:t>2,050</w:t>
            </w:r>
          </w:p>
        </w:tc>
        <w:tc>
          <w:tcPr>
            <w:tcW w:w="280" w:type="dxa"/>
            <w:tcBorders>
              <w:top w:val="nil"/>
              <w:bottom w:val="nil"/>
            </w:tcBorders>
            <w:shd w:val="clear" w:color="auto" w:fill="FFFFFF" w:themeFill="background1"/>
            <w:vAlign w:val="center"/>
          </w:tcPr>
          <w:p w14:paraId="021696B0"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FFFFFF" w:themeFill="background1"/>
            <w:vAlign w:val="center"/>
          </w:tcPr>
          <w:p w14:paraId="379F8487"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634ADE">
              <w:rPr>
                <w:rFonts w:cs="Arial"/>
                <w:b/>
                <w:szCs w:val="14"/>
                <w:lang w:eastAsia="en-US"/>
              </w:rPr>
              <w:t>1,149,761</w:t>
            </w:r>
          </w:p>
        </w:tc>
        <w:tc>
          <w:tcPr>
            <w:tcW w:w="1417" w:type="dxa"/>
            <w:tcBorders>
              <w:top w:val="nil"/>
              <w:left w:val="nil"/>
              <w:bottom w:val="nil"/>
              <w:right w:val="nil"/>
            </w:tcBorders>
            <w:shd w:val="clear" w:color="auto" w:fill="FFFFFF" w:themeFill="background1"/>
            <w:vAlign w:val="center"/>
          </w:tcPr>
          <w:p w14:paraId="7DABF76C"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634ADE">
              <w:rPr>
                <w:rFonts w:cs="Arial"/>
                <w:b/>
                <w:szCs w:val="14"/>
                <w:lang w:eastAsia="en-US"/>
              </w:rPr>
              <w:t>957,243</w:t>
            </w:r>
          </w:p>
        </w:tc>
      </w:tr>
      <w:tr w:rsidR="00991E72" w:rsidRPr="00634ADE" w14:paraId="21F55431" w14:textId="77777777" w:rsidTr="00991E72">
        <w:trPr>
          <w:trHeight w:val="24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4707818" w14:textId="77777777" w:rsidR="00991E72" w:rsidRPr="00634ADE" w:rsidRDefault="00991E72" w:rsidP="00991E72">
            <w:pPr>
              <w:pStyle w:val="08-Tabelageral"/>
              <w:jc w:val="left"/>
              <w:rPr>
                <w:bCs w:val="0"/>
              </w:rPr>
            </w:pPr>
            <w:r w:rsidRPr="00634ADE">
              <w:rPr>
                <w:bCs w:val="0"/>
              </w:rPr>
              <w:t> </w:t>
            </w:r>
          </w:p>
        </w:tc>
        <w:tc>
          <w:tcPr>
            <w:tcW w:w="709" w:type="dxa"/>
            <w:tcBorders>
              <w:top w:val="nil"/>
              <w:bottom w:val="nil"/>
            </w:tcBorders>
            <w:shd w:val="clear" w:color="auto" w:fill="auto"/>
          </w:tcPr>
          <w:p w14:paraId="59BBF534" w14:textId="77777777" w:rsidR="00991E72" w:rsidRPr="00634ADE"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b/>
                <w:bCs/>
              </w:rPr>
            </w:pPr>
          </w:p>
        </w:tc>
        <w:tc>
          <w:tcPr>
            <w:tcW w:w="1417" w:type="dxa"/>
            <w:tcBorders>
              <w:top w:val="nil"/>
              <w:left w:val="nil"/>
              <w:bottom w:val="nil"/>
              <w:right w:val="nil"/>
            </w:tcBorders>
            <w:shd w:val="clear" w:color="auto" w:fill="FFFFFF" w:themeFill="background1"/>
            <w:vAlign w:val="center"/>
          </w:tcPr>
          <w:p w14:paraId="1ABAA67B"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left w:val="nil"/>
              <w:bottom w:val="nil"/>
              <w:right w:val="nil"/>
            </w:tcBorders>
            <w:shd w:val="clear" w:color="auto" w:fill="FFFFFF" w:themeFill="background1"/>
            <w:vAlign w:val="center"/>
          </w:tcPr>
          <w:p w14:paraId="05918751"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FFFFFF" w:themeFill="background1"/>
            <w:vAlign w:val="center"/>
          </w:tcPr>
          <w:p w14:paraId="3B00DE9B"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FFFFFF" w:themeFill="background1"/>
            <w:vAlign w:val="center"/>
          </w:tcPr>
          <w:p w14:paraId="2B68B248"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FFFFFF" w:themeFill="background1"/>
            <w:vAlign w:val="center"/>
          </w:tcPr>
          <w:p w14:paraId="6A8C430E"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991E72" w:rsidRPr="00634ADE" w14:paraId="333CAD13"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BABA90D" w14:textId="77777777" w:rsidR="00991E72" w:rsidRPr="00634ADE" w:rsidRDefault="00991E72" w:rsidP="00991E72">
            <w:pPr>
              <w:pStyle w:val="08-Tabelageral"/>
              <w:jc w:val="left"/>
            </w:pPr>
            <w:r w:rsidRPr="00634ADE">
              <w:t>Depreciation and amortization</w:t>
            </w:r>
          </w:p>
        </w:tc>
        <w:tc>
          <w:tcPr>
            <w:tcW w:w="709" w:type="dxa"/>
            <w:tcBorders>
              <w:top w:val="nil"/>
              <w:bottom w:val="nil"/>
            </w:tcBorders>
            <w:shd w:val="clear" w:color="auto" w:fill="auto"/>
          </w:tcPr>
          <w:p w14:paraId="63813BFA" w14:textId="77777777" w:rsidR="00991E72" w:rsidRPr="00634ADE"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b/>
              </w:rPr>
            </w:pPr>
            <w:r w:rsidRPr="00634ADE">
              <w:rPr>
                <w:b/>
              </w:rPr>
              <w:t>[13]</w:t>
            </w:r>
          </w:p>
        </w:tc>
        <w:tc>
          <w:tcPr>
            <w:tcW w:w="1417" w:type="dxa"/>
            <w:tcBorders>
              <w:top w:val="nil"/>
              <w:left w:val="nil"/>
              <w:bottom w:val="nil"/>
              <w:right w:val="nil"/>
            </w:tcBorders>
            <w:shd w:val="clear" w:color="auto" w:fill="FFFFFF" w:themeFill="background1"/>
            <w:vAlign w:val="center"/>
          </w:tcPr>
          <w:p w14:paraId="6FE6C101"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634ADE">
              <w:rPr>
                <w:rFonts w:cs="Arial"/>
                <w:b/>
                <w:szCs w:val="14"/>
                <w:lang w:eastAsia="en-US"/>
              </w:rPr>
              <w:t>(40)</w:t>
            </w:r>
          </w:p>
        </w:tc>
        <w:tc>
          <w:tcPr>
            <w:tcW w:w="1418" w:type="dxa"/>
            <w:tcBorders>
              <w:top w:val="nil"/>
              <w:left w:val="nil"/>
              <w:bottom w:val="nil"/>
              <w:right w:val="nil"/>
            </w:tcBorders>
            <w:shd w:val="clear" w:color="auto" w:fill="FFFFFF" w:themeFill="background1"/>
            <w:vAlign w:val="center"/>
          </w:tcPr>
          <w:p w14:paraId="028745BE"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634ADE">
              <w:rPr>
                <w:rFonts w:cs="Arial"/>
                <w:b/>
                <w:szCs w:val="14"/>
                <w:lang w:eastAsia="en-US"/>
              </w:rPr>
              <w:t>(35)</w:t>
            </w:r>
          </w:p>
        </w:tc>
        <w:tc>
          <w:tcPr>
            <w:tcW w:w="280" w:type="dxa"/>
            <w:tcBorders>
              <w:top w:val="nil"/>
              <w:bottom w:val="nil"/>
            </w:tcBorders>
            <w:shd w:val="clear" w:color="auto" w:fill="FFFFFF" w:themeFill="background1"/>
            <w:vAlign w:val="center"/>
          </w:tcPr>
          <w:p w14:paraId="1A8B3F9A"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FFFFFF" w:themeFill="background1"/>
            <w:vAlign w:val="center"/>
          </w:tcPr>
          <w:p w14:paraId="6B13A58D"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634ADE">
              <w:rPr>
                <w:rFonts w:cs="Arial"/>
                <w:b/>
                <w:szCs w:val="14"/>
                <w:lang w:eastAsia="en-US"/>
              </w:rPr>
              <w:t>(320)</w:t>
            </w:r>
          </w:p>
        </w:tc>
        <w:tc>
          <w:tcPr>
            <w:tcW w:w="1417" w:type="dxa"/>
            <w:tcBorders>
              <w:top w:val="nil"/>
              <w:left w:val="nil"/>
              <w:bottom w:val="nil"/>
              <w:right w:val="nil"/>
            </w:tcBorders>
            <w:shd w:val="clear" w:color="auto" w:fill="FFFFFF" w:themeFill="background1"/>
            <w:vAlign w:val="center"/>
          </w:tcPr>
          <w:p w14:paraId="6BC30250"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rPr>
            </w:pPr>
            <w:r w:rsidRPr="00634ADE">
              <w:rPr>
                <w:rFonts w:cs="Arial"/>
                <w:b/>
                <w:szCs w:val="14"/>
                <w:lang w:eastAsia="en-US"/>
              </w:rPr>
              <w:t>(300)</w:t>
            </w:r>
          </w:p>
        </w:tc>
      </w:tr>
      <w:tr w:rsidR="00991E72" w:rsidRPr="00634ADE" w14:paraId="2E34FE9C"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9C88F0A" w14:textId="77777777" w:rsidR="00991E72" w:rsidRPr="00634ADE" w:rsidRDefault="00991E72" w:rsidP="00991E72">
            <w:pPr>
              <w:pStyle w:val="08-Tabelageral"/>
              <w:jc w:val="left"/>
            </w:pPr>
          </w:p>
        </w:tc>
        <w:tc>
          <w:tcPr>
            <w:tcW w:w="709" w:type="dxa"/>
            <w:tcBorders>
              <w:top w:val="nil"/>
              <w:bottom w:val="nil"/>
            </w:tcBorders>
            <w:shd w:val="clear" w:color="auto" w:fill="auto"/>
          </w:tcPr>
          <w:p w14:paraId="5E244401" w14:textId="77777777" w:rsidR="00991E72" w:rsidRPr="00634ADE"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FFFFFF" w:themeFill="background1"/>
            <w:vAlign w:val="center"/>
          </w:tcPr>
          <w:p w14:paraId="3051BE3E"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left w:val="nil"/>
              <w:bottom w:val="nil"/>
              <w:right w:val="nil"/>
            </w:tcBorders>
            <w:shd w:val="clear" w:color="auto" w:fill="FFFFFF" w:themeFill="background1"/>
            <w:vAlign w:val="center"/>
          </w:tcPr>
          <w:p w14:paraId="4AFC2F3C"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FFFFFF" w:themeFill="background1"/>
            <w:vAlign w:val="center"/>
          </w:tcPr>
          <w:p w14:paraId="47ACDB0D"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FFFFFF" w:themeFill="background1"/>
            <w:vAlign w:val="center"/>
          </w:tcPr>
          <w:p w14:paraId="4D5C5BC9"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FFFFFF" w:themeFill="background1"/>
            <w:vAlign w:val="center"/>
          </w:tcPr>
          <w:p w14:paraId="6B3A1498"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r>
      <w:tr w:rsidR="00991E72" w:rsidRPr="00634ADE" w14:paraId="058E53AA"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2187605" w14:textId="77777777" w:rsidR="00991E72" w:rsidRPr="00634ADE" w:rsidRDefault="00991E72" w:rsidP="00991E72">
            <w:pPr>
              <w:pStyle w:val="08-Tabelageral"/>
              <w:jc w:val="left"/>
              <w:rPr>
                <w:lang w:val="en-US"/>
              </w:rPr>
            </w:pPr>
            <w:r w:rsidRPr="00634ADE">
              <w:rPr>
                <w:lang w:val="en-US"/>
              </w:rPr>
              <w:t>Net Added Value Generated by the Entity</w:t>
            </w:r>
          </w:p>
        </w:tc>
        <w:tc>
          <w:tcPr>
            <w:tcW w:w="709" w:type="dxa"/>
            <w:tcBorders>
              <w:top w:val="nil"/>
              <w:bottom w:val="nil"/>
            </w:tcBorders>
            <w:shd w:val="clear" w:color="auto" w:fill="auto"/>
          </w:tcPr>
          <w:p w14:paraId="3F74855E" w14:textId="77777777" w:rsidR="00991E72" w:rsidRPr="00634ADE"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417" w:type="dxa"/>
            <w:tcBorders>
              <w:top w:val="nil"/>
              <w:left w:val="nil"/>
              <w:bottom w:val="nil"/>
              <w:right w:val="nil"/>
            </w:tcBorders>
            <w:shd w:val="clear" w:color="auto" w:fill="FFFFFF" w:themeFill="background1"/>
            <w:vAlign w:val="center"/>
          </w:tcPr>
          <w:p w14:paraId="742D4209"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634ADE">
              <w:rPr>
                <w:rFonts w:cs="Arial"/>
                <w:b/>
                <w:szCs w:val="14"/>
                <w:lang w:eastAsia="en-US"/>
              </w:rPr>
              <w:t>2,447</w:t>
            </w:r>
          </w:p>
        </w:tc>
        <w:tc>
          <w:tcPr>
            <w:tcW w:w="1418" w:type="dxa"/>
            <w:tcBorders>
              <w:top w:val="nil"/>
              <w:left w:val="nil"/>
              <w:bottom w:val="nil"/>
              <w:right w:val="nil"/>
            </w:tcBorders>
            <w:shd w:val="clear" w:color="auto" w:fill="FFFFFF" w:themeFill="background1"/>
            <w:vAlign w:val="center"/>
          </w:tcPr>
          <w:p w14:paraId="074B39C6"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634ADE">
              <w:rPr>
                <w:rFonts w:cs="Arial"/>
                <w:b/>
                <w:szCs w:val="14"/>
                <w:lang w:eastAsia="en-US"/>
              </w:rPr>
              <w:t>2,015</w:t>
            </w:r>
          </w:p>
        </w:tc>
        <w:tc>
          <w:tcPr>
            <w:tcW w:w="280" w:type="dxa"/>
            <w:tcBorders>
              <w:top w:val="nil"/>
              <w:bottom w:val="nil"/>
            </w:tcBorders>
            <w:shd w:val="clear" w:color="auto" w:fill="FFFFFF" w:themeFill="background1"/>
            <w:vAlign w:val="center"/>
          </w:tcPr>
          <w:p w14:paraId="6BF426FC"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left w:val="nil"/>
              <w:bottom w:val="nil"/>
              <w:right w:val="nil"/>
            </w:tcBorders>
            <w:shd w:val="clear" w:color="auto" w:fill="FFFFFF" w:themeFill="background1"/>
            <w:vAlign w:val="center"/>
          </w:tcPr>
          <w:p w14:paraId="10888B62"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634ADE">
              <w:rPr>
                <w:rFonts w:cs="Arial"/>
                <w:b/>
                <w:szCs w:val="14"/>
                <w:lang w:eastAsia="en-US"/>
              </w:rPr>
              <w:t>1,149,441</w:t>
            </w:r>
          </w:p>
        </w:tc>
        <w:tc>
          <w:tcPr>
            <w:tcW w:w="1417" w:type="dxa"/>
            <w:tcBorders>
              <w:top w:val="nil"/>
              <w:left w:val="nil"/>
              <w:bottom w:val="nil"/>
              <w:right w:val="nil"/>
            </w:tcBorders>
            <w:shd w:val="clear" w:color="auto" w:fill="FFFFFF" w:themeFill="background1"/>
            <w:vAlign w:val="center"/>
          </w:tcPr>
          <w:p w14:paraId="6157EF90" w14:textId="77777777" w:rsidR="00991E72" w:rsidRPr="00634ADE"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634ADE">
              <w:rPr>
                <w:rFonts w:cs="Arial"/>
                <w:b/>
                <w:szCs w:val="14"/>
                <w:lang w:eastAsia="en-US"/>
              </w:rPr>
              <w:t>956,943</w:t>
            </w:r>
          </w:p>
        </w:tc>
      </w:tr>
      <w:tr w:rsidR="00991E72" w:rsidRPr="00634ADE" w14:paraId="5B4C356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02C46E6" w14:textId="77777777" w:rsidR="00991E72" w:rsidRPr="00634ADE" w:rsidRDefault="00991E72" w:rsidP="00991E72">
            <w:pPr>
              <w:pStyle w:val="08-Tabelageral"/>
              <w:jc w:val="left"/>
              <w:rPr>
                <w:bCs w:val="0"/>
              </w:rPr>
            </w:pPr>
            <w:r w:rsidRPr="00634ADE">
              <w:rPr>
                <w:bCs w:val="0"/>
              </w:rPr>
              <w:t> </w:t>
            </w:r>
          </w:p>
        </w:tc>
        <w:tc>
          <w:tcPr>
            <w:tcW w:w="709" w:type="dxa"/>
            <w:tcBorders>
              <w:top w:val="nil"/>
              <w:bottom w:val="nil"/>
            </w:tcBorders>
            <w:shd w:val="clear" w:color="auto" w:fill="auto"/>
          </w:tcPr>
          <w:p w14:paraId="7DA8AA7C" w14:textId="77777777" w:rsidR="00991E72" w:rsidRPr="00634ADE"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FFFFFF" w:themeFill="background1"/>
            <w:vAlign w:val="center"/>
          </w:tcPr>
          <w:p w14:paraId="4AA15B72"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left w:val="nil"/>
              <w:bottom w:val="nil"/>
              <w:right w:val="nil"/>
            </w:tcBorders>
            <w:shd w:val="clear" w:color="auto" w:fill="FFFFFF" w:themeFill="background1"/>
            <w:vAlign w:val="center"/>
          </w:tcPr>
          <w:p w14:paraId="2B3DFCC2"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FFFFFF" w:themeFill="background1"/>
            <w:vAlign w:val="center"/>
          </w:tcPr>
          <w:p w14:paraId="041657E0"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FFFFFF" w:themeFill="background1"/>
            <w:vAlign w:val="center"/>
          </w:tcPr>
          <w:p w14:paraId="6835E518"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FFFFFF" w:themeFill="background1"/>
            <w:vAlign w:val="center"/>
          </w:tcPr>
          <w:p w14:paraId="76A2B6D0" w14:textId="77777777" w:rsidR="00991E72" w:rsidRPr="00634ADE"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991E72" w:rsidRPr="00D7227A" w14:paraId="00C20C9C"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5A8D921" w14:textId="77777777" w:rsidR="00991E72" w:rsidRPr="00D7227A" w:rsidRDefault="00991E72" w:rsidP="00991E72">
            <w:pPr>
              <w:pStyle w:val="08-Tabelageral"/>
              <w:jc w:val="left"/>
              <w:rPr>
                <w:lang w:val="en-US"/>
              </w:rPr>
            </w:pPr>
            <w:r w:rsidRPr="00D7227A">
              <w:rPr>
                <w:lang w:val="en-US"/>
              </w:rPr>
              <w:t>Added Value Received Through Transfer</w:t>
            </w:r>
          </w:p>
        </w:tc>
        <w:tc>
          <w:tcPr>
            <w:tcW w:w="709" w:type="dxa"/>
            <w:tcBorders>
              <w:top w:val="nil"/>
              <w:bottom w:val="nil"/>
            </w:tcBorders>
            <w:shd w:val="clear" w:color="auto" w:fill="auto"/>
          </w:tcPr>
          <w:p w14:paraId="099E8961" w14:textId="77777777" w:rsidR="00991E72" w:rsidRPr="00D7227A"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417" w:type="dxa"/>
            <w:tcBorders>
              <w:top w:val="nil"/>
              <w:left w:val="nil"/>
              <w:bottom w:val="nil"/>
              <w:right w:val="nil"/>
            </w:tcBorders>
            <w:shd w:val="clear" w:color="auto" w:fill="auto"/>
            <w:vAlign w:val="center"/>
          </w:tcPr>
          <w:p w14:paraId="2208FF2B"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1,917,93</w:t>
            </w:r>
            <w:r>
              <w:rPr>
                <w:rFonts w:cs="Arial"/>
                <w:b/>
                <w:szCs w:val="14"/>
                <w:lang w:eastAsia="en-US"/>
              </w:rPr>
              <w:t>5</w:t>
            </w:r>
          </w:p>
        </w:tc>
        <w:tc>
          <w:tcPr>
            <w:tcW w:w="1418" w:type="dxa"/>
            <w:tcBorders>
              <w:top w:val="nil"/>
              <w:left w:val="nil"/>
              <w:bottom w:val="nil"/>
              <w:right w:val="nil"/>
            </w:tcBorders>
            <w:shd w:val="clear" w:color="auto" w:fill="auto"/>
            <w:vAlign w:val="center"/>
          </w:tcPr>
          <w:p w14:paraId="4E31DF8D"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1,239,397</w:t>
            </w:r>
          </w:p>
        </w:tc>
        <w:tc>
          <w:tcPr>
            <w:tcW w:w="280" w:type="dxa"/>
            <w:tcBorders>
              <w:top w:val="nil"/>
              <w:left w:val="nil"/>
              <w:bottom w:val="nil"/>
              <w:right w:val="nil"/>
            </w:tcBorders>
            <w:shd w:val="clear" w:color="auto" w:fill="auto"/>
            <w:vAlign w:val="center"/>
          </w:tcPr>
          <w:p w14:paraId="6A59F046"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left w:val="nil"/>
              <w:bottom w:val="nil"/>
              <w:right w:val="nil"/>
            </w:tcBorders>
            <w:shd w:val="clear" w:color="auto" w:fill="auto"/>
            <w:vAlign w:val="center"/>
          </w:tcPr>
          <w:p w14:paraId="17639548"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1,300,826</w:t>
            </w:r>
          </w:p>
        </w:tc>
        <w:tc>
          <w:tcPr>
            <w:tcW w:w="1417" w:type="dxa"/>
            <w:tcBorders>
              <w:top w:val="nil"/>
              <w:left w:val="nil"/>
              <w:bottom w:val="nil"/>
              <w:right w:val="nil"/>
            </w:tcBorders>
            <w:shd w:val="clear" w:color="auto" w:fill="auto"/>
            <w:vAlign w:val="center"/>
          </w:tcPr>
          <w:p w14:paraId="6262BB8D"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721,320</w:t>
            </w:r>
          </w:p>
        </w:tc>
      </w:tr>
      <w:tr w:rsidR="00991E72" w:rsidRPr="005F0714" w14:paraId="4D93F96A"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F6A5DDE" w14:textId="77777777" w:rsidR="00991E72" w:rsidRPr="00BD6C7E" w:rsidRDefault="00991E72" w:rsidP="00991E72">
            <w:pPr>
              <w:pStyle w:val="08-Tabelageral"/>
              <w:ind w:left="113"/>
              <w:jc w:val="left"/>
              <w:rPr>
                <w:b w:val="0"/>
                <w:lang w:val="en-US"/>
              </w:rPr>
            </w:pPr>
            <w:r w:rsidRPr="00BD6C7E">
              <w:rPr>
                <w:b w:val="0"/>
                <w:lang w:val="en-US"/>
              </w:rPr>
              <w:t>Equity in the earnings of associates</w:t>
            </w:r>
          </w:p>
        </w:tc>
        <w:tc>
          <w:tcPr>
            <w:tcW w:w="709" w:type="dxa"/>
            <w:tcBorders>
              <w:top w:val="nil"/>
              <w:bottom w:val="nil"/>
            </w:tcBorders>
            <w:shd w:val="clear" w:color="auto" w:fill="auto"/>
            <w:vAlign w:val="center"/>
          </w:tcPr>
          <w:p w14:paraId="1E9FD309" w14:textId="77777777" w:rsidR="00991E72" w:rsidRPr="00165BD7"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[7</w:t>
            </w:r>
            <w:r>
              <w:t>.b</w:t>
            </w:r>
            <w:r w:rsidRPr="00B10394">
              <w:t>]</w:t>
            </w:r>
          </w:p>
        </w:tc>
        <w:tc>
          <w:tcPr>
            <w:tcW w:w="1417" w:type="dxa"/>
            <w:tcBorders>
              <w:top w:val="nil"/>
              <w:left w:val="nil"/>
              <w:bottom w:val="nil"/>
              <w:right w:val="nil"/>
            </w:tcBorders>
            <w:shd w:val="clear" w:color="auto" w:fill="auto"/>
            <w:vAlign w:val="center"/>
          </w:tcPr>
          <w:p w14:paraId="746FC6E3" w14:textId="77777777" w:rsidR="00991E72" w:rsidRPr="005F071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1,836,112</w:t>
            </w:r>
          </w:p>
        </w:tc>
        <w:tc>
          <w:tcPr>
            <w:tcW w:w="1418" w:type="dxa"/>
            <w:tcBorders>
              <w:top w:val="nil"/>
              <w:left w:val="nil"/>
              <w:bottom w:val="nil"/>
              <w:right w:val="nil"/>
            </w:tcBorders>
            <w:shd w:val="clear" w:color="auto" w:fill="auto"/>
            <w:vAlign w:val="center"/>
          </w:tcPr>
          <w:p w14:paraId="7F2DE703" w14:textId="77777777" w:rsidR="00991E72" w:rsidRPr="005F071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1,209,170</w:t>
            </w:r>
          </w:p>
        </w:tc>
        <w:tc>
          <w:tcPr>
            <w:tcW w:w="280" w:type="dxa"/>
            <w:tcBorders>
              <w:top w:val="nil"/>
              <w:left w:val="nil"/>
              <w:bottom w:val="nil"/>
              <w:right w:val="nil"/>
            </w:tcBorders>
            <w:shd w:val="clear" w:color="auto" w:fill="auto"/>
            <w:vAlign w:val="center"/>
          </w:tcPr>
          <w:p w14:paraId="1F045FF1" w14:textId="77777777" w:rsidR="00991E72" w:rsidRPr="005F071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left w:val="nil"/>
              <w:bottom w:val="nil"/>
              <w:right w:val="nil"/>
            </w:tcBorders>
            <w:shd w:val="clear" w:color="auto" w:fill="auto"/>
            <w:vAlign w:val="center"/>
          </w:tcPr>
          <w:p w14:paraId="05E17227" w14:textId="77777777" w:rsidR="00991E72" w:rsidRPr="005F071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1,125,031</w:t>
            </w:r>
          </w:p>
        </w:tc>
        <w:tc>
          <w:tcPr>
            <w:tcW w:w="1417" w:type="dxa"/>
            <w:tcBorders>
              <w:top w:val="nil"/>
              <w:left w:val="nil"/>
              <w:bottom w:val="nil"/>
              <w:right w:val="nil"/>
            </w:tcBorders>
            <w:shd w:val="clear" w:color="auto" w:fill="auto"/>
            <w:vAlign w:val="center"/>
          </w:tcPr>
          <w:p w14:paraId="34E4EE3A" w14:textId="77777777" w:rsidR="00991E72" w:rsidRPr="005F071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635,370</w:t>
            </w:r>
          </w:p>
        </w:tc>
      </w:tr>
      <w:tr w:rsidR="00991E72" w:rsidRPr="005F0714" w14:paraId="1C9B2B2E"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0D44940" w14:textId="77777777" w:rsidR="00991E72" w:rsidRPr="009768B6" w:rsidRDefault="00991E72" w:rsidP="00991E72">
            <w:pPr>
              <w:pStyle w:val="08-Tabelageral"/>
              <w:ind w:left="113"/>
              <w:jc w:val="left"/>
              <w:rPr>
                <w:b w:val="0"/>
              </w:rPr>
            </w:pPr>
            <w:r w:rsidRPr="009768B6">
              <w:rPr>
                <w:b w:val="0"/>
              </w:rPr>
              <w:t>Financial income</w:t>
            </w:r>
          </w:p>
        </w:tc>
        <w:tc>
          <w:tcPr>
            <w:tcW w:w="709" w:type="dxa"/>
            <w:tcBorders>
              <w:top w:val="nil"/>
              <w:bottom w:val="nil"/>
            </w:tcBorders>
            <w:shd w:val="clear" w:color="auto" w:fill="auto"/>
          </w:tcPr>
          <w:p w14:paraId="2B0AEBC0" w14:textId="77777777" w:rsidR="00991E72" w:rsidRPr="00165BD7"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pPr>
            <w:r>
              <w:t>[14]</w:t>
            </w:r>
          </w:p>
        </w:tc>
        <w:tc>
          <w:tcPr>
            <w:tcW w:w="1417" w:type="dxa"/>
            <w:tcBorders>
              <w:top w:val="nil"/>
              <w:left w:val="nil"/>
              <w:bottom w:val="nil"/>
              <w:right w:val="nil"/>
            </w:tcBorders>
            <w:shd w:val="clear" w:color="auto" w:fill="auto"/>
            <w:vAlign w:val="center"/>
          </w:tcPr>
          <w:p w14:paraId="5D02F3DF" w14:textId="77777777" w:rsidR="00991E72" w:rsidRPr="005F071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81,823</w:t>
            </w:r>
          </w:p>
        </w:tc>
        <w:tc>
          <w:tcPr>
            <w:tcW w:w="1418" w:type="dxa"/>
            <w:tcBorders>
              <w:top w:val="nil"/>
              <w:left w:val="nil"/>
              <w:bottom w:val="nil"/>
              <w:right w:val="nil"/>
            </w:tcBorders>
            <w:shd w:val="clear" w:color="auto" w:fill="auto"/>
            <w:vAlign w:val="center"/>
          </w:tcPr>
          <w:p w14:paraId="5552AB05" w14:textId="77777777" w:rsidR="00991E72" w:rsidRPr="005F071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30,227</w:t>
            </w:r>
          </w:p>
        </w:tc>
        <w:tc>
          <w:tcPr>
            <w:tcW w:w="280" w:type="dxa"/>
            <w:tcBorders>
              <w:top w:val="nil"/>
              <w:left w:val="nil"/>
              <w:bottom w:val="nil"/>
              <w:right w:val="nil"/>
            </w:tcBorders>
            <w:shd w:val="clear" w:color="auto" w:fill="auto"/>
            <w:vAlign w:val="center"/>
          </w:tcPr>
          <w:p w14:paraId="5F77C611" w14:textId="77777777" w:rsidR="00991E72" w:rsidRPr="005F071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left w:val="nil"/>
              <w:bottom w:val="nil"/>
              <w:right w:val="nil"/>
            </w:tcBorders>
            <w:shd w:val="clear" w:color="auto" w:fill="auto"/>
            <w:vAlign w:val="center"/>
          </w:tcPr>
          <w:p w14:paraId="10F65F8F" w14:textId="77777777" w:rsidR="00991E72" w:rsidRPr="005F071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175,795</w:t>
            </w:r>
          </w:p>
        </w:tc>
        <w:tc>
          <w:tcPr>
            <w:tcW w:w="1417" w:type="dxa"/>
            <w:tcBorders>
              <w:top w:val="nil"/>
              <w:left w:val="nil"/>
              <w:bottom w:val="nil"/>
              <w:right w:val="nil"/>
            </w:tcBorders>
            <w:shd w:val="clear" w:color="auto" w:fill="auto"/>
            <w:vAlign w:val="center"/>
          </w:tcPr>
          <w:p w14:paraId="56BC9B35" w14:textId="77777777" w:rsidR="00991E72" w:rsidRPr="005F071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85,950</w:t>
            </w:r>
          </w:p>
        </w:tc>
      </w:tr>
      <w:tr w:rsidR="00991E72" w:rsidRPr="001D6BE8" w14:paraId="76AF176C"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7D43EE8" w14:textId="77777777" w:rsidR="00991E72" w:rsidRPr="00924161" w:rsidRDefault="00991E72" w:rsidP="00991E72">
            <w:pPr>
              <w:pStyle w:val="08-Tabelageral"/>
              <w:jc w:val="left"/>
              <w:rPr>
                <w:b w:val="0"/>
                <w:bCs w:val="0"/>
              </w:rPr>
            </w:pPr>
            <w:r w:rsidRPr="00924161">
              <w:rPr>
                <w:b w:val="0"/>
                <w:bCs w:val="0"/>
              </w:rPr>
              <w:t> </w:t>
            </w:r>
          </w:p>
        </w:tc>
        <w:tc>
          <w:tcPr>
            <w:tcW w:w="709" w:type="dxa"/>
            <w:tcBorders>
              <w:top w:val="nil"/>
              <w:bottom w:val="nil"/>
            </w:tcBorders>
            <w:shd w:val="clear" w:color="auto" w:fill="auto"/>
          </w:tcPr>
          <w:p w14:paraId="747E10C9" w14:textId="77777777" w:rsidR="00991E72" w:rsidRPr="00165BD7"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417" w:type="dxa"/>
            <w:tcBorders>
              <w:top w:val="nil"/>
              <w:left w:val="nil"/>
              <w:bottom w:val="nil"/>
              <w:right w:val="nil"/>
            </w:tcBorders>
            <w:shd w:val="clear" w:color="auto" w:fill="auto"/>
            <w:vAlign w:val="center"/>
          </w:tcPr>
          <w:p w14:paraId="2356EC4D" w14:textId="77777777" w:rsidR="00991E72" w:rsidRPr="008A41F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top w:val="nil"/>
              <w:left w:val="nil"/>
              <w:bottom w:val="nil"/>
              <w:right w:val="nil"/>
            </w:tcBorders>
            <w:shd w:val="clear" w:color="auto" w:fill="auto"/>
            <w:vAlign w:val="center"/>
          </w:tcPr>
          <w:p w14:paraId="58B4146C" w14:textId="77777777" w:rsidR="00991E72" w:rsidRPr="008A41F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left w:val="nil"/>
              <w:bottom w:val="nil"/>
              <w:right w:val="nil"/>
            </w:tcBorders>
            <w:shd w:val="clear" w:color="auto" w:fill="auto"/>
            <w:vAlign w:val="center"/>
          </w:tcPr>
          <w:p w14:paraId="0F8053E5" w14:textId="77777777" w:rsidR="00991E72" w:rsidRPr="008A41F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21" w:type="dxa"/>
            <w:tcBorders>
              <w:top w:val="nil"/>
              <w:left w:val="nil"/>
              <w:bottom w:val="nil"/>
              <w:right w:val="nil"/>
            </w:tcBorders>
            <w:shd w:val="clear" w:color="auto" w:fill="auto"/>
            <w:vAlign w:val="center"/>
          </w:tcPr>
          <w:p w14:paraId="491F37CE" w14:textId="77777777" w:rsidR="00991E72" w:rsidRPr="008A41F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7" w:type="dxa"/>
            <w:tcBorders>
              <w:top w:val="nil"/>
              <w:left w:val="nil"/>
              <w:bottom w:val="nil"/>
              <w:right w:val="nil"/>
            </w:tcBorders>
            <w:shd w:val="clear" w:color="auto" w:fill="auto"/>
            <w:vAlign w:val="center"/>
          </w:tcPr>
          <w:p w14:paraId="4DACBBD7" w14:textId="77777777" w:rsidR="00991E72" w:rsidRPr="008A41F6"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r>
      <w:tr w:rsidR="00991E72" w:rsidRPr="00D7227A" w14:paraId="600F584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6226ECA" w14:textId="77777777" w:rsidR="00991E72" w:rsidRPr="00D7227A" w:rsidRDefault="00991E72" w:rsidP="00991E72">
            <w:pPr>
              <w:pStyle w:val="08-Tabelageral"/>
              <w:jc w:val="left"/>
              <w:rPr>
                <w:lang w:val="en-US"/>
              </w:rPr>
            </w:pPr>
            <w:r w:rsidRPr="00D7227A">
              <w:rPr>
                <w:lang w:val="en-US"/>
              </w:rPr>
              <w:t>Total Added Value to Distribute</w:t>
            </w:r>
          </w:p>
        </w:tc>
        <w:tc>
          <w:tcPr>
            <w:tcW w:w="709" w:type="dxa"/>
            <w:tcBorders>
              <w:top w:val="nil"/>
              <w:bottom w:val="nil"/>
            </w:tcBorders>
            <w:shd w:val="clear" w:color="auto" w:fill="auto"/>
          </w:tcPr>
          <w:p w14:paraId="62010C3B" w14:textId="77777777" w:rsidR="00991E72" w:rsidRPr="00D7227A"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b/>
                <w:lang w:val="en-US"/>
              </w:rPr>
            </w:pPr>
          </w:p>
        </w:tc>
        <w:tc>
          <w:tcPr>
            <w:tcW w:w="1417" w:type="dxa"/>
            <w:tcBorders>
              <w:top w:val="nil"/>
              <w:left w:val="nil"/>
              <w:bottom w:val="nil"/>
              <w:right w:val="nil"/>
            </w:tcBorders>
            <w:shd w:val="clear" w:color="auto" w:fill="auto"/>
            <w:vAlign w:val="center"/>
          </w:tcPr>
          <w:p w14:paraId="5D3F0CE6"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1,920,38</w:t>
            </w:r>
            <w:r>
              <w:rPr>
                <w:rFonts w:cs="Arial"/>
                <w:b/>
                <w:szCs w:val="14"/>
                <w:lang w:eastAsia="en-US"/>
              </w:rPr>
              <w:t>2</w:t>
            </w:r>
          </w:p>
        </w:tc>
        <w:tc>
          <w:tcPr>
            <w:tcW w:w="1418" w:type="dxa"/>
            <w:tcBorders>
              <w:top w:val="nil"/>
              <w:left w:val="nil"/>
              <w:bottom w:val="nil"/>
              <w:right w:val="nil"/>
            </w:tcBorders>
            <w:shd w:val="clear" w:color="auto" w:fill="auto"/>
            <w:vAlign w:val="center"/>
          </w:tcPr>
          <w:p w14:paraId="56DEA8BF"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1,241,412</w:t>
            </w:r>
          </w:p>
        </w:tc>
        <w:tc>
          <w:tcPr>
            <w:tcW w:w="280" w:type="dxa"/>
            <w:tcBorders>
              <w:top w:val="nil"/>
              <w:left w:val="nil"/>
              <w:bottom w:val="nil"/>
              <w:right w:val="nil"/>
            </w:tcBorders>
            <w:shd w:val="clear" w:color="auto" w:fill="auto"/>
            <w:vAlign w:val="center"/>
          </w:tcPr>
          <w:p w14:paraId="36FC9562"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left w:val="nil"/>
              <w:bottom w:val="nil"/>
              <w:right w:val="nil"/>
            </w:tcBorders>
            <w:shd w:val="clear" w:color="auto" w:fill="auto"/>
            <w:vAlign w:val="center"/>
          </w:tcPr>
          <w:p w14:paraId="12FB9CF5"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2,450,267</w:t>
            </w:r>
          </w:p>
        </w:tc>
        <w:tc>
          <w:tcPr>
            <w:tcW w:w="1417" w:type="dxa"/>
            <w:tcBorders>
              <w:top w:val="nil"/>
              <w:left w:val="nil"/>
              <w:bottom w:val="nil"/>
              <w:right w:val="nil"/>
            </w:tcBorders>
            <w:shd w:val="clear" w:color="auto" w:fill="auto"/>
            <w:vAlign w:val="center"/>
          </w:tcPr>
          <w:p w14:paraId="59C11A00"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1,678,263</w:t>
            </w:r>
          </w:p>
        </w:tc>
      </w:tr>
      <w:tr w:rsidR="00991E72" w:rsidRPr="00634ADE" w14:paraId="72A2E113"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7BA734F" w14:textId="77777777" w:rsidR="00991E72" w:rsidRPr="00634ADE" w:rsidRDefault="00991E72" w:rsidP="00991E72">
            <w:pPr>
              <w:pStyle w:val="08-Tabelageral"/>
              <w:jc w:val="left"/>
              <w:rPr>
                <w:bCs w:val="0"/>
              </w:rPr>
            </w:pPr>
            <w:r w:rsidRPr="00634ADE">
              <w:rPr>
                <w:bCs w:val="0"/>
              </w:rPr>
              <w:t> </w:t>
            </w:r>
          </w:p>
        </w:tc>
        <w:tc>
          <w:tcPr>
            <w:tcW w:w="709" w:type="dxa"/>
            <w:tcBorders>
              <w:top w:val="nil"/>
              <w:bottom w:val="nil"/>
            </w:tcBorders>
            <w:shd w:val="clear" w:color="auto" w:fill="auto"/>
          </w:tcPr>
          <w:p w14:paraId="56E67D88" w14:textId="77777777" w:rsidR="00991E72" w:rsidRPr="00634ADE"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636AB075"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top w:val="nil"/>
              <w:left w:val="nil"/>
              <w:bottom w:val="nil"/>
              <w:right w:val="nil"/>
            </w:tcBorders>
            <w:shd w:val="clear" w:color="auto" w:fill="auto"/>
            <w:vAlign w:val="center"/>
          </w:tcPr>
          <w:p w14:paraId="0F00617B"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left w:val="nil"/>
              <w:bottom w:val="nil"/>
              <w:right w:val="nil"/>
            </w:tcBorders>
            <w:shd w:val="clear" w:color="auto" w:fill="auto"/>
            <w:vAlign w:val="center"/>
          </w:tcPr>
          <w:p w14:paraId="1CA87185"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21" w:type="dxa"/>
            <w:tcBorders>
              <w:top w:val="nil"/>
              <w:left w:val="nil"/>
              <w:bottom w:val="nil"/>
              <w:right w:val="nil"/>
            </w:tcBorders>
            <w:shd w:val="clear" w:color="auto" w:fill="auto"/>
            <w:vAlign w:val="center"/>
          </w:tcPr>
          <w:p w14:paraId="0517B9E3"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7" w:type="dxa"/>
            <w:tcBorders>
              <w:top w:val="nil"/>
              <w:left w:val="nil"/>
              <w:bottom w:val="nil"/>
              <w:right w:val="nil"/>
            </w:tcBorders>
            <w:shd w:val="clear" w:color="auto" w:fill="auto"/>
            <w:vAlign w:val="center"/>
          </w:tcPr>
          <w:p w14:paraId="7A42E046" w14:textId="77777777" w:rsidR="00991E72" w:rsidRPr="00634ADE"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b/>
              </w:rPr>
            </w:pPr>
          </w:p>
        </w:tc>
      </w:tr>
      <w:tr w:rsidR="00991E72" w:rsidRPr="00D7227A" w14:paraId="12A7A95D"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DA19BA6" w14:textId="77777777" w:rsidR="00991E72" w:rsidRPr="00D7227A" w:rsidRDefault="00991E72" w:rsidP="00991E72">
            <w:pPr>
              <w:pStyle w:val="08-Tabelageral"/>
              <w:jc w:val="left"/>
            </w:pPr>
            <w:r w:rsidRPr="00D7227A">
              <w:t>Distribution of Added Value</w:t>
            </w:r>
          </w:p>
        </w:tc>
        <w:tc>
          <w:tcPr>
            <w:tcW w:w="709" w:type="dxa"/>
            <w:tcBorders>
              <w:top w:val="nil"/>
              <w:bottom w:val="nil"/>
            </w:tcBorders>
            <w:shd w:val="clear" w:color="auto" w:fill="auto"/>
          </w:tcPr>
          <w:p w14:paraId="6BDD11FC" w14:textId="77777777" w:rsidR="00991E72" w:rsidRPr="00D7227A"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1B07D2EE"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1,920,38</w:t>
            </w:r>
            <w:r>
              <w:rPr>
                <w:rFonts w:cs="Arial"/>
                <w:b/>
                <w:szCs w:val="14"/>
                <w:lang w:eastAsia="en-US"/>
              </w:rPr>
              <w:t>2</w:t>
            </w:r>
          </w:p>
        </w:tc>
        <w:tc>
          <w:tcPr>
            <w:tcW w:w="1418" w:type="dxa"/>
            <w:tcBorders>
              <w:top w:val="nil"/>
              <w:left w:val="nil"/>
              <w:bottom w:val="nil"/>
              <w:right w:val="nil"/>
            </w:tcBorders>
            <w:shd w:val="clear" w:color="auto" w:fill="auto"/>
            <w:vAlign w:val="center"/>
          </w:tcPr>
          <w:p w14:paraId="1633BAF9"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1,241,412</w:t>
            </w:r>
          </w:p>
        </w:tc>
        <w:tc>
          <w:tcPr>
            <w:tcW w:w="280" w:type="dxa"/>
            <w:tcBorders>
              <w:top w:val="nil"/>
              <w:left w:val="nil"/>
              <w:bottom w:val="nil"/>
              <w:right w:val="nil"/>
            </w:tcBorders>
            <w:shd w:val="clear" w:color="auto" w:fill="auto"/>
            <w:vAlign w:val="center"/>
          </w:tcPr>
          <w:p w14:paraId="59989302"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left w:val="nil"/>
              <w:bottom w:val="nil"/>
              <w:right w:val="nil"/>
            </w:tcBorders>
            <w:shd w:val="clear" w:color="auto" w:fill="auto"/>
            <w:vAlign w:val="center"/>
          </w:tcPr>
          <w:p w14:paraId="4D4CA88A"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2,450,267</w:t>
            </w:r>
          </w:p>
        </w:tc>
        <w:tc>
          <w:tcPr>
            <w:tcW w:w="1417" w:type="dxa"/>
            <w:tcBorders>
              <w:top w:val="nil"/>
              <w:left w:val="nil"/>
              <w:bottom w:val="nil"/>
              <w:right w:val="nil"/>
            </w:tcBorders>
            <w:shd w:val="clear" w:color="auto" w:fill="auto"/>
            <w:vAlign w:val="center"/>
          </w:tcPr>
          <w:p w14:paraId="10EA96CB" w14:textId="77777777" w:rsidR="00991E72" w:rsidRPr="00D7227A"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b/>
                <w:bCs/>
              </w:rPr>
            </w:pPr>
            <w:r w:rsidRPr="00D7227A">
              <w:rPr>
                <w:rFonts w:cs="Arial"/>
                <w:b/>
                <w:szCs w:val="14"/>
                <w:lang w:eastAsia="en-US"/>
              </w:rPr>
              <w:t>1,678,263</w:t>
            </w:r>
          </w:p>
        </w:tc>
      </w:tr>
      <w:tr w:rsidR="00991E72" w:rsidRPr="00D7227A" w14:paraId="21452777"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19106E" w14:textId="77777777" w:rsidR="00991E72" w:rsidRPr="00D7227A" w:rsidRDefault="00991E72" w:rsidP="00991E72">
            <w:pPr>
              <w:pStyle w:val="08-Tabelageral"/>
              <w:ind w:left="113"/>
              <w:jc w:val="left"/>
            </w:pPr>
            <w:r w:rsidRPr="00D7227A">
              <w:t>Personnel</w:t>
            </w:r>
          </w:p>
        </w:tc>
        <w:tc>
          <w:tcPr>
            <w:tcW w:w="709" w:type="dxa"/>
            <w:tcBorders>
              <w:top w:val="nil"/>
              <w:bottom w:val="nil"/>
            </w:tcBorders>
            <w:shd w:val="clear" w:color="auto" w:fill="auto"/>
          </w:tcPr>
          <w:p w14:paraId="6D9815EA" w14:textId="77777777" w:rsidR="00991E72" w:rsidRPr="00D7227A"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7E8D968F"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D7227A">
              <w:rPr>
                <w:rFonts w:cs="Arial"/>
                <w:b/>
                <w:szCs w:val="14"/>
                <w:lang w:eastAsia="en-US"/>
              </w:rPr>
              <w:t>3,12</w:t>
            </w:r>
            <w:r>
              <w:rPr>
                <w:rFonts w:cs="Arial"/>
                <w:b/>
                <w:szCs w:val="14"/>
                <w:lang w:eastAsia="en-US"/>
              </w:rPr>
              <w:t>3</w:t>
            </w:r>
          </w:p>
        </w:tc>
        <w:tc>
          <w:tcPr>
            <w:tcW w:w="1418" w:type="dxa"/>
            <w:tcBorders>
              <w:top w:val="nil"/>
              <w:left w:val="nil"/>
              <w:bottom w:val="nil"/>
              <w:right w:val="nil"/>
            </w:tcBorders>
            <w:shd w:val="clear" w:color="auto" w:fill="auto"/>
            <w:vAlign w:val="center"/>
          </w:tcPr>
          <w:p w14:paraId="18D5E32A"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D7227A">
              <w:rPr>
                <w:rFonts w:cs="Arial"/>
                <w:b/>
                <w:szCs w:val="14"/>
                <w:lang w:eastAsia="en-US"/>
              </w:rPr>
              <w:t>2,849</w:t>
            </w:r>
          </w:p>
        </w:tc>
        <w:tc>
          <w:tcPr>
            <w:tcW w:w="280" w:type="dxa"/>
            <w:tcBorders>
              <w:top w:val="nil"/>
              <w:left w:val="nil"/>
              <w:bottom w:val="nil"/>
              <w:right w:val="nil"/>
            </w:tcBorders>
            <w:shd w:val="clear" w:color="auto" w:fill="auto"/>
            <w:vAlign w:val="center"/>
          </w:tcPr>
          <w:p w14:paraId="6078756F"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083DFF7D"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D7227A">
              <w:rPr>
                <w:rFonts w:cs="Arial"/>
                <w:b/>
                <w:szCs w:val="14"/>
                <w:lang w:eastAsia="en-US"/>
              </w:rPr>
              <w:t>16,533</w:t>
            </w:r>
          </w:p>
        </w:tc>
        <w:tc>
          <w:tcPr>
            <w:tcW w:w="1417" w:type="dxa"/>
            <w:tcBorders>
              <w:top w:val="nil"/>
              <w:left w:val="nil"/>
              <w:bottom w:val="nil"/>
              <w:right w:val="nil"/>
            </w:tcBorders>
            <w:shd w:val="clear" w:color="auto" w:fill="auto"/>
            <w:vAlign w:val="center"/>
          </w:tcPr>
          <w:p w14:paraId="4D7F21EC"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D7227A">
              <w:rPr>
                <w:rFonts w:cs="Arial"/>
                <w:b/>
                <w:szCs w:val="14"/>
                <w:lang w:eastAsia="en-US"/>
              </w:rPr>
              <w:t>14,194</w:t>
            </w:r>
          </w:p>
        </w:tc>
      </w:tr>
      <w:tr w:rsidR="00991E72" w:rsidRPr="009C6064" w14:paraId="3C534C24"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7507B3B4" w14:textId="77777777" w:rsidR="00991E72" w:rsidRPr="00FD7EA2" w:rsidRDefault="00991E72" w:rsidP="00991E72">
            <w:pPr>
              <w:pStyle w:val="08-Tabelageral"/>
              <w:ind w:left="113" w:firstLine="63"/>
              <w:jc w:val="left"/>
              <w:rPr>
                <w:b w:val="0"/>
                <w:lang w:val="en-US"/>
              </w:rPr>
            </w:pPr>
            <w:r w:rsidRPr="00FD7EA2">
              <w:rPr>
                <w:b w:val="0"/>
                <w:lang w:val="en-US"/>
              </w:rPr>
              <w:t>Direct remuneration - Earnings and fees</w:t>
            </w:r>
          </w:p>
        </w:tc>
        <w:tc>
          <w:tcPr>
            <w:tcW w:w="709" w:type="dxa"/>
            <w:tcBorders>
              <w:top w:val="nil"/>
              <w:bottom w:val="nil"/>
            </w:tcBorders>
            <w:shd w:val="clear" w:color="auto" w:fill="auto"/>
          </w:tcPr>
          <w:p w14:paraId="4385F86D" w14:textId="77777777" w:rsidR="00991E72" w:rsidRPr="00FD7EA2"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417" w:type="dxa"/>
            <w:tcBorders>
              <w:top w:val="nil"/>
              <w:left w:val="nil"/>
              <w:bottom w:val="nil"/>
              <w:right w:val="nil"/>
            </w:tcBorders>
            <w:shd w:val="clear" w:color="auto" w:fill="auto"/>
            <w:vAlign w:val="center"/>
          </w:tcPr>
          <w:p w14:paraId="05984724"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2,174</w:t>
            </w:r>
          </w:p>
        </w:tc>
        <w:tc>
          <w:tcPr>
            <w:tcW w:w="1418" w:type="dxa"/>
            <w:tcBorders>
              <w:top w:val="nil"/>
              <w:left w:val="nil"/>
              <w:bottom w:val="nil"/>
              <w:right w:val="nil"/>
            </w:tcBorders>
            <w:shd w:val="clear" w:color="auto" w:fill="auto"/>
            <w:vAlign w:val="center"/>
          </w:tcPr>
          <w:p w14:paraId="3DEDE5E1"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2,076</w:t>
            </w:r>
          </w:p>
        </w:tc>
        <w:tc>
          <w:tcPr>
            <w:tcW w:w="280" w:type="dxa"/>
            <w:tcBorders>
              <w:top w:val="nil"/>
              <w:left w:val="nil"/>
              <w:bottom w:val="nil"/>
              <w:right w:val="nil"/>
            </w:tcBorders>
            <w:shd w:val="clear" w:color="auto" w:fill="auto"/>
            <w:vAlign w:val="center"/>
          </w:tcPr>
          <w:p w14:paraId="6A98AC3F"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7E14DFF9"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11,542</w:t>
            </w:r>
          </w:p>
        </w:tc>
        <w:tc>
          <w:tcPr>
            <w:tcW w:w="1417" w:type="dxa"/>
            <w:tcBorders>
              <w:top w:val="nil"/>
              <w:left w:val="nil"/>
              <w:bottom w:val="nil"/>
              <w:right w:val="nil"/>
            </w:tcBorders>
            <w:shd w:val="clear" w:color="auto" w:fill="auto"/>
            <w:vAlign w:val="center"/>
          </w:tcPr>
          <w:p w14:paraId="01E153AA"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9,903</w:t>
            </w:r>
          </w:p>
        </w:tc>
      </w:tr>
      <w:tr w:rsidR="00991E72" w:rsidRPr="009C6064" w14:paraId="13AB7BD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629CE170" w14:textId="77777777" w:rsidR="00991E72" w:rsidRPr="009C6064" w:rsidRDefault="00991E72" w:rsidP="00991E72">
            <w:pPr>
              <w:pStyle w:val="08-Tabelageral"/>
              <w:ind w:left="113" w:firstLine="63"/>
              <w:jc w:val="left"/>
              <w:rPr>
                <w:b w:val="0"/>
              </w:rPr>
            </w:pPr>
            <w:r w:rsidRPr="00317F11">
              <w:rPr>
                <w:b w:val="0"/>
              </w:rPr>
              <w:t>Benefits and training</w:t>
            </w:r>
          </w:p>
        </w:tc>
        <w:tc>
          <w:tcPr>
            <w:tcW w:w="709" w:type="dxa"/>
            <w:tcBorders>
              <w:top w:val="nil"/>
              <w:bottom w:val="nil"/>
            </w:tcBorders>
            <w:shd w:val="clear" w:color="auto" w:fill="auto"/>
          </w:tcPr>
          <w:p w14:paraId="378166CC" w14:textId="77777777" w:rsidR="00991E72" w:rsidRPr="009C6064"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7A51632B"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497</w:t>
            </w:r>
          </w:p>
        </w:tc>
        <w:tc>
          <w:tcPr>
            <w:tcW w:w="1418" w:type="dxa"/>
            <w:tcBorders>
              <w:top w:val="nil"/>
              <w:left w:val="nil"/>
              <w:bottom w:val="nil"/>
              <w:right w:val="nil"/>
            </w:tcBorders>
            <w:shd w:val="clear" w:color="auto" w:fill="auto"/>
            <w:vAlign w:val="center"/>
          </w:tcPr>
          <w:p w14:paraId="1F565844"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438</w:t>
            </w:r>
          </w:p>
        </w:tc>
        <w:tc>
          <w:tcPr>
            <w:tcW w:w="280" w:type="dxa"/>
            <w:tcBorders>
              <w:top w:val="nil"/>
              <w:left w:val="nil"/>
              <w:bottom w:val="nil"/>
              <w:right w:val="nil"/>
            </w:tcBorders>
            <w:shd w:val="clear" w:color="auto" w:fill="auto"/>
            <w:vAlign w:val="center"/>
          </w:tcPr>
          <w:p w14:paraId="4E84F50E"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5DB9F772"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2,959</w:t>
            </w:r>
          </w:p>
        </w:tc>
        <w:tc>
          <w:tcPr>
            <w:tcW w:w="1417" w:type="dxa"/>
            <w:tcBorders>
              <w:top w:val="nil"/>
              <w:left w:val="nil"/>
              <w:bottom w:val="nil"/>
              <w:right w:val="nil"/>
            </w:tcBorders>
            <w:shd w:val="clear" w:color="auto" w:fill="auto"/>
            <w:vAlign w:val="center"/>
          </w:tcPr>
          <w:p w14:paraId="4256B6B1"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2,588</w:t>
            </w:r>
          </w:p>
        </w:tc>
      </w:tr>
      <w:tr w:rsidR="00991E72" w:rsidRPr="009C6064" w14:paraId="4297A555"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34B9E0C3" w14:textId="77777777" w:rsidR="00991E72" w:rsidRPr="009C6064" w:rsidRDefault="00991E72" w:rsidP="00991E72">
            <w:pPr>
              <w:pStyle w:val="08-Tabelageral"/>
              <w:ind w:left="113" w:firstLine="63"/>
              <w:jc w:val="left"/>
              <w:rPr>
                <w:b w:val="0"/>
              </w:rPr>
            </w:pPr>
            <w:r w:rsidRPr="00317F11">
              <w:rPr>
                <w:b w:val="0"/>
              </w:rPr>
              <w:t>FGTS</w:t>
            </w:r>
          </w:p>
        </w:tc>
        <w:tc>
          <w:tcPr>
            <w:tcW w:w="709" w:type="dxa"/>
            <w:tcBorders>
              <w:top w:val="nil"/>
              <w:bottom w:val="nil"/>
            </w:tcBorders>
            <w:shd w:val="clear" w:color="auto" w:fill="auto"/>
          </w:tcPr>
          <w:p w14:paraId="59F05887" w14:textId="77777777" w:rsidR="00991E72" w:rsidRPr="009C6064"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74811C04"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141</w:t>
            </w:r>
          </w:p>
        </w:tc>
        <w:tc>
          <w:tcPr>
            <w:tcW w:w="1418" w:type="dxa"/>
            <w:tcBorders>
              <w:top w:val="nil"/>
              <w:left w:val="nil"/>
              <w:bottom w:val="nil"/>
              <w:right w:val="nil"/>
            </w:tcBorders>
            <w:shd w:val="clear" w:color="auto" w:fill="auto"/>
            <w:vAlign w:val="center"/>
          </w:tcPr>
          <w:p w14:paraId="181CB1A7"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120</w:t>
            </w:r>
          </w:p>
        </w:tc>
        <w:tc>
          <w:tcPr>
            <w:tcW w:w="280" w:type="dxa"/>
            <w:tcBorders>
              <w:top w:val="nil"/>
              <w:left w:val="nil"/>
              <w:bottom w:val="nil"/>
              <w:right w:val="nil"/>
            </w:tcBorders>
            <w:shd w:val="clear" w:color="auto" w:fill="auto"/>
            <w:vAlign w:val="center"/>
          </w:tcPr>
          <w:p w14:paraId="1FD8123C"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3F4054F9"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852</w:t>
            </w:r>
          </w:p>
        </w:tc>
        <w:tc>
          <w:tcPr>
            <w:tcW w:w="1417" w:type="dxa"/>
            <w:tcBorders>
              <w:top w:val="nil"/>
              <w:left w:val="nil"/>
              <w:bottom w:val="nil"/>
              <w:right w:val="nil"/>
            </w:tcBorders>
            <w:shd w:val="clear" w:color="auto" w:fill="auto"/>
            <w:vAlign w:val="center"/>
          </w:tcPr>
          <w:p w14:paraId="2208B1BF"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646</w:t>
            </w:r>
          </w:p>
        </w:tc>
      </w:tr>
      <w:tr w:rsidR="00991E72" w:rsidRPr="009C6064" w14:paraId="079B4DA8"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4EAE8984" w14:textId="77777777" w:rsidR="00991E72" w:rsidRPr="009C6064" w:rsidRDefault="00991E72" w:rsidP="00991E72">
            <w:pPr>
              <w:pStyle w:val="08-Tabelageral"/>
              <w:ind w:left="113" w:firstLine="63"/>
              <w:jc w:val="left"/>
              <w:rPr>
                <w:b w:val="0"/>
              </w:rPr>
            </w:pPr>
            <w:r w:rsidRPr="00317F11">
              <w:rPr>
                <w:rStyle w:val="rynqvb"/>
                <w:b w:val="0"/>
                <w:lang w:val="en"/>
              </w:rPr>
              <w:t>Other charges</w:t>
            </w:r>
          </w:p>
        </w:tc>
        <w:tc>
          <w:tcPr>
            <w:tcW w:w="709" w:type="dxa"/>
            <w:tcBorders>
              <w:top w:val="nil"/>
              <w:bottom w:val="nil"/>
            </w:tcBorders>
            <w:shd w:val="clear" w:color="auto" w:fill="auto"/>
          </w:tcPr>
          <w:p w14:paraId="18DE6C6A" w14:textId="77777777" w:rsidR="00991E72" w:rsidRPr="009C6064"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27F1E1B8"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310</w:t>
            </w:r>
          </w:p>
        </w:tc>
        <w:tc>
          <w:tcPr>
            <w:tcW w:w="1418" w:type="dxa"/>
            <w:tcBorders>
              <w:top w:val="nil"/>
              <w:left w:val="nil"/>
              <w:bottom w:val="nil"/>
              <w:right w:val="nil"/>
            </w:tcBorders>
            <w:shd w:val="clear" w:color="auto" w:fill="auto"/>
            <w:vAlign w:val="center"/>
          </w:tcPr>
          <w:p w14:paraId="056D2710"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215</w:t>
            </w:r>
          </w:p>
        </w:tc>
        <w:tc>
          <w:tcPr>
            <w:tcW w:w="280" w:type="dxa"/>
            <w:tcBorders>
              <w:top w:val="nil"/>
              <w:left w:val="nil"/>
              <w:bottom w:val="nil"/>
              <w:right w:val="nil"/>
            </w:tcBorders>
            <w:shd w:val="clear" w:color="auto" w:fill="auto"/>
            <w:vAlign w:val="center"/>
          </w:tcPr>
          <w:p w14:paraId="478054C6"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2141001B"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1,180</w:t>
            </w:r>
          </w:p>
        </w:tc>
        <w:tc>
          <w:tcPr>
            <w:tcW w:w="1417" w:type="dxa"/>
            <w:tcBorders>
              <w:top w:val="nil"/>
              <w:left w:val="nil"/>
              <w:bottom w:val="nil"/>
              <w:right w:val="nil"/>
            </w:tcBorders>
            <w:shd w:val="clear" w:color="auto" w:fill="auto"/>
            <w:vAlign w:val="center"/>
          </w:tcPr>
          <w:p w14:paraId="55ADCCEC"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1,057</w:t>
            </w:r>
          </w:p>
        </w:tc>
      </w:tr>
      <w:tr w:rsidR="00991E72" w:rsidRPr="00D7227A" w14:paraId="2C7AF7A9"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BFEEA4A" w14:textId="77777777" w:rsidR="00991E72" w:rsidRPr="00D7227A" w:rsidRDefault="00991E72" w:rsidP="00991E72">
            <w:pPr>
              <w:pStyle w:val="08-Tabelageral"/>
              <w:ind w:left="113"/>
              <w:jc w:val="left"/>
            </w:pPr>
            <w:r w:rsidRPr="00D7227A">
              <w:t>Taxes, fees and contributions</w:t>
            </w:r>
          </w:p>
        </w:tc>
        <w:tc>
          <w:tcPr>
            <w:tcW w:w="709" w:type="dxa"/>
            <w:tcBorders>
              <w:top w:val="nil"/>
              <w:bottom w:val="nil"/>
            </w:tcBorders>
            <w:shd w:val="clear" w:color="auto" w:fill="auto"/>
          </w:tcPr>
          <w:p w14:paraId="2D6F04EE" w14:textId="77777777" w:rsidR="00991E72" w:rsidRPr="00D7227A"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171CF59B"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D7227A">
              <w:rPr>
                <w:rFonts w:cs="Arial"/>
                <w:b/>
                <w:szCs w:val="14"/>
                <w:lang w:eastAsia="en-US"/>
              </w:rPr>
              <w:t>4,598</w:t>
            </w:r>
          </w:p>
        </w:tc>
        <w:tc>
          <w:tcPr>
            <w:tcW w:w="1418" w:type="dxa"/>
            <w:tcBorders>
              <w:top w:val="nil"/>
              <w:left w:val="nil"/>
              <w:bottom w:val="nil"/>
              <w:right w:val="nil"/>
            </w:tcBorders>
            <w:shd w:val="clear" w:color="auto" w:fill="auto"/>
            <w:vAlign w:val="center"/>
          </w:tcPr>
          <w:p w14:paraId="4D06F84D"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D7227A">
              <w:rPr>
                <w:rFonts w:cs="Arial"/>
                <w:b/>
                <w:szCs w:val="14"/>
                <w:lang w:eastAsia="en-US"/>
              </w:rPr>
              <w:t>2,273</w:t>
            </w:r>
          </w:p>
        </w:tc>
        <w:tc>
          <w:tcPr>
            <w:tcW w:w="280" w:type="dxa"/>
            <w:tcBorders>
              <w:top w:val="nil"/>
              <w:left w:val="nil"/>
              <w:bottom w:val="nil"/>
              <w:right w:val="nil"/>
            </w:tcBorders>
            <w:shd w:val="clear" w:color="auto" w:fill="auto"/>
            <w:vAlign w:val="center"/>
          </w:tcPr>
          <w:p w14:paraId="1F707645"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3875F5CE"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D7227A">
              <w:rPr>
                <w:rFonts w:cs="Arial"/>
                <w:b/>
                <w:szCs w:val="14"/>
                <w:lang w:eastAsia="en-US"/>
              </w:rPr>
              <w:t>520,346</w:t>
            </w:r>
          </w:p>
        </w:tc>
        <w:tc>
          <w:tcPr>
            <w:tcW w:w="1417" w:type="dxa"/>
            <w:tcBorders>
              <w:top w:val="nil"/>
              <w:left w:val="nil"/>
              <w:bottom w:val="nil"/>
              <w:right w:val="nil"/>
            </w:tcBorders>
            <w:shd w:val="clear" w:color="auto" w:fill="auto"/>
            <w:vAlign w:val="center"/>
          </w:tcPr>
          <w:p w14:paraId="2063B748"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D7227A">
              <w:rPr>
                <w:rFonts w:cs="Arial"/>
                <w:b/>
                <w:szCs w:val="14"/>
                <w:lang w:eastAsia="en-US"/>
              </w:rPr>
              <w:t>425,835</w:t>
            </w:r>
          </w:p>
        </w:tc>
      </w:tr>
      <w:tr w:rsidR="00991E72" w:rsidRPr="009C6064" w14:paraId="7AC42702"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47BD235" w14:textId="77777777" w:rsidR="00991E72" w:rsidRDefault="00991E72" w:rsidP="00991E72">
            <w:pPr>
              <w:pStyle w:val="08-Tabelageral"/>
              <w:ind w:left="113" w:firstLine="63"/>
              <w:jc w:val="left"/>
              <w:rPr>
                <w:b w:val="0"/>
              </w:rPr>
            </w:pPr>
            <w:r>
              <w:rPr>
                <w:b w:val="0"/>
              </w:rPr>
              <w:t>Federal</w:t>
            </w:r>
          </w:p>
        </w:tc>
        <w:tc>
          <w:tcPr>
            <w:tcW w:w="709" w:type="dxa"/>
            <w:tcBorders>
              <w:top w:val="nil"/>
              <w:bottom w:val="nil"/>
            </w:tcBorders>
            <w:shd w:val="clear" w:color="auto" w:fill="auto"/>
          </w:tcPr>
          <w:p w14:paraId="1D3BFD7E" w14:textId="77777777" w:rsidR="00991E72" w:rsidRPr="009C6064"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21789421"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4,598</w:t>
            </w:r>
          </w:p>
        </w:tc>
        <w:tc>
          <w:tcPr>
            <w:tcW w:w="1418" w:type="dxa"/>
            <w:tcBorders>
              <w:top w:val="nil"/>
              <w:left w:val="nil"/>
              <w:bottom w:val="nil"/>
              <w:right w:val="nil"/>
            </w:tcBorders>
            <w:shd w:val="clear" w:color="auto" w:fill="auto"/>
            <w:vAlign w:val="center"/>
          </w:tcPr>
          <w:p w14:paraId="29D78929"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2,273</w:t>
            </w:r>
          </w:p>
        </w:tc>
        <w:tc>
          <w:tcPr>
            <w:tcW w:w="280" w:type="dxa"/>
            <w:tcBorders>
              <w:top w:val="nil"/>
              <w:left w:val="nil"/>
              <w:bottom w:val="nil"/>
              <w:right w:val="nil"/>
            </w:tcBorders>
            <w:shd w:val="clear" w:color="auto" w:fill="auto"/>
            <w:vAlign w:val="center"/>
          </w:tcPr>
          <w:p w14:paraId="4CB5B532"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71F52E0E"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492,947</w:t>
            </w:r>
          </w:p>
        </w:tc>
        <w:tc>
          <w:tcPr>
            <w:tcW w:w="1417" w:type="dxa"/>
            <w:tcBorders>
              <w:top w:val="nil"/>
              <w:left w:val="nil"/>
              <w:bottom w:val="nil"/>
              <w:right w:val="nil"/>
            </w:tcBorders>
            <w:shd w:val="clear" w:color="auto" w:fill="auto"/>
            <w:vAlign w:val="center"/>
          </w:tcPr>
          <w:p w14:paraId="65F4C8B1"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401,477</w:t>
            </w:r>
          </w:p>
        </w:tc>
      </w:tr>
      <w:tr w:rsidR="00991E72" w:rsidRPr="009C6064" w14:paraId="6661983A"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2196978" w14:textId="77777777" w:rsidR="00991E72" w:rsidRDefault="00991E72" w:rsidP="00991E72">
            <w:pPr>
              <w:pStyle w:val="08-Tabelageral"/>
              <w:ind w:left="113" w:firstLine="63"/>
              <w:jc w:val="left"/>
              <w:rPr>
                <w:b w:val="0"/>
              </w:rPr>
            </w:pPr>
            <w:r>
              <w:rPr>
                <w:b w:val="0"/>
              </w:rPr>
              <w:t>Municipal</w:t>
            </w:r>
          </w:p>
        </w:tc>
        <w:tc>
          <w:tcPr>
            <w:tcW w:w="709" w:type="dxa"/>
            <w:tcBorders>
              <w:top w:val="nil"/>
              <w:bottom w:val="nil"/>
            </w:tcBorders>
            <w:shd w:val="clear" w:color="auto" w:fill="auto"/>
          </w:tcPr>
          <w:p w14:paraId="33EFF03E" w14:textId="77777777" w:rsidR="00991E72" w:rsidRPr="009C6064"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16E05796"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w:t>
            </w:r>
          </w:p>
        </w:tc>
        <w:tc>
          <w:tcPr>
            <w:tcW w:w="1418" w:type="dxa"/>
            <w:tcBorders>
              <w:top w:val="nil"/>
              <w:left w:val="nil"/>
              <w:bottom w:val="nil"/>
              <w:right w:val="nil"/>
            </w:tcBorders>
            <w:shd w:val="clear" w:color="auto" w:fill="auto"/>
            <w:vAlign w:val="center"/>
          </w:tcPr>
          <w:p w14:paraId="378CDFE6"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w:t>
            </w:r>
          </w:p>
        </w:tc>
        <w:tc>
          <w:tcPr>
            <w:tcW w:w="280" w:type="dxa"/>
            <w:tcBorders>
              <w:top w:val="nil"/>
              <w:left w:val="nil"/>
              <w:bottom w:val="nil"/>
              <w:right w:val="nil"/>
            </w:tcBorders>
            <w:shd w:val="clear" w:color="auto" w:fill="auto"/>
            <w:vAlign w:val="center"/>
          </w:tcPr>
          <w:p w14:paraId="32763C31"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7CF00222"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27,399</w:t>
            </w:r>
          </w:p>
        </w:tc>
        <w:tc>
          <w:tcPr>
            <w:tcW w:w="1417" w:type="dxa"/>
            <w:tcBorders>
              <w:top w:val="nil"/>
              <w:left w:val="nil"/>
              <w:bottom w:val="nil"/>
              <w:right w:val="nil"/>
            </w:tcBorders>
            <w:shd w:val="clear" w:color="auto" w:fill="auto"/>
            <w:vAlign w:val="center"/>
          </w:tcPr>
          <w:p w14:paraId="1E8EC67E"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24,358</w:t>
            </w:r>
          </w:p>
        </w:tc>
      </w:tr>
      <w:tr w:rsidR="00991E72" w:rsidRPr="00D7227A" w14:paraId="7738ABF7"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919DBB6" w14:textId="77777777" w:rsidR="00991E72" w:rsidRPr="00D7227A" w:rsidRDefault="00991E72" w:rsidP="00991E72">
            <w:pPr>
              <w:pStyle w:val="08-Tabelageral"/>
              <w:ind w:left="113"/>
              <w:jc w:val="left"/>
              <w:rPr>
                <w:lang w:val="en-US"/>
              </w:rPr>
            </w:pPr>
            <w:r w:rsidRPr="00D7227A">
              <w:rPr>
                <w:lang w:val="en-US"/>
              </w:rPr>
              <w:t>Remuneration of third-party capital</w:t>
            </w:r>
          </w:p>
        </w:tc>
        <w:tc>
          <w:tcPr>
            <w:tcW w:w="709" w:type="dxa"/>
            <w:tcBorders>
              <w:top w:val="nil"/>
              <w:bottom w:val="nil"/>
            </w:tcBorders>
            <w:shd w:val="clear" w:color="auto" w:fill="auto"/>
          </w:tcPr>
          <w:p w14:paraId="000EAB84" w14:textId="77777777" w:rsidR="00991E72" w:rsidRPr="00D7227A" w:rsidRDefault="00991E72" w:rsidP="00991E72">
            <w:pPr>
              <w:pStyle w:val="08-Tabelageral"/>
              <w:ind w:left="113"/>
              <w:jc w:val="left"/>
              <w:cnfStyle w:val="000000000000" w:firstRow="0" w:lastRow="0" w:firstColumn="0" w:lastColumn="0" w:oddVBand="0" w:evenVBand="0" w:oddHBand="0" w:evenHBand="0" w:firstRowFirstColumn="0" w:firstRowLastColumn="0" w:lastRowFirstColumn="0" w:lastRowLastColumn="0"/>
              <w:rPr>
                <w:b/>
                <w:lang w:val="en-US"/>
              </w:rPr>
            </w:pPr>
          </w:p>
        </w:tc>
        <w:tc>
          <w:tcPr>
            <w:tcW w:w="1417" w:type="dxa"/>
            <w:tcBorders>
              <w:top w:val="nil"/>
              <w:left w:val="nil"/>
              <w:bottom w:val="nil"/>
              <w:right w:val="nil"/>
            </w:tcBorders>
            <w:shd w:val="clear" w:color="auto" w:fill="auto"/>
            <w:vAlign w:val="center"/>
          </w:tcPr>
          <w:p w14:paraId="4DD684A0"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D7227A">
              <w:rPr>
                <w:rFonts w:cs="Arial"/>
                <w:b/>
                <w:szCs w:val="14"/>
                <w:lang w:eastAsia="en-US"/>
              </w:rPr>
              <w:t>79,702</w:t>
            </w:r>
          </w:p>
        </w:tc>
        <w:tc>
          <w:tcPr>
            <w:tcW w:w="1418" w:type="dxa"/>
            <w:tcBorders>
              <w:top w:val="nil"/>
              <w:left w:val="nil"/>
              <w:bottom w:val="nil"/>
              <w:right w:val="nil"/>
            </w:tcBorders>
            <w:shd w:val="clear" w:color="auto" w:fill="auto"/>
            <w:vAlign w:val="center"/>
          </w:tcPr>
          <w:p w14:paraId="39AAC545"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D7227A">
              <w:rPr>
                <w:rFonts w:cs="Arial"/>
                <w:b/>
                <w:szCs w:val="14"/>
                <w:lang w:eastAsia="en-US"/>
              </w:rPr>
              <w:t>26,773</w:t>
            </w:r>
          </w:p>
        </w:tc>
        <w:tc>
          <w:tcPr>
            <w:tcW w:w="280" w:type="dxa"/>
            <w:tcBorders>
              <w:top w:val="nil"/>
              <w:left w:val="nil"/>
              <w:bottom w:val="nil"/>
              <w:right w:val="nil"/>
            </w:tcBorders>
            <w:shd w:val="clear" w:color="auto" w:fill="auto"/>
            <w:vAlign w:val="center"/>
          </w:tcPr>
          <w:p w14:paraId="675EB2B1"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36FA2D35"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D7227A">
              <w:rPr>
                <w:rFonts w:cs="Arial"/>
                <w:b/>
                <w:szCs w:val="14"/>
                <w:lang w:eastAsia="en-US"/>
              </w:rPr>
              <w:t>80,429</w:t>
            </w:r>
          </w:p>
        </w:tc>
        <w:tc>
          <w:tcPr>
            <w:tcW w:w="1417" w:type="dxa"/>
            <w:tcBorders>
              <w:top w:val="nil"/>
              <w:left w:val="nil"/>
              <w:bottom w:val="nil"/>
              <w:right w:val="nil"/>
            </w:tcBorders>
            <w:shd w:val="clear" w:color="auto" w:fill="auto"/>
            <w:vAlign w:val="center"/>
          </w:tcPr>
          <w:p w14:paraId="36A51C3A" w14:textId="77777777" w:rsidR="00991E72" w:rsidRPr="00D7227A"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sidRPr="00D7227A">
              <w:rPr>
                <w:rFonts w:cs="Arial"/>
                <w:b/>
                <w:szCs w:val="14"/>
                <w:lang w:eastAsia="en-US"/>
              </w:rPr>
              <w:t>28,716</w:t>
            </w:r>
          </w:p>
        </w:tc>
      </w:tr>
      <w:tr w:rsidR="00991E72" w:rsidRPr="009C6064" w14:paraId="39520537"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42A2D32" w14:textId="77777777" w:rsidR="00991E72" w:rsidRDefault="00991E72" w:rsidP="00991E72">
            <w:pPr>
              <w:pStyle w:val="08-Tabelageral"/>
              <w:ind w:left="176"/>
              <w:jc w:val="left"/>
              <w:rPr>
                <w:b w:val="0"/>
              </w:rPr>
            </w:pPr>
            <w:r w:rsidRPr="0001687E">
              <w:rPr>
                <w:b w:val="0"/>
              </w:rPr>
              <w:t>Interest</w:t>
            </w:r>
          </w:p>
        </w:tc>
        <w:tc>
          <w:tcPr>
            <w:tcW w:w="709" w:type="dxa"/>
            <w:tcBorders>
              <w:top w:val="nil"/>
              <w:bottom w:val="nil"/>
            </w:tcBorders>
            <w:shd w:val="clear" w:color="auto" w:fill="auto"/>
          </w:tcPr>
          <w:p w14:paraId="7114CAC7" w14:textId="77777777" w:rsidR="00991E72" w:rsidRPr="00DE24BE" w:rsidRDefault="00991E72" w:rsidP="00991E72">
            <w:pPr>
              <w:pStyle w:val="08-Tabelageral"/>
              <w:ind w:left="113"/>
              <w:jc w:val="center"/>
              <w:cnfStyle w:val="000000100000" w:firstRow="0" w:lastRow="0" w:firstColumn="0" w:lastColumn="0" w:oddVBand="0" w:evenVBand="0" w:oddHBand="1" w:evenHBand="0" w:firstRowFirstColumn="0" w:firstRowLastColumn="0" w:lastRowFirstColumn="0" w:lastRowLastColumn="0"/>
            </w:pPr>
            <w:r w:rsidRPr="00DE24BE">
              <w:t>[14]</w:t>
            </w:r>
          </w:p>
        </w:tc>
        <w:tc>
          <w:tcPr>
            <w:tcW w:w="1417" w:type="dxa"/>
            <w:tcBorders>
              <w:top w:val="nil"/>
              <w:left w:val="nil"/>
              <w:bottom w:val="nil"/>
              <w:right w:val="nil"/>
            </w:tcBorders>
            <w:shd w:val="clear" w:color="auto" w:fill="auto"/>
            <w:vAlign w:val="center"/>
          </w:tcPr>
          <w:p w14:paraId="45B4188C"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79,511</w:t>
            </w:r>
          </w:p>
        </w:tc>
        <w:tc>
          <w:tcPr>
            <w:tcW w:w="1418" w:type="dxa"/>
            <w:tcBorders>
              <w:top w:val="nil"/>
              <w:left w:val="nil"/>
              <w:bottom w:val="nil"/>
              <w:right w:val="nil"/>
            </w:tcBorders>
            <w:shd w:val="clear" w:color="auto" w:fill="auto"/>
            <w:vAlign w:val="center"/>
          </w:tcPr>
          <w:p w14:paraId="291E8E33"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26,585</w:t>
            </w:r>
          </w:p>
        </w:tc>
        <w:tc>
          <w:tcPr>
            <w:tcW w:w="280" w:type="dxa"/>
            <w:tcBorders>
              <w:top w:val="nil"/>
              <w:left w:val="nil"/>
              <w:bottom w:val="nil"/>
              <w:right w:val="nil"/>
            </w:tcBorders>
            <w:shd w:val="clear" w:color="auto" w:fill="auto"/>
            <w:vAlign w:val="center"/>
          </w:tcPr>
          <w:p w14:paraId="1441FE1E"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42BE723B"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lang w:eastAsia="en-US"/>
              </w:rPr>
              <w:t>79,597</w:t>
            </w:r>
          </w:p>
        </w:tc>
        <w:tc>
          <w:tcPr>
            <w:tcW w:w="1417" w:type="dxa"/>
            <w:tcBorders>
              <w:top w:val="nil"/>
              <w:left w:val="nil"/>
              <w:bottom w:val="nil"/>
              <w:right w:val="nil"/>
            </w:tcBorders>
            <w:shd w:val="clear" w:color="auto" w:fill="auto"/>
            <w:vAlign w:val="center"/>
          </w:tcPr>
          <w:p w14:paraId="1F311727" w14:textId="77777777" w:rsidR="00991E72" w:rsidRPr="009C6064"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lang w:eastAsia="en-US"/>
              </w:rPr>
              <w:t>27,808</w:t>
            </w:r>
          </w:p>
        </w:tc>
      </w:tr>
      <w:tr w:rsidR="00991E72" w:rsidRPr="009C6064" w14:paraId="139347B6"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A9EE4DA" w14:textId="77777777" w:rsidR="00991E72" w:rsidRPr="009C6064" w:rsidRDefault="00991E72" w:rsidP="00991E72">
            <w:pPr>
              <w:pStyle w:val="08-Tabelageral"/>
              <w:ind w:left="176"/>
              <w:jc w:val="left"/>
              <w:rPr>
                <w:b w:val="0"/>
              </w:rPr>
            </w:pPr>
            <w:r w:rsidRPr="007305B1">
              <w:rPr>
                <w:rStyle w:val="rynqvb"/>
                <w:b w:val="0"/>
                <w:lang w:val="en"/>
              </w:rPr>
              <w:t>Rents</w:t>
            </w:r>
          </w:p>
        </w:tc>
        <w:tc>
          <w:tcPr>
            <w:tcW w:w="709" w:type="dxa"/>
            <w:tcBorders>
              <w:top w:val="nil"/>
              <w:bottom w:val="nil"/>
            </w:tcBorders>
            <w:shd w:val="clear" w:color="auto" w:fill="auto"/>
          </w:tcPr>
          <w:p w14:paraId="5CBE38D0" w14:textId="77777777" w:rsidR="00991E72" w:rsidRPr="009C6064"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0896778E"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191</w:t>
            </w:r>
          </w:p>
        </w:tc>
        <w:tc>
          <w:tcPr>
            <w:tcW w:w="1418" w:type="dxa"/>
            <w:tcBorders>
              <w:top w:val="nil"/>
              <w:left w:val="nil"/>
              <w:bottom w:val="nil"/>
              <w:right w:val="nil"/>
            </w:tcBorders>
            <w:shd w:val="clear" w:color="auto" w:fill="auto"/>
            <w:vAlign w:val="center"/>
          </w:tcPr>
          <w:p w14:paraId="0F753CF5"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188</w:t>
            </w:r>
          </w:p>
        </w:tc>
        <w:tc>
          <w:tcPr>
            <w:tcW w:w="280" w:type="dxa"/>
            <w:tcBorders>
              <w:top w:val="nil"/>
              <w:left w:val="nil"/>
              <w:bottom w:val="nil"/>
              <w:right w:val="nil"/>
            </w:tcBorders>
            <w:shd w:val="clear" w:color="auto" w:fill="auto"/>
            <w:vAlign w:val="center"/>
          </w:tcPr>
          <w:p w14:paraId="1FB04997"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4903DD61"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lang w:eastAsia="en-US"/>
              </w:rPr>
              <w:t>832</w:t>
            </w:r>
          </w:p>
        </w:tc>
        <w:tc>
          <w:tcPr>
            <w:tcW w:w="1417" w:type="dxa"/>
            <w:tcBorders>
              <w:top w:val="nil"/>
              <w:left w:val="nil"/>
              <w:bottom w:val="nil"/>
              <w:right w:val="nil"/>
            </w:tcBorders>
            <w:shd w:val="clear" w:color="auto" w:fill="auto"/>
            <w:vAlign w:val="center"/>
          </w:tcPr>
          <w:p w14:paraId="34509C91" w14:textId="77777777" w:rsidR="00991E72" w:rsidRPr="009C6064"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908</w:t>
            </w:r>
          </w:p>
        </w:tc>
      </w:tr>
      <w:tr w:rsidR="00991E72" w:rsidRPr="00D7227A" w14:paraId="08CFE409" w14:textId="77777777" w:rsidTr="00991E7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432CD36" w14:textId="77777777" w:rsidR="00991E72" w:rsidRPr="00D7227A" w:rsidRDefault="00991E72" w:rsidP="00991E72">
            <w:pPr>
              <w:pStyle w:val="08-Tabelageral"/>
              <w:ind w:left="113"/>
              <w:jc w:val="left"/>
            </w:pPr>
            <w:r w:rsidRPr="00D7227A">
              <w:t>Equity remuneration</w:t>
            </w:r>
          </w:p>
        </w:tc>
        <w:tc>
          <w:tcPr>
            <w:tcW w:w="709" w:type="dxa"/>
            <w:tcBorders>
              <w:top w:val="nil"/>
              <w:bottom w:val="nil"/>
            </w:tcBorders>
            <w:shd w:val="clear" w:color="auto" w:fill="auto"/>
          </w:tcPr>
          <w:p w14:paraId="7BF75E04" w14:textId="77777777" w:rsidR="00991E72" w:rsidRPr="00D7227A" w:rsidRDefault="00991E72" w:rsidP="00991E72">
            <w:pPr>
              <w:pStyle w:val="08-Tabelageral"/>
              <w:ind w:left="113"/>
              <w:jc w:val="left"/>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nil"/>
              <w:left w:val="nil"/>
              <w:bottom w:val="nil"/>
              <w:right w:val="nil"/>
            </w:tcBorders>
            <w:shd w:val="clear" w:color="auto" w:fill="auto"/>
            <w:vAlign w:val="center"/>
          </w:tcPr>
          <w:p w14:paraId="5BDEB1A4"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D7227A">
              <w:rPr>
                <w:rFonts w:cs="Arial"/>
                <w:b/>
                <w:szCs w:val="14"/>
                <w:lang w:eastAsia="en-US"/>
              </w:rPr>
              <w:t>1,832,959</w:t>
            </w:r>
          </w:p>
        </w:tc>
        <w:tc>
          <w:tcPr>
            <w:tcW w:w="1418" w:type="dxa"/>
            <w:tcBorders>
              <w:top w:val="nil"/>
              <w:left w:val="nil"/>
              <w:bottom w:val="nil"/>
              <w:right w:val="nil"/>
            </w:tcBorders>
            <w:shd w:val="clear" w:color="auto" w:fill="auto"/>
            <w:vAlign w:val="center"/>
          </w:tcPr>
          <w:p w14:paraId="0951D9E4"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D7227A">
              <w:rPr>
                <w:rFonts w:cs="Arial"/>
                <w:b/>
                <w:szCs w:val="14"/>
                <w:lang w:eastAsia="en-US"/>
              </w:rPr>
              <w:t>1,209,517</w:t>
            </w:r>
          </w:p>
        </w:tc>
        <w:tc>
          <w:tcPr>
            <w:tcW w:w="280" w:type="dxa"/>
            <w:tcBorders>
              <w:top w:val="nil"/>
              <w:left w:val="nil"/>
              <w:bottom w:val="nil"/>
              <w:right w:val="nil"/>
            </w:tcBorders>
            <w:shd w:val="clear" w:color="auto" w:fill="auto"/>
            <w:vAlign w:val="center"/>
          </w:tcPr>
          <w:p w14:paraId="2420B63A"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left w:val="nil"/>
              <w:bottom w:val="nil"/>
              <w:right w:val="nil"/>
            </w:tcBorders>
            <w:shd w:val="clear" w:color="auto" w:fill="auto"/>
            <w:vAlign w:val="center"/>
          </w:tcPr>
          <w:p w14:paraId="15FBA3F8"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D7227A">
              <w:rPr>
                <w:rFonts w:cs="Arial"/>
                <w:b/>
                <w:szCs w:val="14"/>
                <w:lang w:eastAsia="en-US"/>
              </w:rPr>
              <w:t>1,832,959</w:t>
            </w:r>
          </w:p>
        </w:tc>
        <w:tc>
          <w:tcPr>
            <w:tcW w:w="1417" w:type="dxa"/>
            <w:tcBorders>
              <w:top w:val="nil"/>
              <w:left w:val="nil"/>
              <w:bottom w:val="nil"/>
              <w:right w:val="nil"/>
            </w:tcBorders>
            <w:shd w:val="clear" w:color="auto" w:fill="auto"/>
          </w:tcPr>
          <w:p w14:paraId="71CE0CD9" w14:textId="77777777" w:rsidR="00991E72" w:rsidRPr="00D7227A" w:rsidRDefault="00991E72" w:rsidP="00991E72">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D7227A">
              <w:rPr>
                <w:b/>
                <w:lang w:eastAsia="en-US"/>
              </w:rPr>
              <w:t>1,209,517</w:t>
            </w:r>
          </w:p>
        </w:tc>
      </w:tr>
      <w:tr w:rsidR="00991E72" w:rsidRPr="005F0714" w14:paraId="39A1E1D0" w14:textId="77777777" w:rsidTr="00991E72">
        <w:trPr>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4E79" w:themeColor="accent1" w:themeShade="80"/>
            </w:tcBorders>
            <w:shd w:val="clear" w:color="auto" w:fill="auto"/>
            <w:vAlign w:val="center"/>
          </w:tcPr>
          <w:p w14:paraId="2A6BE2D8" w14:textId="77777777" w:rsidR="00991E72" w:rsidRPr="007145AE" w:rsidRDefault="00991E72" w:rsidP="00991E72">
            <w:pPr>
              <w:pStyle w:val="08-Tabelageral"/>
              <w:ind w:left="113" w:firstLine="63"/>
              <w:jc w:val="left"/>
              <w:rPr>
                <w:b w:val="0"/>
                <w:bCs w:val="0"/>
                <w:lang w:val="en-US"/>
              </w:rPr>
            </w:pPr>
            <w:r w:rsidRPr="007305B1">
              <w:rPr>
                <w:rStyle w:val="shorttext"/>
                <w:b w:val="0"/>
                <w:bCs w:val="0"/>
                <w:lang w:val="en"/>
              </w:rPr>
              <w:t>Retained earnings for the period</w:t>
            </w:r>
          </w:p>
        </w:tc>
        <w:tc>
          <w:tcPr>
            <w:tcW w:w="709" w:type="dxa"/>
            <w:tcBorders>
              <w:top w:val="nil"/>
              <w:bottom w:val="single" w:sz="2" w:space="0" w:color="1F4E79" w:themeColor="accent1" w:themeShade="80"/>
            </w:tcBorders>
            <w:shd w:val="clear" w:color="auto" w:fill="auto"/>
            <w:vAlign w:val="center"/>
          </w:tcPr>
          <w:p w14:paraId="07EA4D71" w14:textId="77777777" w:rsidR="00991E72" w:rsidRPr="00FD7EA2" w:rsidRDefault="00991E72" w:rsidP="00991E72">
            <w:pPr>
              <w:pStyle w:val="08-Tabelageral"/>
              <w:ind w:left="113"/>
              <w:jc w:val="center"/>
              <w:cnfStyle w:val="000000000000" w:firstRow="0" w:lastRow="0" w:firstColumn="0" w:lastColumn="0" w:oddVBand="0" w:evenVBand="0" w:oddHBand="0" w:evenHBand="0" w:firstRowFirstColumn="0" w:firstRowLastColumn="0" w:lastRowFirstColumn="0" w:lastRowLastColumn="0"/>
              <w:rPr>
                <w:b/>
                <w:lang w:val="en-US"/>
              </w:rPr>
            </w:pPr>
          </w:p>
        </w:tc>
        <w:tc>
          <w:tcPr>
            <w:tcW w:w="1417" w:type="dxa"/>
            <w:tcBorders>
              <w:top w:val="nil"/>
              <w:left w:val="nil"/>
              <w:bottom w:val="single" w:sz="2" w:space="0" w:color="1F4E79" w:themeColor="accent1" w:themeShade="80"/>
              <w:right w:val="nil"/>
            </w:tcBorders>
            <w:vAlign w:val="center"/>
          </w:tcPr>
          <w:p w14:paraId="42A99AC7" w14:textId="77777777" w:rsidR="00991E72" w:rsidRPr="00BA3C7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1,832,959</w:t>
            </w:r>
          </w:p>
        </w:tc>
        <w:tc>
          <w:tcPr>
            <w:tcW w:w="1418" w:type="dxa"/>
            <w:tcBorders>
              <w:top w:val="nil"/>
              <w:left w:val="nil"/>
              <w:bottom w:val="single" w:sz="2" w:space="0" w:color="1F4E79" w:themeColor="accent1" w:themeShade="80"/>
              <w:right w:val="nil"/>
            </w:tcBorders>
            <w:vAlign w:val="center"/>
          </w:tcPr>
          <w:p w14:paraId="7FA39D01" w14:textId="77777777" w:rsidR="00991E72" w:rsidRPr="00BA3C7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1,209,517</w:t>
            </w:r>
          </w:p>
        </w:tc>
        <w:tc>
          <w:tcPr>
            <w:tcW w:w="280" w:type="dxa"/>
            <w:tcBorders>
              <w:top w:val="nil"/>
              <w:left w:val="nil"/>
              <w:bottom w:val="single" w:sz="2" w:space="0" w:color="1F4E79" w:themeColor="accent1" w:themeShade="80"/>
              <w:right w:val="nil"/>
            </w:tcBorders>
            <w:vAlign w:val="center"/>
          </w:tcPr>
          <w:p w14:paraId="42CB31F7" w14:textId="77777777" w:rsidR="00991E72" w:rsidRPr="00BA3C7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left w:val="nil"/>
              <w:bottom w:val="single" w:sz="2" w:space="0" w:color="1F4E79" w:themeColor="accent1" w:themeShade="80"/>
              <w:right w:val="nil"/>
            </w:tcBorders>
            <w:vAlign w:val="center"/>
          </w:tcPr>
          <w:p w14:paraId="08489B4A" w14:textId="77777777" w:rsidR="00991E72" w:rsidRPr="00BA3C7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1,832,959</w:t>
            </w:r>
          </w:p>
        </w:tc>
        <w:tc>
          <w:tcPr>
            <w:tcW w:w="1417" w:type="dxa"/>
            <w:tcBorders>
              <w:top w:val="nil"/>
              <w:left w:val="nil"/>
              <w:bottom w:val="single" w:sz="2" w:space="0" w:color="1F4E79" w:themeColor="accent1" w:themeShade="80"/>
              <w:right w:val="nil"/>
            </w:tcBorders>
          </w:tcPr>
          <w:p w14:paraId="647A0F17" w14:textId="77777777" w:rsidR="00991E72" w:rsidRPr="00BA3C79" w:rsidRDefault="00991E72" w:rsidP="00991E72">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1,209,517</w:t>
            </w:r>
          </w:p>
        </w:tc>
      </w:tr>
    </w:tbl>
    <w:p w14:paraId="1260B717" w14:textId="77777777" w:rsidR="00991E72" w:rsidRPr="00BD6C7E" w:rsidRDefault="00991E72" w:rsidP="00991E72">
      <w:pPr>
        <w:rPr>
          <w:rFonts w:cs="Arial"/>
          <w:sz w:val="14"/>
          <w:szCs w:val="14"/>
          <w:lang w:val="en-US"/>
        </w:rPr>
      </w:pPr>
      <w:r w:rsidRPr="00636ED4">
        <w:rPr>
          <w:rFonts w:eastAsia="Times New Roman" w:cs="Times New Roman"/>
          <w:spacing w:val="-2"/>
          <w:sz w:val="14"/>
          <w:szCs w:val="18"/>
          <w:lang w:val="en-US" w:eastAsia="pt-BR"/>
        </w:rPr>
        <w:t>The explanatory notes are an integral part of the interim financial statements. The opening balance sheet and restatements refer to the adoption of CPC 50 [IFRS 17] – Insurance Contracts and CPC 48 [IFRS 9] – Financial Instruments, whose effects are detailed in Note 03 - Presentation of Financial Statements.</w:t>
      </w:r>
    </w:p>
    <w:p w14:paraId="1889960C" w14:textId="1A67CB0F" w:rsidR="00822FBD" w:rsidRPr="00C72009" w:rsidRDefault="00822FBD">
      <w:pPr>
        <w:rPr>
          <w:rFonts w:cs="Arial"/>
          <w:b/>
          <w:spacing w:val="-2"/>
          <w:sz w:val="20"/>
          <w:lang w:val="en-US"/>
        </w:rPr>
      </w:pPr>
      <w:r w:rsidRPr="00C72009">
        <w:rPr>
          <w:rFonts w:cs="Arial"/>
          <w:b/>
          <w:spacing w:val="-2"/>
          <w:sz w:val="20"/>
          <w:lang w:val="en-US"/>
        </w:rPr>
        <w:br w:type="page"/>
      </w:r>
    </w:p>
    <w:p w14:paraId="69D09259" w14:textId="023CE0B4" w:rsidR="00054E01" w:rsidRPr="00613FF1" w:rsidRDefault="006D4EB8" w:rsidP="00FC4475">
      <w:pPr>
        <w:pStyle w:val="Ttulo1"/>
      </w:pPr>
      <w:bookmarkStart w:id="13" w:name="_Toc110438600"/>
      <w:bookmarkStart w:id="14" w:name="_Toc134823562"/>
      <w:r w:rsidRPr="00613FF1">
        <w:lastRenderedPageBreak/>
        <w:t>EXPLANATORY NOTES TO THE FINANCIAL STATEMENTS</w:t>
      </w:r>
      <w:bookmarkEnd w:id="13"/>
      <w:bookmarkEnd w:id="14"/>
    </w:p>
    <w:p w14:paraId="45A00B9D" w14:textId="6ABE4DDE" w:rsidR="00014575" w:rsidRPr="00E53CE7" w:rsidRDefault="00014575" w:rsidP="00991E72">
      <w:pPr>
        <w:pStyle w:val="Ttulo1"/>
        <w:rPr>
          <w:b w:val="0"/>
          <w:bCs w:val="0"/>
          <w:szCs w:val="12"/>
        </w:rPr>
      </w:pPr>
      <w:bookmarkStart w:id="15" w:name="_Toc134823563"/>
      <w:r w:rsidRPr="00E53CE7">
        <w:rPr>
          <w:szCs w:val="12"/>
        </w:rPr>
        <w:t>1 - OPERATIONAL CONTEXT</w:t>
      </w:r>
      <w:bookmarkEnd w:id="15"/>
    </w:p>
    <w:p w14:paraId="27EA699E" w14:textId="77777777" w:rsidR="00014575" w:rsidRPr="00F66E79" w:rsidRDefault="00014575">
      <w:pPr>
        <w:pStyle w:val="05-Textonormal"/>
        <w:rPr>
          <w:lang w:val="en-US"/>
        </w:rPr>
      </w:pPr>
      <w:r w:rsidRPr="00F66E79">
        <w:rPr>
          <w:lang w:val="en-US"/>
        </w:rPr>
        <w:t>BB Seguridade Participações S.A. (“BB Seguridade” or “Company”) is a</w:t>
      </w:r>
      <w:r w:rsidRPr="00F66E79">
        <w:rPr>
          <w:i/>
          <w:lang w:val="en-US"/>
        </w:rPr>
        <w:t xml:space="preserve"> holding</w:t>
      </w:r>
      <w:r w:rsidRPr="00F66E79">
        <w:rPr>
          <w:lang w:val="en-US"/>
        </w:rPr>
        <w:t xml:space="preserve"> company controlled by Banco do Brasil SA, incorporated on December 20th, 2012, which operates in insurance business. It is a publicly-held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66E2953C" w14:textId="77777777" w:rsidR="00014575" w:rsidRPr="00F66E79" w:rsidRDefault="00014575">
      <w:pPr>
        <w:pStyle w:val="05-Textonormal"/>
        <w:rPr>
          <w:lang w:val="en-US"/>
        </w:rPr>
      </w:pPr>
      <w:r w:rsidRPr="00F66E79">
        <w:rPr>
          <w:lang w:val="en-US"/>
        </w:rPr>
        <w:t>It is registered with the CNPJ under No. 17.344.597/0001-94 and headquartered in the Northern Local Government Sector, Quadra 05, Lote B, Torre Sul, 3rd Floor, Banco do Brasil Building, Asa Norte, Brasília, Distrito Federal, Brazil.</w:t>
      </w:r>
    </w:p>
    <w:p w14:paraId="1D83F98A" w14:textId="77777777" w:rsidR="00014575" w:rsidRPr="00F66E79" w:rsidRDefault="00014575">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6B08D555" w14:textId="77777777" w:rsidR="00014575" w:rsidRPr="00F66E79" w:rsidRDefault="00014575">
      <w:pPr>
        <w:pStyle w:val="05-Textonormal"/>
        <w:rPr>
          <w:lang w:val="en-US"/>
        </w:rPr>
      </w:pPr>
      <w:r w:rsidRPr="00F66E79">
        <w:rPr>
          <w:lang w:val="en-US"/>
        </w:rPr>
        <w:t>BB Seguridade has, among its equity stake, two wholly-owned</w:t>
      </w:r>
      <w:r>
        <w:rPr>
          <w:lang w:val="en-US"/>
        </w:rPr>
        <w:t xml:space="preserve"> </w:t>
      </w:r>
      <w:r w:rsidRPr="00F66E79">
        <w:rPr>
          <w:lang w:val="en-US"/>
        </w:rPr>
        <w:t>subsidiaries, BB Seguros Participações S.A. ("BB Seguros") and BB Corretora de Seguros e Administradora de Bens S.A. ("BB Corretora"), the corporate structure that makes up the BB Seguridade Group ("Group").</w:t>
      </w:r>
    </w:p>
    <w:p w14:paraId="4CED128B" w14:textId="77777777" w:rsidR="00014575" w:rsidRPr="00F66E79" w:rsidRDefault="00014575">
      <w:pPr>
        <w:pStyle w:val="05-Textonormal"/>
        <w:rPr>
          <w:lang w:val="en-US"/>
        </w:rPr>
      </w:pPr>
      <w:r w:rsidRPr="00F66E79">
        <w:rPr>
          <w:lang w:val="en-US"/>
        </w:rPr>
        <w:t>Such stake is currently organized into two segments: risk and accumulation businesses, which operate insurance, open pension funds, capitalization and dental care plans products through BB Seguros with private partners; and distribution business, which sells insurance, open pension funds, capitalization bonds and private dental care plans, through BB Corretora, in addition to an investment that operates in the distribution of insurance products through digital channels.</w:t>
      </w:r>
    </w:p>
    <w:p w14:paraId="3DED314B" w14:textId="77777777" w:rsidR="00014575" w:rsidRDefault="00014575" w:rsidP="00991E72">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Brasilprev, Brasilcap and Brasildental, which are directly invested in by BB Seguros, and indirectly in the companies</w:t>
      </w:r>
      <w:r>
        <w:rPr>
          <w:lang w:val="en-US"/>
        </w:rPr>
        <w:t xml:space="preserve"> </w:t>
      </w:r>
      <w:r w:rsidRPr="00F66E79">
        <w:rPr>
          <w:lang w:val="en-US"/>
        </w:rPr>
        <w:t>Brasilseg and Aliança do Brasil Seguros, subsidiaries of BB M</w:t>
      </w:r>
      <w:r>
        <w:rPr>
          <w:lang w:val="en-US"/>
        </w:rPr>
        <w:t>APFRE</w:t>
      </w:r>
      <w:r w:rsidRPr="00F66E79">
        <w:rPr>
          <w:lang w:val="en-US"/>
        </w:rPr>
        <w:t xml:space="preserve">. In the distribution business, </w:t>
      </w:r>
      <w:r w:rsidRPr="00BD3B12">
        <w:rPr>
          <w:lang w:val="en-US"/>
        </w:rPr>
        <w:t>it operates through BB Corretora, which holds a stake in the investee Ciclic</w:t>
      </w:r>
      <w:r>
        <w:rPr>
          <w:lang w:val="en-US"/>
        </w:rPr>
        <w:t>.</w:t>
      </w:r>
    </w:p>
    <w:p w14:paraId="4F88D912" w14:textId="77777777" w:rsidR="00014575" w:rsidRDefault="00014575" w:rsidP="00991E72">
      <w:pPr>
        <w:pStyle w:val="05-Textonormal"/>
        <w:rPr>
          <w:lang w:val="en-US"/>
        </w:rPr>
      </w:pPr>
      <w:r w:rsidRPr="00A97AA9">
        <w:rPr>
          <w:lang w:val="en-US"/>
        </w:rPr>
        <w:t>We present below the corporate structure of the Company:</w:t>
      </w:r>
    </w:p>
    <w:p w14:paraId="4FFC64AD" w14:textId="77777777" w:rsidR="00014575" w:rsidRDefault="00014575" w:rsidP="00991E72">
      <w:pPr>
        <w:pStyle w:val="05-Textonormal"/>
        <w:rPr>
          <w:lang w:val="en-US"/>
        </w:rPr>
      </w:pPr>
      <w:r>
        <w:rPr>
          <w:noProof/>
        </w:rPr>
        <w:drawing>
          <wp:inline distT="0" distB="0" distL="0" distR="0" wp14:anchorId="723FB36A" wp14:editId="10D2DA21">
            <wp:extent cx="6120130" cy="3695700"/>
            <wp:effectExtent l="0" t="0" r="0" b="0"/>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pic:nvPicPr>
                  <pic:blipFill>
                    <a:blip r:embed="rId29"/>
                    <a:stretch>
                      <a:fillRect/>
                    </a:stretch>
                  </pic:blipFill>
                  <pic:spPr>
                    <a:xfrm>
                      <a:off x="0" y="0"/>
                      <a:ext cx="6120130" cy="3695700"/>
                    </a:xfrm>
                    <a:prstGeom prst="rect">
                      <a:avLst/>
                    </a:prstGeom>
                  </pic:spPr>
                </pic:pic>
              </a:graphicData>
            </a:graphic>
          </wp:inline>
        </w:drawing>
      </w:r>
    </w:p>
    <w:p w14:paraId="20AF1239" w14:textId="77777777" w:rsidR="00014575" w:rsidRPr="009A2AAD" w:rsidRDefault="00014575" w:rsidP="00991E72">
      <w:pPr>
        <w:pStyle w:val="05-Textonormal"/>
        <w:rPr>
          <w:lang w:val="en-US"/>
        </w:rPr>
      </w:pPr>
      <w:r w:rsidRPr="009A2AAD">
        <w:rPr>
          <w:lang w:val="en-US"/>
        </w:rPr>
        <w:t>BB MAPFRE has a direct stake in the companies Brasilseg Companhia de Seguros and Aliança do Brasil Seguros S.A. and indirectly in the company Broto S.A. (invested by Brasilseg)</w:t>
      </w:r>
      <w:r>
        <w:rPr>
          <w:lang w:val="en-US"/>
        </w:rPr>
        <w:t>.</w:t>
      </w:r>
    </w:p>
    <w:p w14:paraId="1A6A5E80" w14:textId="02289A91" w:rsidR="00817069" w:rsidRPr="00E141D8" w:rsidRDefault="00817069" w:rsidP="00817069">
      <w:pPr>
        <w:pStyle w:val="01-Textonormal"/>
        <w:rPr>
          <w:lang w:val="en-US"/>
        </w:rPr>
      </w:pPr>
    </w:p>
    <w:p w14:paraId="1E731E76" w14:textId="77777777" w:rsidR="008C707F" w:rsidRPr="0023652C" w:rsidRDefault="008C707F" w:rsidP="00991E72">
      <w:pPr>
        <w:pStyle w:val="02-TtulodeNota"/>
        <w:tabs>
          <w:tab w:val="left" w:pos="5245"/>
        </w:tabs>
        <w:rPr>
          <w:rFonts w:cs="Arial"/>
          <w:sz w:val="18"/>
          <w:szCs w:val="18"/>
          <w:lang w:val="en-US"/>
        </w:rPr>
      </w:pPr>
    </w:p>
    <w:p w14:paraId="43909797" w14:textId="77777777" w:rsidR="008C707F" w:rsidRPr="0023652C" w:rsidRDefault="008C707F" w:rsidP="00991E72">
      <w:pPr>
        <w:pStyle w:val="02-TtulodeNota"/>
        <w:tabs>
          <w:tab w:val="left" w:pos="5245"/>
        </w:tabs>
        <w:rPr>
          <w:rFonts w:cs="Arial"/>
          <w:sz w:val="18"/>
          <w:szCs w:val="18"/>
          <w:lang w:val="en-US"/>
        </w:rPr>
      </w:pPr>
    </w:p>
    <w:p w14:paraId="208E7DA3" w14:textId="77777777" w:rsidR="001A2EC3" w:rsidRPr="00D3472F" w:rsidRDefault="001A2EC3" w:rsidP="00991E72">
      <w:pPr>
        <w:pStyle w:val="02-TtulodeNota"/>
        <w:tabs>
          <w:tab w:val="left" w:pos="5245"/>
        </w:tabs>
        <w:rPr>
          <w:rFonts w:cs="Arial"/>
          <w:sz w:val="18"/>
          <w:szCs w:val="18"/>
          <w:lang w:val="en-US"/>
        </w:rPr>
      </w:pPr>
    </w:p>
    <w:p w14:paraId="6B706B86" w14:textId="756A1806" w:rsidR="00991E72" w:rsidRPr="0041771F" w:rsidRDefault="00991E72" w:rsidP="00991E72">
      <w:pPr>
        <w:pStyle w:val="02-TtulodeNota"/>
        <w:tabs>
          <w:tab w:val="left" w:pos="5245"/>
        </w:tabs>
        <w:rPr>
          <w:color w:val="1F4E79" w:themeColor="accent1" w:themeShade="80"/>
        </w:rPr>
      </w:pPr>
      <w:bookmarkStart w:id="16" w:name="_Toc134823564"/>
      <w:r w:rsidRPr="0041771F">
        <w:rPr>
          <w:color w:val="1F4E79" w:themeColor="accent1" w:themeShade="80"/>
        </w:rPr>
        <w:t>2 – ACQUISITIONS, DISPOSALS AND CORPORATE RESTRUCTURINGS</w:t>
      </w:r>
      <w:bookmarkEnd w:id="16"/>
    </w:p>
    <w:p w14:paraId="52D9DD7A" w14:textId="77777777" w:rsidR="00991E72" w:rsidRPr="0042577F" w:rsidRDefault="00991E72" w:rsidP="00991E72">
      <w:pPr>
        <w:pStyle w:val="05-Textonormal"/>
        <w:rPr>
          <w:b/>
          <w:snapToGrid w:val="0"/>
          <w:color w:val="1F4E79" w:themeColor="accent1" w:themeShade="80"/>
        </w:rPr>
      </w:pPr>
      <w:r w:rsidRPr="0042577F">
        <w:rPr>
          <w:b/>
          <w:snapToGrid w:val="0"/>
          <w:color w:val="1F4E79" w:themeColor="accent1" w:themeShade="80"/>
        </w:rPr>
        <w:lastRenderedPageBreak/>
        <w:t>a) Broto S.A.</w:t>
      </w:r>
    </w:p>
    <w:p w14:paraId="0B127D72" w14:textId="77777777" w:rsidR="00991E72" w:rsidRDefault="00991E72" w:rsidP="00991E72">
      <w:pPr>
        <w:pStyle w:val="05-Textonormal"/>
      </w:pPr>
      <w:r w:rsidRPr="00F92F4E">
        <w:t xml:space="preserve">In line with the Notice to the Market released on October 13, 2022, the Board of Directors of BB Seguridade </w:t>
      </w:r>
      <w:r w:rsidRPr="0077014C">
        <w:t>has approved the execution of the final agreements regarding the creation of a</w:t>
      </w:r>
      <w:r>
        <w:t xml:space="preserve"> new company named Broto S.A. (</w:t>
      </w:r>
      <w:r w:rsidRPr="0077014C">
        <w:t>Broto), which will run the businesses of the Broto Digital Platform, in a partnership between Brasilseg Companhia de Seguros (Brasilseg or Insurance Company), an investee of BB Seguros Participações S.A. (BB Seguros), with Banco do Brasil S.A. (BB)</w:t>
      </w:r>
      <w:r>
        <w:t>.</w:t>
      </w:r>
    </w:p>
    <w:p w14:paraId="5F633602" w14:textId="77777777" w:rsidR="00991E72" w:rsidRDefault="00991E72" w:rsidP="00991E72">
      <w:pPr>
        <w:pStyle w:val="05-Textonormal"/>
        <w:rPr>
          <w:snapToGrid w:val="0"/>
        </w:rPr>
      </w:pPr>
      <w:r>
        <w:t>The Broto’s capital has the following distribution:</w:t>
      </w:r>
    </w:p>
    <w:tbl>
      <w:tblPr>
        <w:tblStyle w:val="TabeladeLista6Colorida-nfase5"/>
        <w:tblW w:w="9642" w:type="dxa"/>
        <w:tblLayout w:type="fixed"/>
        <w:tblLook w:val="04A0" w:firstRow="1" w:lastRow="0" w:firstColumn="1" w:lastColumn="0" w:noHBand="0" w:noVBand="1"/>
      </w:tblPr>
      <w:tblGrid>
        <w:gridCol w:w="2552"/>
        <w:gridCol w:w="2362"/>
        <w:gridCol w:w="2362"/>
        <w:gridCol w:w="2366"/>
      </w:tblGrid>
      <w:tr w:rsidR="00991E72" w14:paraId="36689035" w14:textId="77777777" w:rsidTr="00991E72">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left w:val="nil"/>
              <w:bottom w:val="single" w:sz="2" w:space="0" w:color="1F4E79" w:themeColor="accent1" w:themeShade="80"/>
              <w:right w:val="nil"/>
            </w:tcBorders>
            <w:vAlign w:val="center"/>
            <w:hideMark/>
          </w:tcPr>
          <w:p w14:paraId="7C1BE262" w14:textId="77777777" w:rsidR="00991E72" w:rsidRDefault="00991E72">
            <w:pPr>
              <w:rPr>
                <w:rFonts w:cs="Arial"/>
                <w:szCs w:val="18"/>
              </w:rPr>
            </w:pPr>
            <w:r w:rsidRPr="0016495E">
              <w:rPr>
                <w:rFonts w:cs="Arial"/>
                <w:sz w:val="14"/>
                <w:szCs w:val="14"/>
              </w:rPr>
              <w:t>Shareholders</w:t>
            </w:r>
          </w:p>
        </w:tc>
        <w:tc>
          <w:tcPr>
            <w:tcW w:w="7090" w:type="dxa"/>
            <w:gridSpan w:val="3"/>
            <w:tcBorders>
              <w:top w:val="single" w:sz="2" w:space="0" w:color="1F4E79" w:themeColor="accent1" w:themeShade="80"/>
              <w:left w:val="nil"/>
              <w:bottom w:val="single" w:sz="2" w:space="0" w:color="1F4E79" w:themeColor="accent1" w:themeShade="80"/>
              <w:right w:val="nil"/>
            </w:tcBorders>
            <w:vAlign w:val="center"/>
            <w:hideMark/>
          </w:tcPr>
          <w:p w14:paraId="54C8CCE0" w14:textId="77777777" w:rsidR="00991E72" w:rsidRDefault="00991E7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Stake (%)</w:t>
            </w:r>
          </w:p>
        </w:tc>
      </w:tr>
      <w:tr w:rsidR="00991E72" w14:paraId="4DBEE3B2" w14:textId="77777777" w:rsidTr="00991E7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left w:val="nil"/>
              <w:bottom w:val="single" w:sz="2" w:space="0" w:color="1F4E79" w:themeColor="accent1" w:themeShade="80"/>
              <w:right w:val="nil"/>
            </w:tcBorders>
            <w:vAlign w:val="center"/>
            <w:hideMark/>
          </w:tcPr>
          <w:p w14:paraId="64710B22" w14:textId="77777777" w:rsidR="00991E72" w:rsidRDefault="00991E72">
            <w:pPr>
              <w:rPr>
                <w:rFonts w:cs="Arial"/>
                <w:szCs w:val="18"/>
              </w:rPr>
            </w:pP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FC4F4EF" w14:textId="77777777" w:rsidR="00991E72" w:rsidRDefault="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Voting</w:t>
            </w:r>
            <w:r w:rsidRPr="0016495E">
              <w:rPr>
                <w:rFonts w:eastAsia="Times New Roman" w:cs="Arial"/>
                <w:b/>
                <w:spacing w:val="-2"/>
                <w:sz w:val="14"/>
                <w:szCs w:val="14"/>
              </w:rPr>
              <w:t xml:space="preserve"> Shares</w:t>
            </w: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1F57002" w14:textId="77777777" w:rsidR="00991E72" w:rsidRDefault="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16495E">
              <w:rPr>
                <w:rFonts w:eastAsia="Times New Roman" w:cs="Arial"/>
                <w:b/>
                <w:spacing w:val="-2"/>
                <w:sz w:val="14"/>
                <w:szCs w:val="14"/>
              </w:rPr>
              <w:t>Preferred Shares</w:t>
            </w:r>
          </w:p>
        </w:tc>
        <w:tc>
          <w:tcPr>
            <w:tcW w:w="236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FD6C7E1" w14:textId="77777777" w:rsidR="00991E72" w:rsidRDefault="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Total</w:t>
            </w:r>
          </w:p>
        </w:tc>
      </w:tr>
      <w:tr w:rsidR="00991E72" w14:paraId="5F95AE48" w14:textId="77777777" w:rsidTr="00991E72">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left w:val="nil"/>
              <w:bottom w:val="nil"/>
              <w:right w:val="nil"/>
            </w:tcBorders>
            <w:vAlign w:val="center"/>
            <w:hideMark/>
          </w:tcPr>
          <w:p w14:paraId="2F31FF27" w14:textId="77777777" w:rsidR="00991E72" w:rsidRDefault="00991E72">
            <w:pPr>
              <w:keepNext/>
              <w:keepLines/>
              <w:spacing w:before="40" w:after="40"/>
              <w:rPr>
                <w:rFonts w:eastAsia="Times New Roman" w:cs="Arial"/>
                <w:b w:val="0"/>
                <w:spacing w:val="-2"/>
                <w:sz w:val="14"/>
                <w:szCs w:val="14"/>
              </w:rPr>
            </w:pPr>
            <w:r>
              <w:rPr>
                <w:rFonts w:eastAsia="Times New Roman" w:cs="Arial"/>
                <w:b w:val="0"/>
                <w:spacing w:val="-2"/>
                <w:sz w:val="14"/>
                <w:szCs w:val="14"/>
              </w:rPr>
              <w:t>BB</w:t>
            </w:r>
          </w:p>
        </w:tc>
        <w:tc>
          <w:tcPr>
            <w:tcW w:w="2362" w:type="dxa"/>
            <w:tcBorders>
              <w:top w:val="single" w:sz="2" w:space="0" w:color="1F4E79" w:themeColor="accent1" w:themeShade="80"/>
              <w:left w:val="nil"/>
              <w:bottom w:val="nil"/>
              <w:right w:val="nil"/>
            </w:tcBorders>
            <w:vAlign w:val="center"/>
            <w:hideMark/>
          </w:tcPr>
          <w:p w14:paraId="2C164CB1" w14:textId="77777777" w:rsidR="00991E72" w:rsidRDefault="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w:t>
            </w:r>
          </w:p>
        </w:tc>
        <w:tc>
          <w:tcPr>
            <w:tcW w:w="2362" w:type="dxa"/>
            <w:tcBorders>
              <w:top w:val="single" w:sz="2" w:space="0" w:color="1F4E79" w:themeColor="accent1" w:themeShade="80"/>
              <w:left w:val="nil"/>
              <w:bottom w:val="nil"/>
              <w:right w:val="nil"/>
            </w:tcBorders>
            <w:vAlign w:val="center"/>
            <w:hideMark/>
          </w:tcPr>
          <w:p w14:paraId="6E88EDC0" w14:textId="77777777" w:rsidR="00991E72" w:rsidRDefault="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p>
        </w:tc>
        <w:tc>
          <w:tcPr>
            <w:tcW w:w="2366" w:type="dxa"/>
            <w:tcBorders>
              <w:top w:val="single" w:sz="2" w:space="0" w:color="1F4E79" w:themeColor="accent1" w:themeShade="80"/>
              <w:left w:val="nil"/>
              <w:bottom w:val="nil"/>
              <w:right w:val="nil"/>
            </w:tcBorders>
            <w:vAlign w:val="center"/>
            <w:hideMark/>
          </w:tcPr>
          <w:p w14:paraId="1615DB95" w14:textId="77777777" w:rsidR="00991E72" w:rsidRDefault="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r w:rsidR="00991E72" w14:paraId="4C06CCF0" w14:textId="77777777" w:rsidTr="00991E7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themeColor="accent1" w:themeShade="80"/>
              <w:right w:val="nil"/>
            </w:tcBorders>
            <w:shd w:val="clear" w:color="auto" w:fill="auto"/>
            <w:vAlign w:val="center"/>
            <w:hideMark/>
          </w:tcPr>
          <w:p w14:paraId="0C4BE11E" w14:textId="77777777" w:rsidR="00991E72" w:rsidRPr="0016495E" w:rsidRDefault="00991E72">
            <w:pPr>
              <w:keepNext/>
              <w:keepLines/>
              <w:spacing w:before="40" w:after="40"/>
              <w:rPr>
                <w:rFonts w:eastAsia="Times New Roman" w:cs="Arial"/>
                <w:b w:val="0"/>
                <w:spacing w:val="-2"/>
                <w:sz w:val="14"/>
                <w:szCs w:val="14"/>
              </w:rPr>
            </w:pPr>
            <w:r w:rsidRPr="0016495E">
              <w:rPr>
                <w:rFonts w:eastAsia="Times New Roman" w:cs="Arial"/>
                <w:b w:val="0"/>
                <w:spacing w:val="-2"/>
                <w:sz w:val="14"/>
                <w:szCs w:val="14"/>
              </w:rPr>
              <w:t>Brasilseg</w:t>
            </w:r>
          </w:p>
        </w:tc>
        <w:tc>
          <w:tcPr>
            <w:tcW w:w="2362" w:type="dxa"/>
            <w:tcBorders>
              <w:top w:val="nil"/>
              <w:left w:val="nil"/>
              <w:bottom w:val="single" w:sz="2" w:space="0" w:color="1F4E79" w:themeColor="accent1" w:themeShade="80"/>
              <w:right w:val="nil"/>
            </w:tcBorders>
            <w:shd w:val="clear" w:color="auto" w:fill="auto"/>
            <w:vAlign w:val="center"/>
            <w:hideMark/>
          </w:tcPr>
          <w:p w14:paraId="5607F106" w14:textId="77777777" w:rsidR="00991E72" w:rsidRPr="0016495E" w:rsidRDefault="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100</w:t>
            </w:r>
          </w:p>
        </w:tc>
        <w:tc>
          <w:tcPr>
            <w:tcW w:w="2362" w:type="dxa"/>
            <w:tcBorders>
              <w:top w:val="nil"/>
              <w:left w:val="nil"/>
              <w:bottom w:val="single" w:sz="2" w:space="0" w:color="1F4E79" w:themeColor="accent1" w:themeShade="80"/>
              <w:right w:val="nil"/>
            </w:tcBorders>
            <w:shd w:val="clear" w:color="auto" w:fill="auto"/>
            <w:vAlign w:val="center"/>
            <w:hideMark/>
          </w:tcPr>
          <w:p w14:paraId="09B644B5" w14:textId="77777777" w:rsidR="00991E72" w:rsidRPr="0016495E" w:rsidRDefault="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w:t>
            </w:r>
          </w:p>
        </w:tc>
        <w:tc>
          <w:tcPr>
            <w:tcW w:w="2366" w:type="dxa"/>
            <w:tcBorders>
              <w:top w:val="nil"/>
              <w:left w:val="nil"/>
              <w:bottom w:val="single" w:sz="2" w:space="0" w:color="1F4E79" w:themeColor="accent1" w:themeShade="80"/>
              <w:right w:val="nil"/>
            </w:tcBorders>
            <w:shd w:val="clear" w:color="auto" w:fill="auto"/>
            <w:vAlign w:val="center"/>
            <w:hideMark/>
          </w:tcPr>
          <w:p w14:paraId="307678D8" w14:textId="77777777" w:rsidR="00991E72" w:rsidRDefault="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50</w:t>
            </w:r>
          </w:p>
        </w:tc>
      </w:tr>
    </w:tbl>
    <w:p w14:paraId="3BF0DE31" w14:textId="77777777" w:rsidR="00991E72" w:rsidRDefault="00991E72" w:rsidP="00991E72">
      <w:pPr>
        <w:pStyle w:val="05-Textonormal"/>
        <w:rPr>
          <w:snapToGrid w:val="0"/>
        </w:rPr>
      </w:pPr>
      <w:r w:rsidRPr="00215808">
        <w:rPr>
          <w:snapToGrid w:val="0"/>
        </w:rPr>
        <w:t>Brasilseg invest</w:t>
      </w:r>
      <w:r>
        <w:rPr>
          <w:snapToGrid w:val="0"/>
        </w:rPr>
        <w:t>ed</w:t>
      </w:r>
      <w:r w:rsidRPr="00215808">
        <w:rPr>
          <w:snapToGrid w:val="0"/>
        </w:rPr>
        <w:t xml:space="preserve"> R$</w:t>
      </w:r>
      <w:r>
        <w:rPr>
          <w:snapToGrid w:val="0"/>
        </w:rPr>
        <w:t xml:space="preserve"> </w:t>
      </w:r>
      <w:r w:rsidRPr="00215808">
        <w:rPr>
          <w:snapToGrid w:val="0"/>
        </w:rPr>
        <w:t xml:space="preserve">31.2 million in Broto to achieve the economic stake provided in the aforementioned table (50%), being the amount composed part of cash and the other part of assets related to the Broto Platform, </w:t>
      </w:r>
      <w:r>
        <w:rPr>
          <w:snapToGrid w:val="0"/>
        </w:rPr>
        <w:t>that were</w:t>
      </w:r>
      <w:r w:rsidRPr="00215808">
        <w:rPr>
          <w:snapToGrid w:val="0"/>
        </w:rPr>
        <w:t xml:space="preserve"> held by the Insurance Company. The same amount w</w:t>
      </w:r>
      <w:r>
        <w:rPr>
          <w:snapToGrid w:val="0"/>
        </w:rPr>
        <w:t>as invested</w:t>
      </w:r>
      <w:r w:rsidRPr="00215808">
        <w:rPr>
          <w:snapToGrid w:val="0"/>
        </w:rPr>
        <w:t xml:space="preserve"> by BB to subscribe and pay in the shares corresponding to the other 50% economic stake of the new company.</w:t>
      </w:r>
    </w:p>
    <w:p w14:paraId="2288D0D3" w14:textId="77777777" w:rsidR="00991E72" w:rsidRDefault="00991E72" w:rsidP="00991E72">
      <w:pPr>
        <w:pStyle w:val="05-Textonormal"/>
        <w:rPr>
          <w:snapToGrid w:val="0"/>
        </w:rPr>
      </w:pPr>
      <w:r>
        <w:rPr>
          <w:snapToGrid w:val="0"/>
        </w:rPr>
        <w:t xml:space="preserve">Brasilseg </w:t>
      </w:r>
      <w:r w:rsidRPr="00215808">
        <w:rPr>
          <w:snapToGrid w:val="0"/>
        </w:rPr>
        <w:t>keep the access to Broto Platform to sell its insurances, and it is granted to BB Corretora de Seguros e Administradora de Bens S.A. (BB Corretora), a wholly-owned company of BB Seguridade, the exclusivity to intermediating the commercialization of such products</w:t>
      </w:r>
      <w:r>
        <w:rPr>
          <w:snapToGrid w:val="0"/>
        </w:rPr>
        <w:t>.</w:t>
      </w:r>
    </w:p>
    <w:p w14:paraId="75BFEC04" w14:textId="77777777" w:rsidR="00991E72" w:rsidRPr="000C1170" w:rsidRDefault="00991E72" w:rsidP="00991E72">
      <w:pPr>
        <w:pStyle w:val="05-Textonormal"/>
        <w:rPr>
          <w:snapToGrid w:val="0"/>
        </w:rPr>
      </w:pPr>
      <w:r w:rsidRPr="000C1170">
        <w:rPr>
          <w:snapToGrid w:val="0"/>
        </w:rPr>
        <w:t>On October 28, 2022, Brasilseg, BB and BB Corretora signed, with the intervention and consent of MAPFRE Brasil Participações S.A., BB Seguros and Aliança do Brasil Seguros S.A., the Investment Agreement, establishing, among others, the terms and conditions mentioned above necessary for the constitution of the company Broto. From the implementation of the Precedent Conditions described in the Investment Agreement, related to obtaining the respective regulatory and legal approvals, the operation was consummated on January 4, 2023, the date considered as the closing of the operation and from which the following acts were practiced:</w:t>
      </w:r>
    </w:p>
    <w:p w14:paraId="5ECE4C96" w14:textId="77777777" w:rsidR="00991E72" w:rsidRPr="000C1170" w:rsidRDefault="00991E72" w:rsidP="00991E72">
      <w:pPr>
        <w:pStyle w:val="05-Textonormal"/>
        <w:rPr>
          <w:snapToGrid w:val="0"/>
        </w:rPr>
      </w:pPr>
      <w:r w:rsidRPr="000C1170">
        <w:rPr>
          <w:snapToGrid w:val="0"/>
        </w:rPr>
        <w:t>a. formalization of the Shareholders' Agreement and the Operating Agreements for the sale of products at Broto. The first one was signed between Broto and BB, for the distribution of banking and financial products, and the second one was signed between Broto, Brasilseg, ABS and BB Corretora for the distribution of insurance products;</w:t>
      </w:r>
    </w:p>
    <w:p w14:paraId="2B5D0F81" w14:textId="77777777" w:rsidR="00991E72" w:rsidRPr="000C1170" w:rsidRDefault="00991E72" w:rsidP="00991E72">
      <w:pPr>
        <w:pStyle w:val="05-Textonormal"/>
        <w:rPr>
          <w:snapToGrid w:val="0"/>
        </w:rPr>
      </w:pPr>
      <w:r w:rsidRPr="000C1170">
        <w:rPr>
          <w:snapToGrid w:val="0"/>
        </w:rPr>
        <w:t>b. Broto's First General Meeting, with the signature of the respective minutes and the respective share subscription forms; deliberation of the Bylaws; subscription and payment of share capital; and election of its Executive Board.</w:t>
      </w:r>
    </w:p>
    <w:p w14:paraId="2C2888C1" w14:textId="77777777" w:rsidR="00991E72" w:rsidRDefault="00991E72" w:rsidP="00991E72">
      <w:pPr>
        <w:pStyle w:val="05-Textonormal"/>
        <w:rPr>
          <w:lang w:val="en-US"/>
        </w:rPr>
      </w:pPr>
      <w:r w:rsidRPr="000C1170">
        <w:rPr>
          <w:snapToGrid w:val="0"/>
        </w:rPr>
        <w:t>The corporate documents provide for the granting, by Brasilseg, of a purchase option to BB - not yet exercised - over all of its shares in Broto, exercisable upon payment of the entire amount contributed by the Insurance Company to Broto, restated by the CDI rate accumulated in the period, within a period of up to 12 months, counted from the date of signature of the Shareholders' Agreement, extendable for an equal period.</w:t>
      </w:r>
    </w:p>
    <w:p w14:paraId="2A131321" w14:textId="77777777" w:rsidR="00991E72" w:rsidRPr="0042577F" w:rsidRDefault="00991E72" w:rsidP="00991E72">
      <w:pPr>
        <w:pStyle w:val="05-Textonormal"/>
        <w:rPr>
          <w:b/>
          <w:snapToGrid w:val="0"/>
          <w:color w:val="1F4E79" w:themeColor="accent1" w:themeShade="80"/>
        </w:rPr>
      </w:pPr>
      <w:r>
        <w:rPr>
          <w:b/>
          <w:snapToGrid w:val="0"/>
          <w:color w:val="1F4E79" w:themeColor="accent1" w:themeShade="80"/>
        </w:rPr>
        <w:t>b</w:t>
      </w:r>
      <w:r w:rsidRPr="0042577F">
        <w:rPr>
          <w:b/>
          <w:snapToGrid w:val="0"/>
          <w:color w:val="1F4E79" w:themeColor="accent1" w:themeShade="80"/>
        </w:rPr>
        <w:t xml:space="preserve">) Brasilcap Capitalização S.A. </w:t>
      </w:r>
    </w:p>
    <w:p w14:paraId="38D1A99D" w14:textId="77777777" w:rsidR="00991E72" w:rsidRPr="0042577F" w:rsidRDefault="00991E72" w:rsidP="00991E72">
      <w:pPr>
        <w:pStyle w:val="05-Textonormal"/>
        <w:rPr>
          <w:rStyle w:val="y2iqfc"/>
        </w:rPr>
      </w:pPr>
      <w:r w:rsidRPr="0042577F">
        <w:rPr>
          <w:rStyle w:val="y2iqfc"/>
        </w:rPr>
        <w:t>On December 31, 2021, Brasilcap’s ESM approved the company’s capital increase from R$ 254,392,710.76 to R$ 354,398,110.76, through the issuance of 76,340,000 preferred shares, all nominative with no par value, by the price of R$</w:t>
      </w:r>
      <w:r>
        <w:rPr>
          <w:rStyle w:val="y2iqfc"/>
        </w:rPr>
        <w:t> </w:t>
      </w:r>
      <w:r w:rsidRPr="0042577F">
        <w:rPr>
          <w:rStyle w:val="y2iqfc"/>
        </w:rPr>
        <w:t xml:space="preserve"> 1</w:t>
      </w:r>
      <w:r>
        <w:rPr>
          <w:rStyle w:val="y2iqfc"/>
        </w:rPr>
        <w:t>.</w:t>
      </w:r>
      <w:r w:rsidRPr="0042577F">
        <w:rPr>
          <w:rStyle w:val="y2iqfc"/>
        </w:rPr>
        <w:t>31 each, in compliance with Article 170, § 1, of Federal Law Nr. 6,404 of 1976, capitalized by credits resulting from the private instrument ”Advances For Future Capital Increases”, concluded on December 22, 2021, between Brasilcap and its shareholders BB Seguros Participações S.A., Icatu Seguros S.A. and Companhia de Seguros Aliança da Bahia.</w:t>
      </w:r>
    </w:p>
    <w:p w14:paraId="5E64B098" w14:textId="77777777" w:rsidR="00991E72" w:rsidRPr="00D1698F" w:rsidRDefault="00991E72" w:rsidP="00991E72">
      <w:pPr>
        <w:pStyle w:val="05-Textonormal"/>
        <w:rPr>
          <w:rStyle w:val="y2iqfc"/>
        </w:rPr>
      </w:pPr>
      <w:r w:rsidRPr="00D1698F">
        <w:rPr>
          <w:rStyle w:val="y2iqfc"/>
        </w:rPr>
        <w:t xml:space="preserve">BB Seguros Participações S.A. subscribed in the proportion of its current economic stake, 50,888,244 preferred shares, equivalent to </w:t>
      </w:r>
      <w:r>
        <w:rPr>
          <w:rStyle w:val="y2iqfc"/>
        </w:rPr>
        <w:t>R$</w:t>
      </w:r>
      <w:r w:rsidRPr="00D1698F">
        <w:rPr>
          <w:rStyle w:val="y2iqfc"/>
        </w:rPr>
        <w:t xml:space="preserve"> 66,663,599.64, while Icatu Seguros S.A. subscribed 12,725,878 preferred shares, equivalent to </w:t>
      </w:r>
      <w:r>
        <w:rPr>
          <w:rStyle w:val="y2iqfc"/>
        </w:rPr>
        <w:t>R$ </w:t>
      </w:r>
      <w:r w:rsidRPr="00D1698F">
        <w:rPr>
          <w:rStyle w:val="y2iqfc"/>
        </w:rPr>
        <w:t xml:space="preserve">16,670,900.18, and Companhia de Seguros Aliança da Bahia subscribed 12,085,282 preferred shares, equivalent to </w:t>
      </w:r>
      <w:r>
        <w:rPr>
          <w:rStyle w:val="y2iqfc"/>
        </w:rPr>
        <w:t>R$ </w:t>
      </w:r>
      <w:r w:rsidRPr="00D1698F">
        <w:rPr>
          <w:rStyle w:val="y2iqfc"/>
        </w:rPr>
        <w:t xml:space="preserve">15,831,719.42. In addition, through the capitalization of credits arising from the Advances for Future Capital Increases, Icatu Seguros S.A. subscribed 328,568 preferred shares, equivalent to </w:t>
      </w:r>
      <w:r>
        <w:rPr>
          <w:rStyle w:val="y2iqfc"/>
        </w:rPr>
        <w:t>R$</w:t>
      </w:r>
      <w:r w:rsidRPr="00D1698F">
        <w:rPr>
          <w:rStyle w:val="y2iqfc"/>
        </w:rPr>
        <w:t xml:space="preserve"> 430,424.08 and Companhia de Seguros Aliança da Bahia subscribed 312,028 preferred shares, equivalent to </w:t>
      </w:r>
      <w:r>
        <w:rPr>
          <w:rStyle w:val="y2iqfc"/>
        </w:rPr>
        <w:t>R$</w:t>
      </w:r>
      <w:r w:rsidRPr="00D1698F">
        <w:rPr>
          <w:rStyle w:val="y2iqfc"/>
        </w:rPr>
        <w:t xml:space="preserve"> 408,756.68, on the condition that, and to the extent that, the other Brasilcap’s minority shareholders do not exercise their preemptive right. The issuance maintained unchanged the current economic stake held by BB Seguros Participações S.A. in Brasilcap’s total capital.</w:t>
      </w:r>
    </w:p>
    <w:p w14:paraId="57D798C6" w14:textId="77777777" w:rsidR="00991E72" w:rsidRPr="00D1698F" w:rsidRDefault="00991E72" w:rsidP="00991E72">
      <w:pPr>
        <w:pStyle w:val="05-Textonormal"/>
        <w:rPr>
          <w:rStyle w:val="y2iqfc"/>
        </w:rPr>
      </w:pPr>
      <w:r w:rsidRPr="00D1698F">
        <w:rPr>
          <w:rStyle w:val="y2iqfc"/>
        </w:rPr>
        <w:t xml:space="preserve">Thus, Brasilcap's paid in capital amounted to </w:t>
      </w:r>
      <w:r>
        <w:rPr>
          <w:rStyle w:val="y2iqfc"/>
        </w:rPr>
        <w:t>R$</w:t>
      </w:r>
      <w:r w:rsidRPr="00D1698F">
        <w:rPr>
          <w:rStyle w:val="y2iqfc"/>
        </w:rPr>
        <w:t xml:space="preserve"> 354,398,110.76, divided into 216,010,804 common shares, all nominative with no par value, and 184,329,196 preferred shares, all nominative with no par value.</w:t>
      </w:r>
    </w:p>
    <w:p w14:paraId="050CD0CE" w14:textId="77777777" w:rsidR="00991E72" w:rsidRPr="00D1698F" w:rsidRDefault="00991E72" w:rsidP="00991E72">
      <w:pPr>
        <w:pStyle w:val="05-Textonormal"/>
        <w:rPr>
          <w:rStyle w:val="y2iqfc"/>
        </w:rPr>
      </w:pPr>
      <w:r w:rsidRPr="00D1698F">
        <w:rPr>
          <w:rStyle w:val="y2iqfc"/>
        </w:rPr>
        <w:t>Considering that the minority shareholders did not exercise their preemptive rights within the allowed period, BB Seguros, due to the terms agreed through the Subscription Commitment Instrument and Other Covenants, started the necessary procedures for the acquisition of the preferred shares, in order to equalize the shareholding proportion held by the majority shareholders before the contribution of capital.</w:t>
      </w:r>
    </w:p>
    <w:p w14:paraId="57B31F63" w14:textId="77777777" w:rsidR="00991E72" w:rsidRDefault="00991E72" w:rsidP="00991E72">
      <w:pPr>
        <w:pStyle w:val="05-Textonormal"/>
        <w:rPr>
          <w:rStyle w:val="y2iqfc"/>
        </w:rPr>
      </w:pPr>
      <w:r w:rsidRPr="00D1698F">
        <w:rPr>
          <w:rStyle w:val="y2iqfc"/>
        </w:rPr>
        <w:t xml:space="preserve">On November 25, 2022, the necessary procedures for the acquisition of preferred shares by BB Seguros Participações S.A. were completed through (i) the signing of the terms of transfer of preferred shares, through which Icatu Seguros S.A. </w:t>
      </w:r>
      <w:r w:rsidRPr="00D1698F">
        <w:rPr>
          <w:rStyle w:val="y2iqfc"/>
        </w:rPr>
        <w:lastRenderedPageBreak/>
        <w:t xml:space="preserve">transferred 220,877 preferred shares owned by itself to BB Seguros Participações S.A. and Companhia de Seguros Aliança da Bahia transferred 209,758 preferred shares owned by itself to BB Seguros Participações S.A, and, (ii) the financial settlement by BB Seguros Participações S.A., at a issue price of </w:t>
      </w:r>
      <w:r>
        <w:rPr>
          <w:rStyle w:val="y2iqfc"/>
        </w:rPr>
        <w:t>R$</w:t>
      </w:r>
      <w:r w:rsidRPr="00D1698F">
        <w:rPr>
          <w:rStyle w:val="y2iqfc"/>
        </w:rPr>
        <w:t xml:space="preserve"> 1.31 per share, plus monetary restatement by the CDI (interbank deposit rate) plus 1% (one percent) per year, applicable pro rata as of December 31, 2021.</w:t>
      </w:r>
    </w:p>
    <w:p w14:paraId="0DC80DC8" w14:textId="77777777" w:rsidR="00991E72" w:rsidRPr="00B46E35" w:rsidRDefault="00991E72" w:rsidP="00991E72">
      <w:pPr>
        <w:pStyle w:val="05-Textonormal"/>
      </w:pPr>
      <w:r>
        <w:rPr>
          <w:rFonts w:cs="Arial"/>
          <w:lang w:val="en-US"/>
        </w:rPr>
        <w:t>Since November 25, 2022</w:t>
      </w:r>
      <w:r>
        <w:rPr>
          <w:rStyle w:val="y2iqfc"/>
          <w:rFonts w:cs="Arial"/>
          <w:lang w:val="en-US"/>
        </w:rPr>
        <w:t xml:space="preserve">, </w:t>
      </w:r>
      <w:r w:rsidRPr="009B63CB">
        <w:rPr>
          <w:rStyle w:val="y2iqfc"/>
          <w:rFonts w:cs="Arial"/>
          <w:lang w:val="en-US"/>
        </w:rPr>
        <w:t>when: (i) BB Seguros held 86.192% of preferred shares and 66.660% of the total; (ii) Icatu held 7.082% of preferred shares and 16.752% of the total; and (iii) Aliança da Bahia held 6.726% of preferred shares and 15.909% of the total</w:t>
      </w:r>
      <w:r>
        <w:rPr>
          <w:rStyle w:val="y2iqfc"/>
          <w:rFonts w:cs="Arial"/>
          <w:lang w:val="en-US"/>
        </w:rPr>
        <w:t xml:space="preserve">, Brasilcap’s capital, fully subscribed and paid in, has been </w:t>
      </w:r>
      <w:r>
        <w:rPr>
          <w:rStyle w:val="y2iqfc"/>
          <w:rFonts w:cs="Arial"/>
        </w:rPr>
        <w:t xml:space="preserve">distributed between shareholders as </w:t>
      </w:r>
      <w:r w:rsidRPr="00B46E35">
        <w:t>follows:</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991E72" w:rsidRPr="00B05866" w14:paraId="1B991C09" w14:textId="77777777" w:rsidTr="00991E72">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4EC56BF3" w14:textId="77777777" w:rsidR="00991E72" w:rsidRPr="00B05866" w:rsidRDefault="00991E72" w:rsidP="00991E72">
            <w:pPr>
              <w:rPr>
                <w:rFonts w:cs="Arial"/>
                <w:szCs w:val="18"/>
              </w:rPr>
            </w:pPr>
            <w:r w:rsidRPr="00DC796F">
              <w:rPr>
                <w:rFonts w:cs="Arial"/>
                <w:sz w:val="14"/>
                <w:szCs w:val="14"/>
              </w:rPr>
              <w:t>Shareholders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6CB2F42" w14:textId="77777777" w:rsidR="00991E72" w:rsidRPr="00B05866" w:rsidRDefault="00991E72" w:rsidP="00991E7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DC796F">
              <w:rPr>
                <w:rFonts w:eastAsia="Times New Roman" w:cs="Arial"/>
                <w:spacing w:val="-2"/>
                <w:sz w:val="14"/>
                <w:szCs w:val="14"/>
              </w:rPr>
              <w:t>Common Shares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3BE0B29F" w14:textId="77777777" w:rsidR="00991E72" w:rsidRPr="00B05866" w:rsidRDefault="00991E72" w:rsidP="00991E7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DC796F">
              <w:rPr>
                <w:rFonts w:eastAsia="Times New Roman" w:cs="Arial"/>
                <w:spacing w:val="-2"/>
                <w:sz w:val="14"/>
                <w:szCs w:val="14"/>
              </w:rPr>
              <w:t>Preferred Shares</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363147B8" w14:textId="77777777" w:rsidR="00991E72" w:rsidRPr="00B05866" w:rsidRDefault="00991E72" w:rsidP="00991E72">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991E72" w:rsidRPr="00B05866" w14:paraId="74314061" w14:textId="77777777" w:rsidTr="00991E7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5BD555F7" w14:textId="77777777" w:rsidR="00991E72" w:rsidRPr="00B05866" w:rsidRDefault="00991E72" w:rsidP="00991E72">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24FD6A0" w14:textId="77777777" w:rsidR="00991E72" w:rsidRPr="00B0586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6BE96F32" w14:textId="77777777" w:rsidR="00991E72" w:rsidRPr="00B0586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55BBE68" w14:textId="77777777" w:rsidR="00991E72" w:rsidRPr="00B0586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5BA495B0" w14:textId="77777777" w:rsidR="00991E72" w:rsidRPr="00B0586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540F6F28" w14:textId="77777777" w:rsidR="00991E72" w:rsidRPr="00B0586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6F2832C9" w14:textId="77777777" w:rsidR="00991E72" w:rsidRPr="00B05866"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991E72" w:rsidRPr="00B05866" w14:paraId="7DF56A34" w14:textId="77777777" w:rsidTr="00991E72">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207FB0B7" w14:textId="77777777" w:rsidR="00991E72" w:rsidRPr="00040CC8" w:rsidRDefault="00991E72" w:rsidP="00991E72">
            <w:pPr>
              <w:keepNext/>
              <w:keepLines/>
              <w:spacing w:before="40" w:after="40"/>
              <w:rPr>
                <w:rFonts w:eastAsia="Times New Roman" w:cs="Arial"/>
                <w:b w:val="0"/>
                <w:spacing w:val="-2"/>
                <w:sz w:val="14"/>
                <w:szCs w:val="14"/>
              </w:rPr>
            </w:pPr>
            <w:r w:rsidRPr="00040CC8">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5DAB3079"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107</w:t>
            </w:r>
            <w:r>
              <w:rPr>
                <w:rFonts w:eastAsia="Times New Roman" w:cs="Arial"/>
                <w:color w:val="auto"/>
                <w:spacing w:val="-2"/>
                <w:sz w:val="14"/>
                <w:szCs w:val="18"/>
              </w:rPr>
              <w:t>,</w:t>
            </w:r>
            <w:r w:rsidRPr="00040CC8">
              <w:rPr>
                <w:rFonts w:eastAsia="Times New Roman" w:cs="Arial"/>
                <w:color w:val="auto"/>
                <w:spacing w:val="-2"/>
                <w:sz w:val="14"/>
                <w:szCs w:val="18"/>
              </w:rPr>
              <w:t>989</w:t>
            </w:r>
            <w:r>
              <w:rPr>
                <w:rFonts w:eastAsia="Times New Roman" w:cs="Arial"/>
                <w:color w:val="auto"/>
                <w:spacing w:val="-2"/>
                <w:sz w:val="14"/>
                <w:szCs w:val="18"/>
              </w:rPr>
              <w:t>,</w:t>
            </w:r>
            <w:r w:rsidRPr="00040CC8">
              <w:rPr>
                <w:rFonts w:eastAsia="Times New Roman" w:cs="Arial"/>
                <w:color w:val="auto"/>
                <w:spacing w:val="-2"/>
                <w:sz w:val="14"/>
                <w:szCs w:val="18"/>
              </w:rPr>
              <w:t>204</w:t>
            </w:r>
          </w:p>
        </w:tc>
        <w:tc>
          <w:tcPr>
            <w:tcW w:w="1181" w:type="dxa"/>
            <w:tcBorders>
              <w:top w:val="single" w:sz="2" w:space="0" w:color="1F4E79" w:themeColor="accent1" w:themeShade="80"/>
              <w:bottom w:val="nil"/>
            </w:tcBorders>
            <w:shd w:val="clear" w:color="auto" w:fill="auto"/>
            <w:vAlign w:val="center"/>
            <w:hideMark/>
          </w:tcPr>
          <w:p w14:paraId="0B6F838D"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49</w:t>
            </w:r>
            <w:r>
              <w:rPr>
                <w:rFonts w:eastAsia="Times New Roman" w:cs="Arial"/>
                <w:spacing w:val="-2"/>
                <w:sz w:val="14"/>
                <w:szCs w:val="18"/>
              </w:rPr>
              <w:t>.</w:t>
            </w:r>
            <w:r w:rsidRPr="00040CC8">
              <w:rPr>
                <w:rFonts w:eastAsia="Times New Roman" w:cs="Arial"/>
                <w:spacing w:val="-2"/>
                <w:sz w:val="14"/>
                <w:szCs w:val="18"/>
              </w:rPr>
              <w:t>99</w:t>
            </w:r>
            <w:r>
              <w:rPr>
                <w:rFonts w:eastAsia="Times New Roman" w:cs="Arial"/>
                <w:spacing w:val="-2"/>
                <w:sz w:val="14"/>
                <w:szCs w:val="18"/>
              </w:rPr>
              <w:t>2</w:t>
            </w:r>
          </w:p>
        </w:tc>
        <w:tc>
          <w:tcPr>
            <w:tcW w:w="1181" w:type="dxa"/>
            <w:tcBorders>
              <w:top w:val="single" w:sz="2" w:space="0" w:color="1F4E79" w:themeColor="accent1" w:themeShade="80"/>
              <w:bottom w:val="nil"/>
            </w:tcBorders>
            <w:shd w:val="clear" w:color="auto" w:fill="auto"/>
            <w:vAlign w:val="center"/>
            <w:hideMark/>
          </w:tcPr>
          <w:p w14:paraId="501679C9"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159</w:t>
            </w:r>
            <w:r>
              <w:rPr>
                <w:rFonts w:eastAsia="Times New Roman" w:cs="Arial"/>
                <w:color w:val="auto"/>
                <w:spacing w:val="-2"/>
                <w:sz w:val="14"/>
                <w:szCs w:val="18"/>
              </w:rPr>
              <w:t>,</w:t>
            </w:r>
            <w:r w:rsidRPr="00040CC8">
              <w:rPr>
                <w:rFonts w:eastAsia="Times New Roman" w:cs="Arial"/>
                <w:color w:val="auto"/>
                <w:spacing w:val="-2"/>
                <w:sz w:val="14"/>
                <w:szCs w:val="18"/>
              </w:rPr>
              <w:t>308</w:t>
            </w:r>
            <w:r>
              <w:rPr>
                <w:rFonts w:eastAsia="Times New Roman" w:cs="Arial"/>
                <w:color w:val="auto"/>
                <w:spacing w:val="-2"/>
                <w:sz w:val="14"/>
                <w:szCs w:val="18"/>
              </w:rPr>
              <w:t>,</w:t>
            </w:r>
            <w:r w:rsidRPr="00040CC8">
              <w:rPr>
                <w:rFonts w:eastAsia="Times New Roman" w:cs="Arial"/>
                <w:color w:val="auto"/>
                <w:spacing w:val="-2"/>
                <w:sz w:val="14"/>
                <w:szCs w:val="18"/>
              </w:rPr>
              <w:t>075</w:t>
            </w:r>
          </w:p>
        </w:tc>
        <w:tc>
          <w:tcPr>
            <w:tcW w:w="1181" w:type="dxa"/>
            <w:tcBorders>
              <w:top w:val="single" w:sz="2" w:space="0" w:color="1F4E79" w:themeColor="accent1" w:themeShade="80"/>
              <w:bottom w:val="nil"/>
            </w:tcBorders>
            <w:shd w:val="clear" w:color="auto" w:fill="auto"/>
            <w:vAlign w:val="center"/>
            <w:hideMark/>
          </w:tcPr>
          <w:p w14:paraId="094AEB64"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86</w:t>
            </w:r>
            <w:r>
              <w:rPr>
                <w:rFonts w:eastAsia="Times New Roman" w:cs="Arial"/>
                <w:spacing w:val="-2"/>
                <w:sz w:val="14"/>
                <w:szCs w:val="18"/>
              </w:rPr>
              <w:t>.</w:t>
            </w:r>
            <w:r w:rsidRPr="00040CC8">
              <w:rPr>
                <w:rFonts w:eastAsia="Times New Roman" w:cs="Arial"/>
                <w:spacing w:val="-2"/>
                <w:sz w:val="14"/>
                <w:szCs w:val="18"/>
              </w:rPr>
              <w:t>4</w:t>
            </w:r>
            <w:r>
              <w:rPr>
                <w:rFonts w:eastAsia="Times New Roman" w:cs="Arial"/>
                <w:spacing w:val="-2"/>
                <w:sz w:val="14"/>
                <w:szCs w:val="18"/>
              </w:rPr>
              <w:t xml:space="preserve">26 </w:t>
            </w:r>
            <w:r w:rsidRPr="00042200">
              <w:rPr>
                <w:rFonts w:eastAsia="Times New Roman" w:cs="Arial"/>
                <w:spacing w:val="-2"/>
                <w:sz w:val="14"/>
                <w:szCs w:val="18"/>
                <w:vertAlign w:val="superscript"/>
              </w:rPr>
              <w:t>(1)</w:t>
            </w:r>
          </w:p>
        </w:tc>
        <w:tc>
          <w:tcPr>
            <w:tcW w:w="1181" w:type="dxa"/>
            <w:tcBorders>
              <w:top w:val="single" w:sz="2" w:space="0" w:color="1F4E79" w:themeColor="accent1" w:themeShade="80"/>
              <w:bottom w:val="nil"/>
            </w:tcBorders>
            <w:shd w:val="clear" w:color="auto" w:fill="auto"/>
            <w:vAlign w:val="center"/>
            <w:hideMark/>
          </w:tcPr>
          <w:p w14:paraId="1A3506DD"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267</w:t>
            </w:r>
            <w:r>
              <w:rPr>
                <w:rFonts w:eastAsia="Times New Roman" w:cs="Arial"/>
                <w:color w:val="auto"/>
                <w:spacing w:val="-2"/>
                <w:sz w:val="14"/>
                <w:szCs w:val="18"/>
              </w:rPr>
              <w:t>,</w:t>
            </w:r>
            <w:r w:rsidRPr="00040CC8">
              <w:rPr>
                <w:rFonts w:eastAsia="Times New Roman" w:cs="Arial"/>
                <w:color w:val="auto"/>
                <w:spacing w:val="-2"/>
                <w:sz w:val="14"/>
                <w:szCs w:val="18"/>
              </w:rPr>
              <w:t>297</w:t>
            </w:r>
            <w:r>
              <w:rPr>
                <w:rFonts w:eastAsia="Times New Roman" w:cs="Arial"/>
                <w:color w:val="auto"/>
                <w:spacing w:val="-2"/>
                <w:sz w:val="14"/>
                <w:szCs w:val="18"/>
              </w:rPr>
              <w:t>,</w:t>
            </w:r>
            <w:r w:rsidRPr="00040CC8">
              <w:rPr>
                <w:rFonts w:eastAsia="Times New Roman" w:cs="Arial"/>
                <w:color w:val="auto"/>
                <w:spacing w:val="-2"/>
                <w:sz w:val="14"/>
                <w:szCs w:val="18"/>
              </w:rPr>
              <w:t>279</w:t>
            </w:r>
          </w:p>
        </w:tc>
        <w:tc>
          <w:tcPr>
            <w:tcW w:w="1182" w:type="dxa"/>
            <w:tcBorders>
              <w:top w:val="single" w:sz="2" w:space="0" w:color="1F4E79" w:themeColor="accent1" w:themeShade="80"/>
              <w:bottom w:val="nil"/>
            </w:tcBorders>
            <w:shd w:val="clear" w:color="auto" w:fill="auto"/>
            <w:vAlign w:val="center"/>
            <w:hideMark/>
          </w:tcPr>
          <w:p w14:paraId="7F551436"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w:t>
            </w:r>
            <w:r>
              <w:rPr>
                <w:rFonts w:eastAsia="Times New Roman" w:cs="Arial"/>
                <w:spacing w:val="-2"/>
                <w:sz w:val="14"/>
                <w:szCs w:val="18"/>
              </w:rPr>
              <w:t>.</w:t>
            </w:r>
            <w:r w:rsidRPr="00040CC8">
              <w:rPr>
                <w:rFonts w:eastAsia="Times New Roman" w:cs="Arial"/>
                <w:spacing w:val="-2"/>
                <w:sz w:val="14"/>
                <w:szCs w:val="18"/>
              </w:rPr>
              <w:t>7</w:t>
            </w:r>
            <w:r>
              <w:rPr>
                <w:rFonts w:eastAsia="Times New Roman" w:cs="Arial"/>
                <w:spacing w:val="-2"/>
                <w:sz w:val="14"/>
                <w:szCs w:val="18"/>
              </w:rPr>
              <w:t xml:space="preserve">68 </w:t>
            </w:r>
            <w:r w:rsidRPr="00042200">
              <w:rPr>
                <w:rFonts w:eastAsia="Times New Roman" w:cs="Arial"/>
                <w:spacing w:val="-2"/>
                <w:sz w:val="14"/>
                <w:szCs w:val="18"/>
                <w:vertAlign w:val="superscript"/>
              </w:rPr>
              <w:t>(1)</w:t>
            </w:r>
          </w:p>
        </w:tc>
      </w:tr>
      <w:tr w:rsidR="00991E72" w:rsidRPr="00B05866" w14:paraId="10A579E9" w14:textId="77777777" w:rsidTr="00991E7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4AF84034" w14:textId="77777777" w:rsidR="00991E72" w:rsidRPr="00040CC8" w:rsidRDefault="00991E72" w:rsidP="00991E72">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Icatu</w:t>
            </w:r>
          </w:p>
        </w:tc>
        <w:tc>
          <w:tcPr>
            <w:tcW w:w="1181" w:type="dxa"/>
            <w:tcBorders>
              <w:top w:val="nil"/>
              <w:bottom w:val="nil"/>
            </w:tcBorders>
            <w:shd w:val="clear" w:color="auto" w:fill="auto"/>
            <w:vAlign w:val="center"/>
            <w:hideMark/>
          </w:tcPr>
          <w:p w14:paraId="30C3F9B6"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54</w:t>
            </w:r>
            <w:r>
              <w:rPr>
                <w:rFonts w:eastAsia="Times New Roman" w:cs="Arial"/>
                <w:color w:val="auto"/>
                <w:spacing w:val="-2"/>
                <w:sz w:val="14"/>
                <w:szCs w:val="18"/>
              </w:rPr>
              <w:t>,</w:t>
            </w:r>
            <w:r w:rsidRPr="00040CC8">
              <w:rPr>
                <w:rFonts w:eastAsia="Times New Roman" w:cs="Arial"/>
                <w:color w:val="auto"/>
                <w:spacing w:val="-2"/>
                <w:sz w:val="14"/>
                <w:szCs w:val="18"/>
              </w:rPr>
              <w:t>010</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1" w:type="dxa"/>
            <w:tcBorders>
              <w:top w:val="nil"/>
              <w:bottom w:val="nil"/>
            </w:tcBorders>
            <w:shd w:val="clear" w:color="auto" w:fill="auto"/>
            <w:vAlign w:val="center"/>
            <w:hideMark/>
          </w:tcPr>
          <w:p w14:paraId="694F8764"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25</w:t>
            </w:r>
            <w:r>
              <w:rPr>
                <w:rFonts w:eastAsia="Times New Roman" w:cs="Arial"/>
                <w:spacing w:val="-2"/>
                <w:sz w:val="14"/>
                <w:szCs w:val="18"/>
              </w:rPr>
              <w:t>.</w:t>
            </w:r>
            <w:r w:rsidRPr="00040CC8">
              <w:rPr>
                <w:rFonts w:eastAsia="Times New Roman" w:cs="Arial"/>
                <w:spacing w:val="-2"/>
                <w:sz w:val="14"/>
                <w:szCs w:val="18"/>
              </w:rPr>
              <w:t>00</w:t>
            </w:r>
            <w:r>
              <w:rPr>
                <w:rFonts w:eastAsia="Times New Roman" w:cs="Arial"/>
                <w:spacing w:val="-2"/>
                <w:sz w:val="14"/>
                <w:szCs w:val="18"/>
              </w:rPr>
              <w:t>4</w:t>
            </w:r>
          </w:p>
        </w:tc>
        <w:tc>
          <w:tcPr>
            <w:tcW w:w="1181" w:type="dxa"/>
            <w:tcBorders>
              <w:top w:val="nil"/>
              <w:bottom w:val="nil"/>
            </w:tcBorders>
            <w:shd w:val="clear" w:color="auto" w:fill="auto"/>
            <w:vAlign w:val="center"/>
            <w:hideMark/>
          </w:tcPr>
          <w:p w14:paraId="2B0A0416"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w:t>
            </w:r>
            <w:r>
              <w:rPr>
                <w:rFonts w:eastAsia="Times New Roman" w:cs="Arial"/>
                <w:color w:val="auto"/>
                <w:spacing w:val="-2"/>
                <w:sz w:val="14"/>
                <w:szCs w:val="18"/>
              </w:rPr>
              <w:t>,</w:t>
            </w:r>
            <w:r w:rsidRPr="00040CC8">
              <w:rPr>
                <w:rFonts w:eastAsia="Times New Roman" w:cs="Arial"/>
                <w:color w:val="auto"/>
                <w:spacing w:val="-2"/>
                <w:sz w:val="14"/>
                <w:szCs w:val="18"/>
              </w:rPr>
              <w:t>833</w:t>
            </w:r>
            <w:r>
              <w:rPr>
                <w:rFonts w:eastAsia="Times New Roman" w:cs="Arial"/>
                <w:color w:val="auto"/>
                <w:spacing w:val="-2"/>
                <w:sz w:val="14"/>
                <w:szCs w:val="18"/>
              </w:rPr>
              <w:t>,</w:t>
            </w:r>
            <w:r w:rsidRPr="00040CC8">
              <w:rPr>
                <w:rFonts w:eastAsia="Times New Roman" w:cs="Arial"/>
                <w:color w:val="auto"/>
                <w:spacing w:val="-2"/>
                <w:sz w:val="14"/>
                <w:szCs w:val="18"/>
              </w:rPr>
              <w:t>569</w:t>
            </w:r>
          </w:p>
        </w:tc>
        <w:tc>
          <w:tcPr>
            <w:tcW w:w="1181" w:type="dxa"/>
            <w:tcBorders>
              <w:top w:val="nil"/>
              <w:bottom w:val="nil"/>
            </w:tcBorders>
            <w:shd w:val="clear" w:color="auto" w:fill="auto"/>
            <w:vAlign w:val="center"/>
            <w:hideMark/>
          </w:tcPr>
          <w:p w14:paraId="3A4B8407"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w:t>
            </w:r>
            <w:r>
              <w:rPr>
                <w:rFonts w:eastAsia="Times New Roman" w:cs="Arial"/>
                <w:spacing w:val="-2"/>
                <w:sz w:val="14"/>
                <w:szCs w:val="18"/>
              </w:rPr>
              <w:t>.</w:t>
            </w:r>
            <w:r w:rsidRPr="00040CC8">
              <w:rPr>
                <w:rFonts w:eastAsia="Times New Roman" w:cs="Arial"/>
                <w:spacing w:val="-2"/>
                <w:sz w:val="14"/>
                <w:szCs w:val="18"/>
              </w:rPr>
              <w:t>96</w:t>
            </w:r>
            <w:r>
              <w:rPr>
                <w:rFonts w:eastAsia="Times New Roman" w:cs="Arial"/>
                <w:spacing w:val="-2"/>
                <w:sz w:val="14"/>
                <w:szCs w:val="18"/>
              </w:rPr>
              <w:t xml:space="preserve">2 </w:t>
            </w:r>
            <w:r w:rsidRPr="00042200">
              <w:rPr>
                <w:rFonts w:eastAsia="Times New Roman" w:cs="Arial"/>
                <w:spacing w:val="-2"/>
                <w:sz w:val="14"/>
                <w:szCs w:val="18"/>
                <w:vertAlign w:val="superscript"/>
              </w:rPr>
              <w:t>(2)</w:t>
            </w:r>
          </w:p>
        </w:tc>
        <w:tc>
          <w:tcPr>
            <w:tcW w:w="1181" w:type="dxa"/>
            <w:tcBorders>
              <w:top w:val="nil"/>
              <w:bottom w:val="nil"/>
            </w:tcBorders>
            <w:shd w:val="clear" w:color="auto" w:fill="auto"/>
            <w:vAlign w:val="center"/>
            <w:hideMark/>
          </w:tcPr>
          <w:p w14:paraId="7E14D7AE"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66</w:t>
            </w:r>
            <w:r>
              <w:rPr>
                <w:rFonts w:eastAsia="Times New Roman" w:cs="Arial"/>
                <w:color w:val="auto"/>
                <w:spacing w:val="-2"/>
                <w:sz w:val="14"/>
                <w:szCs w:val="18"/>
              </w:rPr>
              <w:t>,</w:t>
            </w:r>
            <w:r w:rsidRPr="00040CC8">
              <w:rPr>
                <w:rFonts w:eastAsia="Times New Roman" w:cs="Arial"/>
                <w:color w:val="auto"/>
                <w:spacing w:val="-2"/>
                <w:sz w:val="14"/>
                <w:szCs w:val="18"/>
              </w:rPr>
              <w:t>844</w:t>
            </w:r>
            <w:r>
              <w:rPr>
                <w:rFonts w:eastAsia="Times New Roman" w:cs="Arial"/>
                <w:color w:val="auto"/>
                <w:spacing w:val="-2"/>
                <w:sz w:val="14"/>
                <w:szCs w:val="18"/>
              </w:rPr>
              <w:t>,</w:t>
            </w:r>
            <w:r w:rsidRPr="00040CC8">
              <w:rPr>
                <w:rFonts w:eastAsia="Times New Roman" w:cs="Arial"/>
                <w:color w:val="auto"/>
                <w:spacing w:val="-2"/>
                <w:sz w:val="14"/>
                <w:szCs w:val="18"/>
              </w:rPr>
              <w:t>368</w:t>
            </w:r>
          </w:p>
        </w:tc>
        <w:tc>
          <w:tcPr>
            <w:tcW w:w="1182" w:type="dxa"/>
            <w:tcBorders>
              <w:top w:val="nil"/>
              <w:bottom w:val="nil"/>
            </w:tcBorders>
            <w:shd w:val="clear" w:color="auto" w:fill="auto"/>
            <w:vAlign w:val="center"/>
            <w:hideMark/>
          </w:tcPr>
          <w:p w14:paraId="00A337EF"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16</w:t>
            </w:r>
            <w:r>
              <w:rPr>
                <w:rFonts w:eastAsia="Times New Roman" w:cs="Arial"/>
                <w:spacing w:val="-2"/>
                <w:sz w:val="14"/>
                <w:szCs w:val="18"/>
              </w:rPr>
              <w:t>.69</w:t>
            </w:r>
            <w:r w:rsidRPr="00040CC8">
              <w:rPr>
                <w:rFonts w:eastAsia="Times New Roman" w:cs="Arial"/>
                <w:spacing w:val="-2"/>
                <w:sz w:val="14"/>
                <w:szCs w:val="18"/>
              </w:rPr>
              <w:t>7</w:t>
            </w:r>
            <w:r>
              <w:rPr>
                <w:rFonts w:eastAsia="Times New Roman" w:cs="Arial"/>
                <w:spacing w:val="-2"/>
                <w:sz w:val="14"/>
                <w:szCs w:val="18"/>
              </w:rPr>
              <w:t xml:space="preserve"> </w:t>
            </w:r>
            <w:r w:rsidRPr="00042200">
              <w:rPr>
                <w:rFonts w:eastAsia="Times New Roman" w:cs="Arial"/>
                <w:spacing w:val="-2"/>
                <w:sz w:val="14"/>
                <w:szCs w:val="18"/>
                <w:vertAlign w:val="superscript"/>
              </w:rPr>
              <w:t>(2)</w:t>
            </w:r>
          </w:p>
        </w:tc>
      </w:tr>
      <w:tr w:rsidR="00991E72" w:rsidRPr="00B05866" w14:paraId="35546371" w14:textId="77777777" w:rsidTr="00991E72">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374287F5" w14:textId="77777777" w:rsidR="00991E72" w:rsidRPr="00040CC8" w:rsidRDefault="00991E72" w:rsidP="00991E72">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Aliança da Bahia</w:t>
            </w:r>
          </w:p>
        </w:tc>
        <w:tc>
          <w:tcPr>
            <w:tcW w:w="1181" w:type="dxa"/>
            <w:tcBorders>
              <w:top w:val="nil"/>
              <w:bottom w:val="nil"/>
            </w:tcBorders>
            <w:shd w:val="clear" w:color="auto" w:fill="auto"/>
            <w:vAlign w:val="center"/>
          </w:tcPr>
          <w:p w14:paraId="0E669CB5"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51</w:t>
            </w:r>
            <w:r>
              <w:rPr>
                <w:rFonts w:eastAsia="Times New Roman" w:cs="Arial"/>
                <w:color w:val="auto"/>
                <w:spacing w:val="-2"/>
                <w:sz w:val="14"/>
                <w:szCs w:val="18"/>
              </w:rPr>
              <w:t>,</w:t>
            </w:r>
            <w:r w:rsidRPr="00040CC8">
              <w:rPr>
                <w:rFonts w:eastAsia="Times New Roman" w:cs="Arial"/>
                <w:color w:val="auto"/>
                <w:spacing w:val="-2"/>
                <w:sz w:val="14"/>
                <w:szCs w:val="18"/>
              </w:rPr>
              <w:t>292</w:t>
            </w:r>
            <w:r>
              <w:rPr>
                <w:rFonts w:eastAsia="Times New Roman" w:cs="Arial"/>
                <w:color w:val="auto"/>
                <w:spacing w:val="-2"/>
                <w:sz w:val="14"/>
                <w:szCs w:val="18"/>
              </w:rPr>
              <w:t>,</w:t>
            </w:r>
            <w:r w:rsidRPr="00040CC8">
              <w:rPr>
                <w:rFonts w:eastAsia="Times New Roman" w:cs="Arial"/>
                <w:color w:val="auto"/>
                <w:spacing w:val="-2"/>
                <w:sz w:val="14"/>
                <w:szCs w:val="18"/>
              </w:rPr>
              <w:t>002</w:t>
            </w:r>
          </w:p>
        </w:tc>
        <w:tc>
          <w:tcPr>
            <w:tcW w:w="1181" w:type="dxa"/>
            <w:tcBorders>
              <w:top w:val="nil"/>
              <w:bottom w:val="nil"/>
            </w:tcBorders>
            <w:shd w:val="clear" w:color="auto" w:fill="auto"/>
            <w:vAlign w:val="center"/>
          </w:tcPr>
          <w:p w14:paraId="11968DB2"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23</w:t>
            </w:r>
            <w:r>
              <w:rPr>
                <w:rFonts w:eastAsia="Times New Roman" w:cs="Arial"/>
                <w:spacing w:val="-2"/>
                <w:sz w:val="14"/>
                <w:szCs w:val="18"/>
              </w:rPr>
              <w:t>.</w:t>
            </w:r>
            <w:r w:rsidRPr="00040CC8">
              <w:rPr>
                <w:rFonts w:eastAsia="Times New Roman" w:cs="Arial"/>
                <w:spacing w:val="-2"/>
                <w:sz w:val="14"/>
                <w:szCs w:val="18"/>
              </w:rPr>
              <w:t>7</w:t>
            </w:r>
            <w:r>
              <w:rPr>
                <w:rFonts w:eastAsia="Times New Roman" w:cs="Arial"/>
                <w:spacing w:val="-2"/>
                <w:sz w:val="14"/>
                <w:szCs w:val="18"/>
              </w:rPr>
              <w:t>4</w:t>
            </w:r>
            <w:r w:rsidRPr="00040CC8">
              <w:rPr>
                <w:rFonts w:eastAsia="Times New Roman" w:cs="Arial"/>
                <w:spacing w:val="-2"/>
                <w:sz w:val="14"/>
                <w:szCs w:val="18"/>
              </w:rPr>
              <w:t>5</w:t>
            </w:r>
          </w:p>
        </w:tc>
        <w:tc>
          <w:tcPr>
            <w:tcW w:w="1181" w:type="dxa"/>
            <w:tcBorders>
              <w:top w:val="nil"/>
              <w:bottom w:val="nil"/>
            </w:tcBorders>
            <w:shd w:val="clear" w:color="auto" w:fill="auto"/>
            <w:vAlign w:val="center"/>
          </w:tcPr>
          <w:p w14:paraId="57C69325"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w:t>
            </w:r>
            <w:r>
              <w:rPr>
                <w:rFonts w:eastAsia="Times New Roman" w:cs="Arial"/>
                <w:color w:val="auto"/>
                <w:spacing w:val="-2"/>
                <w:sz w:val="14"/>
                <w:szCs w:val="18"/>
              </w:rPr>
              <w:t>,</w:t>
            </w:r>
            <w:r w:rsidRPr="00040CC8">
              <w:rPr>
                <w:rFonts w:eastAsia="Times New Roman" w:cs="Arial"/>
                <w:color w:val="auto"/>
                <w:spacing w:val="-2"/>
                <w:sz w:val="14"/>
                <w:szCs w:val="18"/>
              </w:rPr>
              <w:t>187</w:t>
            </w:r>
            <w:r>
              <w:rPr>
                <w:rFonts w:eastAsia="Times New Roman" w:cs="Arial"/>
                <w:color w:val="auto"/>
                <w:spacing w:val="-2"/>
                <w:sz w:val="14"/>
                <w:szCs w:val="18"/>
              </w:rPr>
              <w:t>,</w:t>
            </w:r>
            <w:r w:rsidRPr="00040CC8">
              <w:rPr>
                <w:rFonts w:eastAsia="Times New Roman" w:cs="Arial"/>
                <w:color w:val="auto"/>
                <w:spacing w:val="-2"/>
                <w:sz w:val="14"/>
                <w:szCs w:val="18"/>
              </w:rPr>
              <w:t>552</w:t>
            </w:r>
          </w:p>
        </w:tc>
        <w:tc>
          <w:tcPr>
            <w:tcW w:w="1181" w:type="dxa"/>
            <w:tcBorders>
              <w:top w:val="nil"/>
              <w:bottom w:val="nil"/>
            </w:tcBorders>
            <w:shd w:val="clear" w:color="auto" w:fill="auto"/>
            <w:vAlign w:val="center"/>
          </w:tcPr>
          <w:p w14:paraId="7807D618"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w:t>
            </w:r>
            <w:r>
              <w:rPr>
                <w:rFonts w:eastAsia="Times New Roman" w:cs="Arial"/>
                <w:spacing w:val="-2"/>
                <w:sz w:val="14"/>
                <w:szCs w:val="18"/>
              </w:rPr>
              <w:t>.</w:t>
            </w:r>
            <w:r w:rsidRPr="00040CC8">
              <w:rPr>
                <w:rFonts w:eastAsia="Times New Roman" w:cs="Arial"/>
                <w:spacing w:val="-2"/>
                <w:sz w:val="14"/>
                <w:szCs w:val="18"/>
              </w:rPr>
              <w:t>61</w:t>
            </w:r>
            <w:r>
              <w:rPr>
                <w:rFonts w:eastAsia="Times New Roman" w:cs="Arial"/>
                <w:spacing w:val="-2"/>
                <w:sz w:val="14"/>
                <w:szCs w:val="18"/>
              </w:rPr>
              <w:t xml:space="preserve">2 </w:t>
            </w:r>
            <w:r w:rsidRPr="00042200">
              <w:rPr>
                <w:rFonts w:eastAsia="Times New Roman" w:cs="Arial"/>
                <w:spacing w:val="-2"/>
                <w:sz w:val="14"/>
                <w:szCs w:val="18"/>
                <w:vertAlign w:val="superscript"/>
              </w:rPr>
              <w:t>(3)</w:t>
            </w:r>
          </w:p>
        </w:tc>
        <w:tc>
          <w:tcPr>
            <w:tcW w:w="1181" w:type="dxa"/>
            <w:tcBorders>
              <w:top w:val="nil"/>
              <w:bottom w:val="nil"/>
            </w:tcBorders>
            <w:shd w:val="clear" w:color="auto" w:fill="auto"/>
            <w:vAlign w:val="center"/>
          </w:tcPr>
          <w:p w14:paraId="5FAD46E3"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63</w:t>
            </w:r>
            <w:r>
              <w:rPr>
                <w:rFonts w:eastAsia="Times New Roman" w:cs="Arial"/>
                <w:color w:val="auto"/>
                <w:spacing w:val="-2"/>
                <w:sz w:val="14"/>
                <w:szCs w:val="18"/>
              </w:rPr>
              <w:t>,</w:t>
            </w:r>
            <w:r w:rsidRPr="00040CC8">
              <w:rPr>
                <w:rFonts w:eastAsia="Times New Roman" w:cs="Arial"/>
                <w:color w:val="auto"/>
                <w:spacing w:val="-2"/>
                <w:sz w:val="14"/>
                <w:szCs w:val="18"/>
              </w:rPr>
              <w:t>479</w:t>
            </w:r>
            <w:r>
              <w:rPr>
                <w:rFonts w:eastAsia="Times New Roman" w:cs="Arial"/>
                <w:color w:val="auto"/>
                <w:spacing w:val="-2"/>
                <w:sz w:val="14"/>
                <w:szCs w:val="18"/>
              </w:rPr>
              <w:t>,</w:t>
            </w:r>
            <w:r w:rsidRPr="00040CC8">
              <w:rPr>
                <w:rFonts w:eastAsia="Times New Roman" w:cs="Arial"/>
                <w:color w:val="auto"/>
                <w:spacing w:val="-2"/>
                <w:sz w:val="14"/>
                <w:szCs w:val="18"/>
              </w:rPr>
              <w:t>554</w:t>
            </w:r>
          </w:p>
        </w:tc>
        <w:tc>
          <w:tcPr>
            <w:tcW w:w="1182" w:type="dxa"/>
            <w:tcBorders>
              <w:top w:val="nil"/>
              <w:bottom w:val="nil"/>
            </w:tcBorders>
            <w:shd w:val="clear" w:color="auto" w:fill="auto"/>
            <w:vAlign w:val="center"/>
          </w:tcPr>
          <w:p w14:paraId="15854929" w14:textId="77777777" w:rsidR="00991E72" w:rsidRPr="00040CC8"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15</w:t>
            </w:r>
            <w:r>
              <w:rPr>
                <w:rFonts w:eastAsia="Times New Roman" w:cs="Arial"/>
                <w:spacing w:val="-2"/>
                <w:sz w:val="14"/>
                <w:szCs w:val="18"/>
              </w:rPr>
              <w:t>.</w:t>
            </w:r>
            <w:r w:rsidRPr="00040CC8">
              <w:rPr>
                <w:rFonts w:eastAsia="Times New Roman" w:cs="Arial"/>
                <w:spacing w:val="-2"/>
                <w:sz w:val="14"/>
                <w:szCs w:val="18"/>
              </w:rPr>
              <w:t>8</w:t>
            </w:r>
            <w:r>
              <w:rPr>
                <w:rFonts w:eastAsia="Times New Roman" w:cs="Arial"/>
                <w:spacing w:val="-2"/>
                <w:sz w:val="14"/>
                <w:szCs w:val="18"/>
              </w:rPr>
              <w:t>5</w:t>
            </w:r>
            <w:r w:rsidRPr="00040CC8">
              <w:rPr>
                <w:rFonts w:eastAsia="Times New Roman" w:cs="Arial"/>
                <w:spacing w:val="-2"/>
                <w:sz w:val="14"/>
                <w:szCs w:val="18"/>
              </w:rPr>
              <w:t>6</w:t>
            </w:r>
            <w:r>
              <w:rPr>
                <w:rFonts w:eastAsia="Times New Roman" w:cs="Arial"/>
                <w:spacing w:val="-2"/>
                <w:sz w:val="14"/>
                <w:szCs w:val="18"/>
              </w:rPr>
              <w:t xml:space="preserve"> </w:t>
            </w:r>
            <w:r w:rsidRPr="00042200">
              <w:rPr>
                <w:rFonts w:eastAsia="Times New Roman" w:cs="Arial"/>
                <w:spacing w:val="-2"/>
                <w:sz w:val="14"/>
                <w:szCs w:val="18"/>
                <w:vertAlign w:val="superscript"/>
              </w:rPr>
              <w:t>(3)</w:t>
            </w:r>
          </w:p>
        </w:tc>
      </w:tr>
      <w:tr w:rsidR="00991E72" w:rsidRPr="00B05866" w14:paraId="496E1267" w14:textId="77777777" w:rsidTr="00991E7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0177ACB6" w14:textId="77777777" w:rsidR="00991E72" w:rsidRPr="00040CC8" w:rsidRDefault="00991E72" w:rsidP="00991E72">
            <w:pPr>
              <w:keepNext/>
              <w:keepLines/>
              <w:spacing w:before="40" w:after="40"/>
              <w:rPr>
                <w:rFonts w:eastAsia="Times New Roman" w:cs="Arial"/>
                <w:b w:val="0"/>
                <w:spacing w:val="-2"/>
                <w:sz w:val="14"/>
                <w:szCs w:val="18"/>
              </w:rPr>
            </w:pPr>
            <w:r w:rsidRPr="003C702C">
              <w:rPr>
                <w:rFonts w:eastAsia="Times New Roman" w:cs="Arial"/>
                <w:b w:val="0"/>
                <w:spacing w:val="-2"/>
                <w:sz w:val="14"/>
                <w:szCs w:val="18"/>
              </w:rPr>
              <w:t>Other</w:t>
            </w:r>
          </w:p>
        </w:tc>
        <w:tc>
          <w:tcPr>
            <w:tcW w:w="1181" w:type="dxa"/>
            <w:tcBorders>
              <w:top w:val="nil"/>
              <w:bottom w:val="nil"/>
            </w:tcBorders>
            <w:shd w:val="clear" w:color="auto" w:fill="auto"/>
            <w:vAlign w:val="center"/>
          </w:tcPr>
          <w:p w14:paraId="6729809B"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w:t>
            </w:r>
            <w:r>
              <w:rPr>
                <w:rFonts w:eastAsia="Times New Roman" w:cs="Arial"/>
                <w:color w:val="auto"/>
                <w:spacing w:val="-2"/>
                <w:sz w:val="14"/>
                <w:szCs w:val="18"/>
              </w:rPr>
              <w:t>,</w:t>
            </w:r>
            <w:r w:rsidRPr="00040CC8">
              <w:rPr>
                <w:rFonts w:eastAsia="Times New Roman" w:cs="Arial"/>
                <w:color w:val="auto"/>
                <w:spacing w:val="-2"/>
                <w:sz w:val="14"/>
                <w:szCs w:val="18"/>
              </w:rPr>
              <w:t>718</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1" w:type="dxa"/>
            <w:tcBorders>
              <w:top w:val="nil"/>
              <w:bottom w:val="nil"/>
            </w:tcBorders>
            <w:shd w:val="clear" w:color="auto" w:fill="auto"/>
            <w:vAlign w:val="center"/>
          </w:tcPr>
          <w:p w14:paraId="3E37A6E2"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w:t>
            </w:r>
            <w:r>
              <w:rPr>
                <w:rFonts w:eastAsia="Times New Roman" w:cs="Arial"/>
                <w:spacing w:val="-2"/>
                <w:sz w:val="14"/>
                <w:szCs w:val="18"/>
              </w:rPr>
              <w:t>.</w:t>
            </w:r>
            <w:r w:rsidRPr="00040CC8">
              <w:rPr>
                <w:rFonts w:eastAsia="Times New Roman" w:cs="Arial"/>
                <w:spacing w:val="-2"/>
                <w:sz w:val="14"/>
                <w:szCs w:val="18"/>
              </w:rPr>
              <w:t>2</w:t>
            </w:r>
            <w:r>
              <w:rPr>
                <w:rFonts w:eastAsia="Times New Roman" w:cs="Arial"/>
                <w:spacing w:val="-2"/>
                <w:sz w:val="14"/>
                <w:szCs w:val="18"/>
              </w:rPr>
              <w:t>59</w:t>
            </w:r>
          </w:p>
        </w:tc>
        <w:tc>
          <w:tcPr>
            <w:tcW w:w="1181" w:type="dxa"/>
            <w:tcBorders>
              <w:top w:val="nil"/>
              <w:bottom w:val="nil"/>
            </w:tcBorders>
            <w:shd w:val="clear" w:color="auto" w:fill="auto"/>
            <w:vAlign w:val="center"/>
          </w:tcPr>
          <w:p w14:paraId="7809F29B"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w:t>
            </w:r>
          </w:p>
        </w:tc>
        <w:tc>
          <w:tcPr>
            <w:tcW w:w="1181" w:type="dxa"/>
            <w:tcBorders>
              <w:top w:val="nil"/>
              <w:bottom w:val="nil"/>
            </w:tcBorders>
            <w:shd w:val="clear" w:color="auto" w:fill="auto"/>
            <w:vAlign w:val="center"/>
          </w:tcPr>
          <w:p w14:paraId="30AD2197"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w:t>
            </w:r>
          </w:p>
        </w:tc>
        <w:tc>
          <w:tcPr>
            <w:tcW w:w="1181" w:type="dxa"/>
            <w:tcBorders>
              <w:top w:val="nil"/>
              <w:bottom w:val="nil"/>
            </w:tcBorders>
            <w:shd w:val="clear" w:color="auto" w:fill="auto"/>
            <w:vAlign w:val="center"/>
          </w:tcPr>
          <w:p w14:paraId="7CEE6C4D"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w:t>
            </w:r>
            <w:r>
              <w:rPr>
                <w:rFonts w:eastAsia="Times New Roman" w:cs="Arial"/>
                <w:color w:val="auto"/>
                <w:spacing w:val="-2"/>
                <w:sz w:val="14"/>
                <w:szCs w:val="18"/>
              </w:rPr>
              <w:t>,</w:t>
            </w:r>
            <w:r w:rsidRPr="00040CC8">
              <w:rPr>
                <w:rFonts w:eastAsia="Times New Roman" w:cs="Arial"/>
                <w:color w:val="auto"/>
                <w:spacing w:val="-2"/>
                <w:sz w:val="14"/>
                <w:szCs w:val="18"/>
              </w:rPr>
              <w:t>718</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2" w:type="dxa"/>
            <w:tcBorders>
              <w:top w:val="nil"/>
              <w:bottom w:val="nil"/>
            </w:tcBorders>
            <w:shd w:val="clear" w:color="auto" w:fill="auto"/>
            <w:vAlign w:val="center"/>
          </w:tcPr>
          <w:p w14:paraId="61BDCCFE" w14:textId="77777777" w:rsidR="00991E72" w:rsidRPr="00040CC8"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0</w:t>
            </w:r>
            <w:r>
              <w:rPr>
                <w:rFonts w:eastAsia="Times New Roman" w:cs="Arial"/>
                <w:spacing w:val="-2"/>
                <w:sz w:val="14"/>
                <w:szCs w:val="18"/>
              </w:rPr>
              <w:t>.</w:t>
            </w:r>
            <w:r w:rsidRPr="00040CC8">
              <w:rPr>
                <w:rFonts w:eastAsia="Times New Roman" w:cs="Arial"/>
                <w:spacing w:val="-2"/>
                <w:sz w:val="14"/>
                <w:szCs w:val="18"/>
              </w:rPr>
              <w:t>6</w:t>
            </w:r>
            <w:r>
              <w:rPr>
                <w:rFonts w:eastAsia="Times New Roman" w:cs="Arial"/>
                <w:spacing w:val="-2"/>
                <w:sz w:val="14"/>
                <w:szCs w:val="18"/>
              </w:rPr>
              <w:t>79</w:t>
            </w:r>
          </w:p>
        </w:tc>
      </w:tr>
      <w:tr w:rsidR="00991E72" w:rsidRPr="00375AF3" w14:paraId="2FFD4B82" w14:textId="77777777" w:rsidTr="00991E72">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1EC4C300" w14:textId="77777777" w:rsidR="00991E72" w:rsidRPr="00375AF3" w:rsidRDefault="00991E72" w:rsidP="00991E72">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7D7998B5" w14:textId="77777777" w:rsidR="00991E72" w:rsidRPr="00375AF3"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131713">
              <w:rPr>
                <w:rFonts w:eastAsia="Times New Roman" w:cs="Arial"/>
                <w:b/>
                <w:bCs/>
                <w:color w:val="000000"/>
                <w:sz w:val="14"/>
                <w:szCs w:val="14"/>
                <w:lang w:eastAsia="pt-BR"/>
              </w:rPr>
              <w:t>216</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010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804</w:t>
            </w:r>
          </w:p>
        </w:tc>
        <w:tc>
          <w:tcPr>
            <w:tcW w:w="1181" w:type="dxa"/>
            <w:tcBorders>
              <w:top w:val="nil"/>
              <w:bottom w:val="single" w:sz="2" w:space="0" w:color="1F4E79" w:themeColor="accent1" w:themeShade="80"/>
            </w:tcBorders>
            <w:shd w:val="clear" w:color="auto" w:fill="auto"/>
            <w:vAlign w:val="center"/>
            <w:hideMark/>
          </w:tcPr>
          <w:p w14:paraId="3CE4636C" w14:textId="77777777" w:rsidR="00991E72" w:rsidRPr="00375AF3"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c>
          <w:tcPr>
            <w:tcW w:w="1181" w:type="dxa"/>
            <w:tcBorders>
              <w:top w:val="nil"/>
              <w:bottom w:val="single" w:sz="2" w:space="0" w:color="1F4E79" w:themeColor="accent1" w:themeShade="80"/>
            </w:tcBorders>
            <w:shd w:val="clear" w:color="auto" w:fill="auto"/>
            <w:vAlign w:val="center"/>
            <w:hideMark/>
          </w:tcPr>
          <w:p w14:paraId="20C6EFE4" w14:textId="77777777" w:rsidR="00991E72" w:rsidRPr="00375AF3"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184</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329</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196</w:t>
            </w:r>
          </w:p>
        </w:tc>
        <w:tc>
          <w:tcPr>
            <w:tcW w:w="1181" w:type="dxa"/>
            <w:tcBorders>
              <w:top w:val="nil"/>
              <w:bottom w:val="single" w:sz="2" w:space="0" w:color="1F4E79" w:themeColor="accent1" w:themeShade="80"/>
            </w:tcBorders>
            <w:shd w:val="clear" w:color="auto" w:fill="auto"/>
            <w:vAlign w:val="center"/>
            <w:hideMark/>
          </w:tcPr>
          <w:p w14:paraId="0AEDC683" w14:textId="77777777" w:rsidR="00991E72" w:rsidRPr="00375AF3"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c>
          <w:tcPr>
            <w:tcW w:w="1181" w:type="dxa"/>
            <w:tcBorders>
              <w:top w:val="nil"/>
              <w:bottom w:val="single" w:sz="2" w:space="0" w:color="1F4E79" w:themeColor="accent1" w:themeShade="80"/>
            </w:tcBorders>
            <w:shd w:val="clear" w:color="auto" w:fill="auto"/>
            <w:vAlign w:val="center"/>
            <w:hideMark/>
          </w:tcPr>
          <w:p w14:paraId="5EE54A68" w14:textId="77777777" w:rsidR="00991E72" w:rsidRPr="00375AF3"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400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340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000</w:t>
            </w:r>
          </w:p>
        </w:tc>
        <w:tc>
          <w:tcPr>
            <w:tcW w:w="1182" w:type="dxa"/>
            <w:tcBorders>
              <w:top w:val="nil"/>
              <w:bottom w:val="single" w:sz="2" w:space="0" w:color="1F4E79" w:themeColor="accent1" w:themeShade="80"/>
            </w:tcBorders>
            <w:shd w:val="clear" w:color="auto" w:fill="auto"/>
            <w:vAlign w:val="center"/>
            <w:hideMark/>
          </w:tcPr>
          <w:p w14:paraId="1D64682D" w14:textId="77777777" w:rsidR="00991E72" w:rsidRPr="00375AF3" w:rsidRDefault="00991E72" w:rsidP="00991E72">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r>
    </w:tbl>
    <w:p w14:paraId="234686CE" w14:textId="77777777" w:rsidR="00991E72" w:rsidRPr="00D1698F" w:rsidRDefault="00991E72" w:rsidP="00991E72">
      <w:pPr>
        <w:pStyle w:val="05-Textonormal"/>
      </w:pPr>
    </w:p>
    <w:p w14:paraId="07388FFF" w14:textId="299C8A15" w:rsidR="006A362F" w:rsidRPr="0033730F" w:rsidRDefault="006A362F" w:rsidP="0027251D">
      <w:pPr>
        <w:pStyle w:val="Ttulo1"/>
        <w:rPr>
          <w:b w:val="0"/>
          <w:bCs w:val="0"/>
        </w:rPr>
      </w:pPr>
      <w:bookmarkStart w:id="17" w:name="OLE_LINK1"/>
      <w:bookmarkStart w:id="18" w:name="_Toc134823565"/>
      <w:r w:rsidRPr="0033730F">
        <w:t xml:space="preserve">3 – PRESENTATION OF </w:t>
      </w:r>
      <w:r>
        <w:t xml:space="preserve">INTERIM </w:t>
      </w:r>
      <w:r w:rsidRPr="0033730F">
        <w:t>FINANCIAL STATEMENTS</w:t>
      </w:r>
      <w:bookmarkEnd w:id="18"/>
    </w:p>
    <w:p w14:paraId="1FF8F099" w14:textId="77777777" w:rsidR="006A362F" w:rsidRPr="00181C9B" w:rsidRDefault="006A362F" w:rsidP="0046511C">
      <w:pPr>
        <w:pStyle w:val="03-SubttulodeNota"/>
        <w:rPr>
          <w:color w:val="1F4E79" w:themeColor="accent1" w:themeShade="80"/>
          <w:sz w:val="18"/>
          <w:lang w:val="en-US"/>
        </w:rPr>
      </w:pPr>
      <w:r w:rsidRPr="00181C9B">
        <w:rPr>
          <w:color w:val="1F4E79" w:themeColor="accent1" w:themeShade="80"/>
          <w:sz w:val="18"/>
          <w:lang w:val="en-US"/>
        </w:rPr>
        <w:t>a) Statement of Compliance</w:t>
      </w:r>
    </w:p>
    <w:p w14:paraId="2C32D195" w14:textId="77777777" w:rsidR="006A362F" w:rsidRPr="00F62FB1" w:rsidRDefault="006A362F" w:rsidP="005E5527">
      <w:pPr>
        <w:pStyle w:val="05-Textonormal"/>
        <w:rPr>
          <w:lang w:val="en-US"/>
        </w:rPr>
      </w:pPr>
      <w:r w:rsidRPr="00F62FB1">
        <w:rPr>
          <w:lang w:val="en-US"/>
        </w:rPr>
        <w:t>The consolidated interim financial statements were prepared and are being presented in accordance with the International Financial Reporting Standards (IFRS), issued by the International Accounting Standards Board (IASB) and with the accounting practices adopted in Brazil.</w:t>
      </w:r>
    </w:p>
    <w:p w14:paraId="349F1D38" w14:textId="77777777" w:rsidR="006A362F" w:rsidRDefault="006A362F" w:rsidP="005E5527">
      <w:pPr>
        <w:pStyle w:val="05-Textonormal"/>
        <w:rPr>
          <w:lang w:val="en-US"/>
        </w:rPr>
      </w:pPr>
      <w:r w:rsidRPr="00F62FB1">
        <w:rPr>
          <w:lang w:val="en-US"/>
        </w:rPr>
        <w:t>The individual interim financial statements have been prepared in accordance with the accounting guidelines derived from Brazilian corporation law and are presented in compliance with accounting practices adopted in Brazil, including pronouncements issued by the Comitê de Pronunciamentos Contábeis – CPC (Accounting Pronouncements Committee), approved by Conselho Federal de Contabilidade – CFC (Federal Accounting Council).</w:t>
      </w:r>
    </w:p>
    <w:p w14:paraId="5730A9E2" w14:textId="77777777" w:rsidR="006A362F" w:rsidRPr="00E06C01" w:rsidRDefault="006A362F" w:rsidP="00E656CD">
      <w:pPr>
        <w:pStyle w:val="05-Textonormal"/>
        <w:keepNext/>
        <w:keepLines/>
        <w:rPr>
          <w:lang w:val="en-US"/>
        </w:rPr>
      </w:pPr>
      <w:r w:rsidRPr="000F6F5F">
        <w:rPr>
          <w:lang w:val="en-US"/>
        </w:rPr>
        <w:t xml:space="preserve">All the relevant information specific to the </w:t>
      </w:r>
      <w:r>
        <w:rPr>
          <w:lang w:val="en-US"/>
        </w:rPr>
        <w:t xml:space="preserve">interim </w:t>
      </w:r>
      <w:r w:rsidRPr="000F6F5F">
        <w:rPr>
          <w:lang w:val="en-US"/>
        </w:rPr>
        <w:t xml:space="preserve">financial statements are evidenced and correspond to those used </w:t>
      </w:r>
      <w:r w:rsidRPr="007B6E1F">
        <w:rPr>
          <w:lang w:val="en-US"/>
        </w:rPr>
        <w:t>by the Company's Management</w:t>
      </w:r>
      <w:r>
        <w:rPr>
          <w:lang w:val="en-US"/>
        </w:rPr>
        <w:t>.</w:t>
      </w:r>
    </w:p>
    <w:p w14:paraId="00F23A51" w14:textId="77777777" w:rsidR="006A362F" w:rsidRDefault="006A362F" w:rsidP="00CB214C">
      <w:pPr>
        <w:pStyle w:val="05-Textonormal"/>
        <w:keepNext/>
        <w:keepLines/>
        <w:rPr>
          <w:lang w:val="en-US"/>
        </w:rPr>
      </w:pPr>
      <w:r w:rsidRPr="00E06C01">
        <w:rPr>
          <w:lang w:val="en-US"/>
        </w:rPr>
        <w:t>These</w:t>
      </w:r>
      <w:r>
        <w:rPr>
          <w:lang w:val="en-US"/>
        </w:rPr>
        <w:t xml:space="preserve"> interim</w:t>
      </w:r>
      <w:r w:rsidRPr="00E06C01">
        <w:rPr>
          <w:lang w:val="en-US"/>
        </w:rPr>
        <w:t xml:space="preserve"> financial statements were approved and authorized by BB Seguridade's </w:t>
      </w:r>
      <w:r>
        <w:rPr>
          <w:rStyle w:val="rynqvb"/>
          <w:lang w:val="en"/>
        </w:rPr>
        <w:t>Executive Board</w:t>
      </w:r>
      <w:r w:rsidRPr="00E06C01">
        <w:rPr>
          <w:lang w:val="en-US"/>
        </w:rPr>
        <w:t xml:space="preserve"> on </w:t>
      </w:r>
      <w:r>
        <w:rPr>
          <w:lang w:val="en-US"/>
        </w:rPr>
        <w:t>May 12</w:t>
      </w:r>
      <w:r w:rsidRPr="00E06C01">
        <w:rPr>
          <w:lang w:val="en-US"/>
        </w:rPr>
        <w:t>, 202</w:t>
      </w:r>
      <w:r>
        <w:rPr>
          <w:lang w:val="en-US"/>
        </w:rPr>
        <w:t>3.</w:t>
      </w:r>
    </w:p>
    <w:p w14:paraId="67B3E886" w14:textId="77777777" w:rsidR="006A362F" w:rsidRPr="00181C9B" w:rsidRDefault="006A362F" w:rsidP="0046511C">
      <w:pPr>
        <w:pStyle w:val="03-SubttulodeNota"/>
        <w:rPr>
          <w:color w:val="1F4E79" w:themeColor="accent1" w:themeShade="80"/>
          <w:sz w:val="18"/>
          <w:szCs w:val="18"/>
          <w:lang w:val="en-US"/>
        </w:rPr>
      </w:pPr>
      <w:r w:rsidRPr="00181C9B">
        <w:rPr>
          <w:color w:val="1F4E79" w:themeColor="accent1" w:themeShade="80"/>
          <w:sz w:val="18"/>
          <w:szCs w:val="18"/>
          <w:lang w:val="en-US"/>
        </w:rPr>
        <w:t>b) Continuity</w:t>
      </w:r>
    </w:p>
    <w:p w14:paraId="7BEC583C" w14:textId="77777777" w:rsidR="006A362F" w:rsidRPr="00715A04" w:rsidRDefault="006A362F" w:rsidP="00CB214C">
      <w:pPr>
        <w:pStyle w:val="05-Textonormal1"/>
        <w:rPr>
          <w:lang w:val="en-US"/>
        </w:rPr>
      </w:pPr>
      <w:r w:rsidRPr="000158CB">
        <w:rPr>
          <w:lang w:val="en-US"/>
        </w:rPr>
        <w:t xml:space="preserve">Management evaluated the capacity of BB Seguridade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3501EF42" w14:textId="77777777" w:rsidR="006A362F" w:rsidRPr="00181C9B" w:rsidRDefault="006A362F" w:rsidP="0046511C">
      <w:pPr>
        <w:pStyle w:val="03-SubttulodeNota"/>
        <w:rPr>
          <w:color w:val="1F4E79" w:themeColor="accent1" w:themeShade="80"/>
          <w:sz w:val="18"/>
          <w:szCs w:val="18"/>
          <w:lang w:val="en-US"/>
        </w:rPr>
      </w:pPr>
      <w:r w:rsidRPr="00181C9B">
        <w:rPr>
          <w:color w:val="1F4E79" w:themeColor="accent1" w:themeShade="80"/>
          <w:sz w:val="18"/>
          <w:szCs w:val="18"/>
          <w:lang w:val="en-US"/>
        </w:rPr>
        <w:t>c) Measurement Basis of Assets and Liabilities</w:t>
      </w:r>
    </w:p>
    <w:p w14:paraId="26447B63" w14:textId="77777777" w:rsidR="006A362F" w:rsidRPr="00B15324" w:rsidRDefault="006A362F" w:rsidP="00CB214C">
      <w:pPr>
        <w:pStyle w:val="05-Textonormal"/>
        <w:rPr>
          <w:lang w:val="en-US"/>
        </w:rPr>
      </w:pPr>
      <w:r w:rsidRPr="00001B11">
        <w:rPr>
          <w:lang w:val="en-US"/>
        </w:rPr>
        <w:t xml:space="preserve">These individual and consolidated </w:t>
      </w:r>
      <w:r>
        <w:rPr>
          <w:lang w:val="en-US"/>
        </w:rPr>
        <w:t xml:space="preserve">interim </w:t>
      </w:r>
      <w:r w:rsidRPr="00001B11">
        <w:rPr>
          <w:lang w:val="en-US"/>
        </w:rPr>
        <w:t>financial statements have been prepared using historical cost as the measurement basis, except for financial assets measured at fair value through profit or loss</w:t>
      </w:r>
      <w:r>
        <w:rPr>
          <w:lang w:val="en-US"/>
        </w:rPr>
        <w:t>.</w:t>
      </w:r>
    </w:p>
    <w:p w14:paraId="2C3E5896" w14:textId="77777777" w:rsidR="006A362F" w:rsidRPr="00181C9B" w:rsidRDefault="006A362F" w:rsidP="0046511C">
      <w:pPr>
        <w:pStyle w:val="03-SubttulodeNota"/>
        <w:rPr>
          <w:color w:val="1F4E79" w:themeColor="accent1" w:themeShade="80"/>
          <w:sz w:val="18"/>
          <w:szCs w:val="18"/>
          <w:lang w:val="en-US"/>
        </w:rPr>
      </w:pPr>
      <w:r w:rsidRPr="00181C9B">
        <w:rPr>
          <w:color w:val="1F4E79" w:themeColor="accent1" w:themeShade="80"/>
          <w:sz w:val="18"/>
          <w:szCs w:val="18"/>
          <w:lang w:val="en-US"/>
        </w:rPr>
        <w:t>d) Functional and Presentation Currency</w:t>
      </w:r>
    </w:p>
    <w:p w14:paraId="6ED9413D" w14:textId="77777777" w:rsidR="006A362F" w:rsidRPr="00EE5BC5" w:rsidRDefault="006A362F" w:rsidP="00EE5BC5">
      <w:pPr>
        <w:pStyle w:val="03-SubttulodeNota"/>
        <w:rPr>
          <w:b w:val="0"/>
          <w:sz w:val="18"/>
          <w:szCs w:val="18"/>
          <w:lang w:val="en-US"/>
        </w:rPr>
      </w:pPr>
      <w:r w:rsidRPr="007B6E1F">
        <w:rPr>
          <w:b w:val="0"/>
          <w:sz w:val="18"/>
          <w:szCs w:val="18"/>
          <w:lang w:val="en-US"/>
        </w:rPr>
        <w:t>BB Seguridade's interim financial statements, for functional and presentation currency purposes, are presented in Reais (R$).</w:t>
      </w:r>
    </w:p>
    <w:p w14:paraId="1FA8BDB1" w14:textId="77777777" w:rsidR="006A362F" w:rsidRPr="00181C9B" w:rsidRDefault="006A362F" w:rsidP="0046511C">
      <w:pPr>
        <w:pStyle w:val="03-SubttulodeNota"/>
        <w:rPr>
          <w:color w:val="1F4E79" w:themeColor="accent1" w:themeShade="80"/>
          <w:sz w:val="18"/>
          <w:szCs w:val="18"/>
          <w:lang w:val="en-US"/>
        </w:rPr>
      </w:pPr>
      <w:r w:rsidRPr="00181C9B">
        <w:rPr>
          <w:color w:val="1F4E79" w:themeColor="accent1" w:themeShade="80"/>
          <w:sz w:val="18"/>
          <w:szCs w:val="18"/>
          <w:lang w:val="en-US"/>
        </w:rPr>
        <w:t>e) Consolidation Basis</w:t>
      </w:r>
    </w:p>
    <w:p w14:paraId="278204F2" w14:textId="77777777" w:rsidR="006A362F" w:rsidRDefault="006A362F" w:rsidP="00CB214C">
      <w:pPr>
        <w:pStyle w:val="05-Textonormal"/>
        <w:rPr>
          <w:lang w:val="en-US"/>
        </w:rPr>
      </w:pPr>
      <w:r w:rsidRPr="00B15324">
        <w:rPr>
          <w:lang w:val="en-US"/>
        </w:rPr>
        <w:t xml:space="preserve">The consolidated </w:t>
      </w:r>
      <w:r>
        <w:rPr>
          <w:lang w:val="en-US"/>
        </w:rPr>
        <w:t xml:space="preserve">interim </w:t>
      </w:r>
      <w:r w:rsidRPr="00B15324">
        <w:rPr>
          <w:lang w:val="en-US"/>
        </w:rPr>
        <w:t xml:space="preserve">financial statements of the </w:t>
      </w:r>
      <w:r>
        <w:rPr>
          <w:lang w:val="en-US"/>
        </w:rPr>
        <w:t xml:space="preserve">BB Seguridade and </w:t>
      </w:r>
      <w:r w:rsidRPr="00A01BD8">
        <w:rPr>
          <w:lang w:val="en-US"/>
        </w:rPr>
        <w:t>subsidiaries</w:t>
      </w:r>
      <w:r>
        <w:rPr>
          <w:lang w:val="en-US"/>
        </w:rPr>
        <w:t xml:space="preserve"> are</w:t>
      </w:r>
      <w:r w:rsidRPr="00B15324">
        <w:rPr>
          <w:lang w:val="en-US"/>
        </w:rPr>
        <w:t xml:space="preserve"> include</w:t>
      </w:r>
      <w:r>
        <w:rPr>
          <w:lang w:val="en-US"/>
        </w:rPr>
        <w:t>d</w:t>
      </w:r>
      <w:r w:rsidRPr="00B15324">
        <w:rPr>
          <w:lang w:val="en-US"/>
        </w:rPr>
        <w:t xml:space="preserve"> the consolidation of assets and </w:t>
      </w:r>
      <w:r>
        <w:rPr>
          <w:lang w:val="en-US"/>
        </w:rPr>
        <w:t xml:space="preserve">liabilities from BB Seguridade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698"/>
        <w:gridCol w:w="604"/>
        <w:gridCol w:w="1085"/>
        <w:gridCol w:w="1276"/>
        <w:gridCol w:w="283"/>
        <w:gridCol w:w="1276"/>
        <w:gridCol w:w="1418"/>
      </w:tblGrid>
      <w:tr w:rsidR="006A362F" w:rsidRPr="0048242D" w14:paraId="22FF35BE" w14:textId="77777777" w:rsidTr="00D41EA2">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tcBorders>
              <w:bottom w:val="none" w:sz="0" w:space="0" w:color="auto"/>
            </w:tcBorders>
            <w:shd w:val="clear" w:color="auto" w:fill="auto"/>
            <w:vAlign w:val="center"/>
          </w:tcPr>
          <w:p w14:paraId="420482FE" w14:textId="77777777" w:rsidR="006A362F" w:rsidRPr="0048242D" w:rsidRDefault="006A362F" w:rsidP="00C33728">
            <w:pPr>
              <w:pStyle w:val="08-Tabelageral"/>
              <w:jc w:val="left"/>
              <w:rPr>
                <w:rFonts w:cs="Arial"/>
                <w:b w:val="0"/>
                <w:color w:val="auto"/>
                <w:sz w:val="18"/>
              </w:rPr>
            </w:pPr>
            <w:r>
              <w:rPr>
                <w:rFonts w:cs="Arial"/>
                <w:color w:val="auto"/>
              </w:rPr>
              <w:t>Company</w:t>
            </w:r>
          </w:p>
        </w:tc>
        <w:tc>
          <w:tcPr>
            <w:tcW w:w="604" w:type="dxa"/>
            <w:tcBorders>
              <w:bottom w:val="nil"/>
            </w:tcBorders>
            <w:shd w:val="clear" w:color="auto" w:fill="auto"/>
          </w:tcPr>
          <w:p w14:paraId="42222443" w14:textId="77777777" w:rsidR="006A362F" w:rsidRPr="0048242D" w:rsidRDefault="006A362F" w:rsidP="00C33728">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18"/>
              </w:rPr>
            </w:pPr>
          </w:p>
        </w:tc>
        <w:tc>
          <w:tcPr>
            <w:tcW w:w="1085" w:type="dxa"/>
            <w:vMerge w:val="restart"/>
            <w:tcBorders>
              <w:bottom w:val="none" w:sz="0" w:space="0" w:color="auto"/>
            </w:tcBorders>
            <w:shd w:val="clear" w:color="auto" w:fill="auto"/>
            <w:vAlign w:val="center"/>
          </w:tcPr>
          <w:p w14:paraId="32D5FDF3" w14:textId="77777777" w:rsidR="006A362F" w:rsidRPr="0048242D" w:rsidRDefault="006A362F" w:rsidP="0046511C">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r>
              <w:rPr>
                <w:rFonts w:cs="Arial"/>
                <w:color w:val="auto"/>
              </w:rPr>
              <w:t>Activity</w:t>
            </w:r>
          </w:p>
        </w:tc>
        <w:tc>
          <w:tcPr>
            <w:tcW w:w="1276" w:type="dxa"/>
            <w:vMerge w:val="restart"/>
            <w:tcBorders>
              <w:bottom w:val="none" w:sz="0" w:space="0" w:color="auto"/>
            </w:tcBorders>
            <w:shd w:val="clear" w:color="auto" w:fill="auto"/>
            <w:vAlign w:val="center"/>
          </w:tcPr>
          <w:p w14:paraId="567C246C" w14:textId="77777777" w:rsidR="006A362F" w:rsidRPr="0048242D" w:rsidRDefault="006A362F" w:rsidP="0046511C">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Country of constitution</w:t>
            </w:r>
          </w:p>
        </w:tc>
        <w:tc>
          <w:tcPr>
            <w:tcW w:w="283" w:type="dxa"/>
            <w:tcBorders>
              <w:bottom w:val="nil"/>
            </w:tcBorders>
            <w:shd w:val="clear" w:color="auto" w:fill="auto"/>
          </w:tcPr>
          <w:p w14:paraId="738E3892" w14:textId="77777777" w:rsidR="006A362F" w:rsidRPr="0048242D" w:rsidRDefault="006A362F" w:rsidP="00C33728">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p>
        </w:tc>
        <w:tc>
          <w:tcPr>
            <w:tcW w:w="2694" w:type="dxa"/>
            <w:gridSpan w:val="2"/>
            <w:tcBorders>
              <w:bottom w:val="nil"/>
            </w:tcBorders>
            <w:shd w:val="clear" w:color="auto" w:fill="auto"/>
            <w:vAlign w:val="center"/>
          </w:tcPr>
          <w:p w14:paraId="321D241D" w14:textId="77777777" w:rsidR="006A362F" w:rsidRPr="0048242D" w:rsidRDefault="006A362F" w:rsidP="00CB214C">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48242D">
              <w:rPr>
                <w:rFonts w:cs="Arial"/>
                <w:color w:val="auto"/>
                <w:sz w:val="14"/>
                <w:szCs w:val="18"/>
              </w:rPr>
              <w:t xml:space="preserve">% </w:t>
            </w:r>
            <w:r>
              <w:rPr>
                <w:rFonts w:cs="Arial"/>
                <w:color w:val="auto"/>
                <w:sz w:val="14"/>
                <w:szCs w:val="18"/>
              </w:rPr>
              <w:t>Share</w:t>
            </w:r>
          </w:p>
        </w:tc>
      </w:tr>
      <w:tr w:rsidR="006A362F" w:rsidRPr="0048242D" w14:paraId="4AC7BFAE" w14:textId="77777777" w:rsidTr="00D41EA2">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4E79" w:themeColor="accent1" w:themeShade="80"/>
            </w:tcBorders>
            <w:shd w:val="clear" w:color="auto" w:fill="auto"/>
          </w:tcPr>
          <w:p w14:paraId="33BD7F42" w14:textId="77777777" w:rsidR="006A362F" w:rsidRPr="0048242D" w:rsidRDefault="006A362F" w:rsidP="00C33728">
            <w:pPr>
              <w:pStyle w:val="08-Tabelageral"/>
              <w:jc w:val="left"/>
              <w:rPr>
                <w:rFonts w:cs="Arial"/>
                <w:color w:val="auto"/>
              </w:rPr>
            </w:pPr>
          </w:p>
        </w:tc>
        <w:tc>
          <w:tcPr>
            <w:tcW w:w="604" w:type="dxa"/>
            <w:tcBorders>
              <w:top w:val="nil"/>
              <w:bottom w:val="single" w:sz="2" w:space="0" w:color="1F4E79" w:themeColor="accent1" w:themeShade="80"/>
            </w:tcBorders>
            <w:shd w:val="clear" w:color="auto" w:fill="auto"/>
          </w:tcPr>
          <w:p w14:paraId="07C7DA86" w14:textId="77777777" w:rsidR="006A362F" w:rsidRPr="0048242D" w:rsidRDefault="006A362F"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4E79" w:themeColor="accent1" w:themeShade="80"/>
            </w:tcBorders>
            <w:shd w:val="clear" w:color="auto" w:fill="auto"/>
          </w:tcPr>
          <w:p w14:paraId="19170E77" w14:textId="77777777" w:rsidR="006A362F" w:rsidRPr="0048242D" w:rsidRDefault="006A362F"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4E79" w:themeColor="accent1" w:themeShade="80"/>
            </w:tcBorders>
            <w:shd w:val="clear" w:color="auto" w:fill="auto"/>
          </w:tcPr>
          <w:p w14:paraId="24929F28" w14:textId="77777777" w:rsidR="006A362F" w:rsidRPr="0048242D" w:rsidRDefault="006A362F"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4E79" w:themeColor="accent1" w:themeShade="80"/>
            </w:tcBorders>
            <w:shd w:val="clear" w:color="auto" w:fill="auto"/>
          </w:tcPr>
          <w:p w14:paraId="27F096A7" w14:textId="77777777" w:rsidR="006A362F" w:rsidRPr="0048242D" w:rsidRDefault="006A362F"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4E79" w:themeColor="accent1" w:themeShade="80"/>
            </w:tcBorders>
            <w:shd w:val="clear" w:color="auto" w:fill="auto"/>
          </w:tcPr>
          <w:p w14:paraId="53D04555" w14:textId="77777777" w:rsidR="006A362F" w:rsidRPr="0048242D" w:rsidRDefault="006A362F" w:rsidP="0093278D">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Mar 31, 2023</w:t>
            </w:r>
          </w:p>
        </w:tc>
        <w:tc>
          <w:tcPr>
            <w:tcW w:w="1418" w:type="dxa"/>
            <w:tcBorders>
              <w:top w:val="nil"/>
              <w:bottom w:val="single" w:sz="2" w:space="0" w:color="1F4E79" w:themeColor="accent1" w:themeShade="80"/>
            </w:tcBorders>
            <w:shd w:val="clear" w:color="auto" w:fill="auto"/>
          </w:tcPr>
          <w:p w14:paraId="78009E59" w14:textId="77777777" w:rsidR="006A362F" w:rsidRPr="0048242D" w:rsidRDefault="006A362F" w:rsidP="0093278D">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Dec 31, 2022</w:t>
            </w:r>
          </w:p>
        </w:tc>
      </w:tr>
      <w:tr w:rsidR="006A362F" w:rsidRPr="0048242D" w14:paraId="704B2662" w14:textId="77777777" w:rsidTr="00D41EA2">
        <w:trPr>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6C116015" w14:textId="77777777" w:rsidR="006A362F" w:rsidRPr="0048242D" w:rsidRDefault="006A362F" w:rsidP="00C33728">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719FF8B7" w14:textId="77777777" w:rsidR="006A362F" w:rsidRPr="0048242D" w:rsidRDefault="006A362F" w:rsidP="00C33728">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211584AF" w14:textId="77777777" w:rsidR="006A362F" w:rsidRPr="0048242D" w:rsidRDefault="006A362F" w:rsidP="00C33728">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518FFF52" w14:textId="77777777" w:rsidR="006A362F" w:rsidRPr="0048242D" w:rsidRDefault="006A362F" w:rsidP="00C33728">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bottom w:val="nil"/>
            </w:tcBorders>
            <w:shd w:val="clear" w:color="auto" w:fill="auto"/>
            <w:vAlign w:val="center"/>
          </w:tcPr>
          <w:p w14:paraId="1C42CD26" w14:textId="77777777" w:rsidR="006A362F" w:rsidRPr="0048242D" w:rsidRDefault="006A362F" w:rsidP="00C33728">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49C4F4E9" w14:textId="77777777" w:rsidR="006A362F" w:rsidRPr="0048242D" w:rsidRDefault="006A362F" w:rsidP="0046511C">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23F45AC6" w14:textId="77777777" w:rsidR="006A362F" w:rsidRPr="0048242D" w:rsidRDefault="006A362F" w:rsidP="0046511C">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sidRPr="0048242D">
              <w:rPr>
                <w:rFonts w:cs="Arial"/>
                <w:color w:val="auto"/>
              </w:rPr>
              <w:t>100%</w:t>
            </w:r>
          </w:p>
        </w:tc>
      </w:tr>
      <w:tr w:rsidR="006A362F" w:rsidRPr="0048242D" w14:paraId="51B68271" w14:textId="77777777" w:rsidTr="00D41EA2">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0E0C703F" w14:textId="77777777" w:rsidR="006A362F" w:rsidRPr="0048242D" w:rsidRDefault="006A362F" w:rsidP="00C33728">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0E3AD112" w14:textId="77777777" w:rsidR="006A362F" w:rsidRPr="0048242D" w:rsidRDefault="006A362F" w:rsidP="00C33728">
            <w:pPr>
              <w:pStyle w:val="08-Tabelageral"/>
              <w:jc w:val="left"/>
              <w:rPr>
                <w:rFonts w:cs="Arial"/>
                <w:b w:val="0"/>
                <w:color w:val="auto"/>
                <w:szCs w:val="14"/>
              </w:rPr>
            </w:pPr>
          </w:p>
        </w:tc>
        <w:tc>
          <w:tcPr>
            <w:tcW w:w="604" w:type="dxa"/>
            <w:tcBorders>
              <w:top w:val="nil"/>
            </w:tcBorders>
            <w:shd w:val="clear" w:color="auto" w:fill="auto"/>
            <w:vAlign w:val="center"/>
          </w:tcPr>
          <w:p w14:paraId="01734B27" w14:textId="77777777" w:rsidR="006A362F" w:rsidRPr="0048242D" w:rsidRDefault="006A362F" w:rsidP="00CB214C">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3F16BFB4" w14:textId="77777777" w:rsidR="006A362F" w:rsidRPr="0048242D" w:rsidRDefault="006A362F" w:rsidP="00C33728">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CB214C">
              <w:rPr>
                <w:rFonts w:cs="Arial"/>
                <w:color w:val="auto"/>
                <w:szCs w:val="14"/>
              </w:rPr>
              <w:t>Brokerage</w:t>
            </w:r>
          </w:p>
        </w:tc>
        <w:tc>
          <w:tcPr>
            <w:tcW w:w="1276" w:type="dxa"/>
            <w:tcBorders>
              <w:top w:val="nil"/>
            </w:tcBorders>
            <w:shd w:val="clear" w:color="auto" w:fill="auto"/>
            <w:vAlign w:val="center"/>
          </w:tcPr>
          <w:p w14:paraId="66C5407E" w14:textId="77777777" w:rsidR="006A362F" w:rsidRPr="0048242D" w:rsidRDefault="006A362F" w:rsidP="00C33728">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top w:val="nil"/>
            </w:tcBorders>
            <w:shd w:val="clear" w:color="auto" w:fill="auto"/>
            <w:vAlign w:val="center"/>
          </w:tcPr>
          <w:p w14:paraId="384820DA" w14:textId="77777777" w:rsidR="006A362F" w:rsidRPr="0048242D" w:rsidRDefault="006A362F" w:rsidP="00C33728">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4221276F" w14:textId="77777777" w:rsidR="006A362F" w:rsidRPr="0048242D" w:rsidRDefault="006A362F" w:rsidP="0046511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0CF297CE" w14:textId="77777777" w:rsidR="006A362F" w:rsidRPr="0048242D" w:rsidRDefault="006A362F" w:rsidP="0046511C">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61B70343" w14:textId="77777777" w:rsidR="006A362F" w:rsidRDefault="006A362F" w:rsidP="00CB214C">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are eliminated in preparing the consolidated financial statements</w:t>
      </w:r>
      <w:r>
        <w:rPr>
          <w:lang w:val="en-US"/>
        </w:rPr>
        <w:t>.</w:t>
      </w:r>
    </w:p>
    <w:p w14:paraId="450515DA" w14:textId="77777777" w:rsidR="006A362F" w:rsidRPr="00126209" w:rsidRDefault="006A362F" w:rsidP="0046511C">
      <w:pPr>
        <w:pStyle w:val="03-SubttulodeNota"/>
        <w:keepNext/>
        <w:rPr>
          <w:color w:val="1F4E79" w:themeColor="accent1" w:themeShade="80"/>
          <w:sz w:val="18"/>
          <w:szCs w:val="18"/>
          <w:lang w:val="en-US"/>
        </w:rPr>
      </w:pPr>
      <w:r w:rsidRPr="00126209">
        <w:rPr>
          <w:color w:val="1F4E79" w:themeColor="accent1" w:themeShade="80"/>
          <w:sz w:val="18"/>
          <w:szCs w:val="18"/>
          <w:lang w:val="en-US"/>
        </w:rPr>
        <w:t>f) Seasonality of Operations</w:t>
      </w:r>
    </w:p>
    <w:p w14:paraId="6F243757" w14:textId="77777777" w:rsidR="006A362F" w:rsidRDefault="006A362F" w:rsidP="00CB214C">
      <w:pPr>
        <w:pStyle w:val="05-Textonormal"/>
        <w:rPr>
          <w:szCs w:val="22"/>
          <w:lang w:val="en"/>
        </w:rPr>
      </w:pPr>
      <w:r w:rsidRPr="00B15324">
        <w:rPr>
          <w:lang w:val="en-US"/>
        </w:rPr>
        <w:t xml:space="preserve">BB Seguridade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cyclical, taking into account the activities carried out by the Group</w:t>
      </w:r>
      <w:r>
        <w:rPr>
          <w:lang w:val="en-US"/>
        </w:rPr>
        <w:t>.</w:t>
      </w:r>
      <w:r w:rsidRPr="00B15324">
        <w:rPr>
          <w:lang w:val="en-US"/>
        </w:rPr>
        <w:t xml:space="preserve"> Consequently, no specific disclosures are provided in these notes</w:t>
      </w:r>
      <w:r>
        <w:rPr>
          <w:lang w:val="en-US"/>
        </w:rPr>
        <w:t>.</w:t>
      </w:r>
    </w:p>
    <w:p w14:paraId="5B6BFB11" w14:textId="77777777" w:rsidR="006A362F" w:rsidRPr="00181C9B" w:rsidRDefault="006A362F" w:rsidP="0046511C">
      <w:pPr>
        <w:pStyle w:val="03-SubttulodeNota"/>
        <w:keepNext/>
        <w:rPr>
          <w:color w:val="1F4E79" w:themeColor="accent1" w:themeShade="80"/>
          <w:sz w:val="18"/>
          <w:szCs w:val="18"/>
          <w:lang w:val="en-US"/>
        </w:rPr>
      </w:pPr>
      <w:r w:rsidRPr="00181C9B">
        <w:rPr>
          <w:color w:val="1F4E79" w:themeColor="accent1" w:themeShade="80"/>
          <w:sz w:val="18"/>
          <w:szCs w:val="18"/>
          <w:lang w:val="en-US"/>
        </w:rPr>
        <w:lastRenderedPageBreak/>
        <w:t>g) Main Judgments and Accouting Estimates</w:t>
      </w:r>
    </w:p>
    <w:p w14:paraId="588B9BC2" w14:textId="77777777" w:rsidR="006A362F" w:rsidRPr="008573F3" w:rsidRDefault="006A362F" w:rsidP="00CB214C">
      <w:pPr>
        <w:pStyle w:val="05-Textonormal"/>
        <w:keepNext/>
        <w:keepLines/>
        <w:rPr>
          <w:lang w:val="en-US"/>
        </w:rPr>
      </w:pPr>
      <w:r w:rsidRPr="008573F3">
        <w:rPr>
          <w:lang w:val="en-US"/>
        </w:rPr>
        <w:t xml:space="preserve">The preparation of the financial statements in </w:t>
      </w:r>
      <w:r w:rsidRPr="002D4376">
        <w:rPr>
          <w:lang w:val="en-US"/>
        </w:rPr>
        <w:t>accordance with CPCs and IFRS requires</w:t>
      </w:r>
      <w:r w:rsidRPr="008573F3">
        <w:rPr>
          <w:lang w:val="en-US"/>
        </w:rPr>
        <w:t xml:space="preserve"> that the Management make judgments and estimates affecting the recognized amounts referring to assets, liabilities, income and expenses</w:t>
      </w:r>
      <w:r>
        <w:rPr>
          <w:lang w:val="en-US"/>
        </w:rPr>
        <w:t>,</w:t>
      </w:r>
      <w:r w:rsidRPr="008573F3">
        <w:rPr>
          <w:lang w:val="en-US"/>
        </w:rPr>
        <w:t xml:space="preserve"> Estimates and assumptions adopted are</w:t>
      </w:r>
      <w:r>
        <w:rPr>
          <w:lang w:val="en-US"/>
        </w:rPr>
        <w:t xml:space="preserve"> </w:t>
      </w:r>
      <w:r w:rsidRPr="008573F3">
        <w:rPr>
          <w:lang w:val="en-US"/>
        </w:rPr>
        <w:t>analyzed on a continuous basis, and revisions are carried out and recognized in the period in which the estimate is reevaluated, with prospective effects</w:t>
      </w:r>
      <w:r>
        <w:rPr>
          <w:lang w:val="en-US"/>
        </w:rPr>
        <w:t>,</w:t>
      </w:r>
      <w:r w:rsidRPr="008573F3">
        <w:rPr>
          <w:lang w:val="en-US"/>
        </w:rPr>
        <w:t xml:space="preserve"> The actual results obtained may be different from estimates used herein</w:t>
      </w:r>
      <w:r>
        <w:rPr>
          <w:lang w:val="en-US"/>
        </w:rPr>
        <w:t>.</w:t>
      </w:r>
    </w:p>
    <w:p w14:paraId="7EE3407B" w14:textId="77777777" w:rsidR="006A362F" w:rsidRPr="008573F3" w:rsidRDefault="006A362F" w:rsidP="00CB214C">
      <w:pPr>
        <w:pStyle w:val="05-Textonormal"/>
        <w:rPr>
          <w:lang w:val="en-US"/>
        </w:rPr>
      </w:pPr>
      <w:r w:rsidRPr="008573F3">
        <w:rPr>
          <w:lang w:val="en-US"/>
        </w:rPr>
        <w:t xml:space="preserve">Taking into consideration that there are certain alternatives to accounting treatments, the results </w:t>
      </w:r>
      <w:r>
        <w:rPr>
          <w:lang w:val="en-US"/>
        </w:rPr>
        <w:t xml:space="preserve">that </w:t>
      </w:r>
      <w:r w:rsidRPr="008573F3">
        <w:rPr>
          <w:lang w:val="en-US"/>
        </w:rPr>
        <w:t>are disclosed</w:t>
      </w:r>
      <w:r w:rsidRPr="008573F3">
        <w:rPr>
          <w:rFonts w:cs="Arial"/>
          <w:lang w:val="en-US"/>
        </w:rPr>
        <w:t xml:space="preserve"> </w:t>
      </w:r>
      <w:r w:rsidRPr="008573F3">
        <w:rPr>
          <w:lang w:val="en-US"/>
        </w:rPr>
        <w:t>could be different, in the event a different treatment</w:t>
      </w:r>
      <w:r>
        <w:rPr>
          <w:lang w:val="en-US"/>
        </w:rPr>
        <w:t xml:space="preserve"> had</w:t>
      </w:r>
      <w:r w:rsidRPr="00D83A01">
        <w:rPr>
          <w:color w:val="FF0000"/>
          <w:lang w:val="en-US"/>
        </w:rPr>
        <w:t xml:space="preserve"> </w:t>
      </w:r>
      <w:r>
        <w:rPr>
          <w:lang w:val="en-US"/>
        </w:rPr>
        <w:t>b</w:t>
      </w:r>
      <w:r w:rsidRPr="008573F3">
        <w:rPr>
          <w:lang w:val="en-US"/>
        </w:rPr>
        <w:t>een chosen</w:t>
      </w:r>
      <w:r>
        <w:rPr>
          <w:lang w:val="en-US"/>
        </w:rPr>
        <w:t>,</w:t>
      </w:r>
      <w:r w:rsidRPr="008573F3">
        <w:rPr>
          <w:lang w:val="en-US"/>
        </w:rPr>
        <w:t xml:space="preserve"> Management considers that the choices made are appropriate and that the financial statements fairly present the consolidated financial position of BB Seguridade and the result of its operations in all material aspects</w:t>
      </w:r>
      <w:r>
        <w:rPr>
          <w:lang w:val="en-US"/>
        </w:rPr>
        <w:t>.</w:t>
      </w:r>
    </w:p>
    <w:p w14:paraId="6F2DBB2C" w14:textId="77777777" w:rsidR="006A362F" w:rsidRDefault="006A362F" w:rsidP="00001B11">
      <w:pPr>
        <w:pStyle w:val="05-Textonormal"/>
        <w:rPr>
          <w:lang w:val="en-US"/>
        </w:rPr>
      </w:pP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w:t>
      </w:r>
      <w:r>
        <w:rPr>
          <w:lang w:val="en-US"/>
        </w:rPr>
        <w:t>.</w:t>
      </w:r>
      <w:r w:rsidRPr="008573F3">
        <w:rPr>
          <w:lang w:val="en-US"/>
        </w:rPr>
        <w:t xml:space="preserve">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bookmarkEnd w:id="17"/>
      <w:r>
        <w:rPr>
          <w:lang w:val="en-US"/>
        </w:rPr>
        <w:t>.</w:t>
      </w:r>
    </w:p>
    <w:p w14:paraId="48727701" w14:textId="77777777" w:rsidR="006A362F" w:rsidRDefault="006A362F" w:rsidP="00001B11">
      <w:pPr>
        <w:pStyle w:val="05-Textonormal"/>
        <w:rPr>
          <w:lang w:val="en-US"/>
        </w:rPr>
      </w:pPr>
    </w:p>
    <w:p w14:paraId="6A4C2A1E" w14:textId="77777777" w:rsidR="006A362F" w:rsidRDefault="006A362F" w:rsidP="00001324">
      <w:pPr>
        <w:pStyle w:val="03-SubttulodeNota"/>
        <w:keepNext/>
        <w:rPr>
          <w:color w:val="1F4E79" w:themeColor="accent1" w:themeShade="80"/>
          <w:sz w:val="18"/>
          <w:szCs w:val="18"/>
          <w:lang w:val="en-US"/>
        </w:rPr>
      </w:pPr>
      <w:r w:rsidRPr="00126209">
        <w:rPr>
          <w:color w:val="1F4E79" w:themeColor="accent1" w:themeShade="80"/>
          <w:sz w:val="18"/>
          <w:szCs w:val="18"/>
          <w:lang w:val="en-US"/>
        </w:rPr>
        <w:t xml:space="preserve">h) </w:t>
      </w:r>
      <w:r w:rsidRPr="0043117D">
        <w:rPr>
          <w:color w:val="1F4E79" w:themeColor="accent1" w:themeShade="80"/>
          <w:sz w:val="18"/>
          <w:szCs w:val="18"/>
          <w:lang w:val="en-US"/>
        </w:rPr>
        <w:t>Initial adoption of CPC 50 [IFRS 17] and CPC 48 [IFRS 9] for operating investees that sell insurance contracts</w:t>
      </w:r>
    </w:p>
    <w:p w14:paraId="06F8A90D" w14:textId="77777777" w:rsidR="006A362F" w:rsidRPr="0084275E" w:rsidRDefault="006A362F" w:rsidP="0084275E">
      <w:pPr>
        <w:pStyle w:val="03-SubttulodeNota"/>
        <w:keepNext/>
        <w:rPr>
          <w:rFonts w:cs="Arial"/>
          <w:b w:val="0"/>
          <w:spacing w:val="0"/>
          <w:kern w:val="20"/>
          <w:sz w:val="18"/>
          <w:lang w:val="en-US"/>
        </w:rPr>
      </w:pPr>
      <w:r w:rsidRPr="0084275E">
        <w:rPr>
          <w:rFonts w:cs="Arial"/>
          <w:b w:val="0"/>
          <w:spacing w:val="0"/>
          <w:kern w:val="20"/>
          <w:sz w:val="18"/>
          <w:lang w:val="en-US"/>
        </w:rPr>
        <w:t>The investee companies impacted by these standards, due to the initial adoption as of January 2023, carried out, for the purposes of the transition requirements of the standards, the application by the retrospective or fair value approach. Such impacts were reflected in the financial statements of BB Seguridade, with effects on Investments in Shareholdings and Equity.</w:t>
      </w:r>
    </w:p>
    <w:p w14:paraId="0C7A1DA2" w14:textId="77777777" w:rsidR="006A362F" w:rsidRDefault="006A362F" w:rsidP="0084275E">
      <w:pPr>
        <w:pStyle w:val="03-SubttulodeNota"/>
        <w:keepNext/>
        <w:rPr>
          <w:rFonts w:cs="Arial"/>
          <w:b w:val="0"/>
          <w:spacing w:val="0"/>
          <w:kern w:val="20"/>
          <w:sz w:val="18"/>
          <w:lang w:val="en-US"/>
        </w:rPr>
      </w:pPr>
      <w:r w:rsidRPr="0084275E">
        <w:rPr>
          <w:rFonts w:cs="Arial"/>
          <w:b w:val="0"/>
          <w:spacing w:val="0"/>
          <w:kern w:val="20"/>
          <w:sz w:val="18"/>
          <w:lang w:val="en-US"/>
        </w:rPr>
        <w:t>The impacts on the presentation of accounting information, proportional to equity interests, for comparison purposes are shown in the tables below:</w:t>
      </w:r>
    </w:p>
    <w:p w14:paraId="43CF9563" w14:textId="77777777" w:rsidR="006A362F" w:rsidRPr="0084275E" w:rsidRDefault="006A362F" w:rsidP="0084275E">
      <w:pPr>
        <w:pStyle w:val="03-SubttulodeNota"/>
        <w:keepNext/>
        <w:rPr>
          <w:color w:val="1F4E79" w:themeColor="accent1" w:themeShade="80"/>
          <w:lang w:val="en-US"/>
        </w:rPr>
      </w:pPr>
      <w:r w:rsidRPr="0084275E">
        <w:rPr>
          <w:color w:val="1F4E79" w:themeColor="accent1" w:themeShade="80"/>
          <w:lang w:val="en-US"/>
        </w:rPr>
        <w:t>Investments in Associates</w:t>
      </w:r>
    </w:p>
    <w:p w14:paraId="0DA2C006" w14:textId="77777777" w:rsidR="006A362F" w:rsidRDefault="006A362F" w:rsidP="001D4E06">
      <w:pPr>
        <w:spacing w:after="0" w:line="240" w:lineRule="auto"/>
        <w:jc w:val="right"/>
        <w:rPr>
          <w:rFonts w:cs="Arial"/>
          <w:b/>
          <w:sz w:val="14"/>
          <w:lang w:eastAsia="pt-BR"/>
        </w:rPr>
      </w:pPr>
      <w:r w:rsidRPr="00FC6C4B">
        <w:rPr>
          <w:rFonts w:cs="Arial"/>
          <w:b/>
          <w:sz w:val="14"/>
          <w:lang w:eastAsia="pt-BR"/>
        </w:rPr>
        <w:t xml:space="preserve">R$ </w:t>
      </w:r>
      <w:r>
        <w:rPr>
          <w:rFonts w:cs="Arial"/>
          <w:b/>
          <w:sz w:val="14"/>
          <w:lang w:eastAsia="pt-BR"/>
        </w:rPr>
        <w:t>thousand</w:t>
      </w:r>
    </w:p>
    <w:tbl>
      <w:tblPr>
        <w:tblW w:w="5000" w:type="pct"/>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111"/>
        <w:gridCol w:w="1842"/>
        <w:gridCol w:w="1842"/>
        <w:gridCol w:w="1843"/>
      </w:tblGrid>
      <w:tr w:rsidR="006A362F" w14:paraId="6EF800AC" w14:textId="77777777" w:rsidTr="0084275E">
        <w:trPr>
          <w:trHeight w:val="238"/>
          <w:jc w:val="center"/>
        </w:trPr>
        <w:tc>
          <w:tcPr>
            <w:tcW w:w="4111" w:type="dxa"/>
            <w:tcBorders>
              <w:top w:val="single" w:sz="2" w:space="0" w:color="1F4E79" w:themeColor="accent1" w:themeShade="80"/>
              <w:left w:val="nil"/>
              <w:bottom w:val="single" w:sz="2" w:space="0" w:color="1F4E79" w:themeColor="accent1" w:themeShade="80"/>
              <w:right w:val="nil"/>
            </w:tcBorders>
            <w:vAlign w:val="center"/>
            <w:hideMark/>
          </w:tcPr>
          <w:p w14:paraId="37AD5D7A" w14:textId="77777777" w:rsidR="006A362F" w:rsidRDefault="006A362F">
            <w:pPr>
              <w:pStyle w:val="08-Tabelageral"/>
              <w:spacing w:line="256" w:lineRule="auto"/>
              <w:jc w:val="center"/>
              <w:rPr>
                <w:rFonts w:cs="Arial"/>
                <w:b/>
                <w:bCs/>
                <w:szCs w:val="14"/>
                <w:lang w:eastAsia="en-US"/>
              </w:rPr>
            </w:pPr>
            <w:r w:rsidRPr="0084275E">
              <w:rPr>
                <w:rFonts w:cs="Arial"/>
                <w:b/>
                <w:bCs/>
                <w:szCs w:val="14"/>
                <w:lang w:eastAsia="en-US"/>
              </w:rPr>
              <w:t>Investments in Associates</w:t>
            </w:r>
          </w:p>
        </w:tc>
        <w:tc>
          <w:tcPr>
            <w:tcW w:w="1842" w:type="dxa"/>
            <w:tcBorders>
              <w:top w:val="single" w:sz="2" w:space="0" w:color="1F4E79" w:themeColor="accent1" w:themeShade="80"/>
              <w:left w:val="nil"/>
              <w:bottom w:val="single" w:sz="2" w:space="0" w:color="1F4E79" w:themeColor="accent1" w:themeShade="80"/>
              <w:right w:val="nil"/>
            </w:tcBorders>
            <w:vAlign w:val="center"/>
            <w:hideMark/>
          </w:tcPr>
          <w:p w14:paraId="10E7ED1C" w14:textId="77777777" w:rsidR="006A362F" w:rsidRDefault="006A362F">
            <w:pPr>
              <w:pStyle w:val="08-Tabelageral"/>
              <w:spacing w:line="256" w:lineRule="auto"/>
              <w:jc w:val="center"/>
              <w:rPr>
                <w:rFonts w:cs="Arial"/>
                <w:b/>
                <w:bCs/>
                <w:szCs w:val="14"/>
                <w:lang w:eastAsia="en-US"/>
              </w:rPr>
            </w:pPr>
            <w:r>
              <w:rPr>
                <w:rFonts w:cs="Arial"/>
                <w:b/>
                <w:bCs/>
                <w:szCs w:val="14"/>
                <w:lang w:eastAsia="en-US"/>
              </w:rPr>
              <w:t xml:space="preserve">Balance em </w:t>
            </w:r>
            <w:r w:rsidRPr="00681217">
              <w:rPr>
                <w:rFonts w:cs="Arial"/>
                <w:b/>
                <w:bCs/>
                <w:szCs w:val="14"/>
                <w:lang w:val="en-US"/>
              </w:rPr>
              <w:t>Dec 31, 2021</w:t>
            </w:r>
          </w:p>
        </w:tc>
        <w:tc>
          <w:tcPr>
            <w:tcW w:w="1842" w:type="dxa"/>
            <w:tcBorders>
              <w:top w:val="single" w:sz="2" w:space="0" w:color="1F4E79" w:themeColor="accent1" w:themeShade="80"/>
              <w:left w:val="nil"/>
              <w:bottom w:val="single" w:sz="2" w:space="0" w:color="1F4E79" w:themeColor="accent1" w:themeShade="80"/>
              <w:right w:val="nil"/>
            </w:tcBorders>
            <w:vAlign w:val="center"/>
            <w:hideMark/>
          </w:tcPr>
          <w:p w14:paraId="2C801235" w14:textId="77777777" w:rsidR="006A362F" w:rsidRDefault="006A362F">
            <w:pPr>
              <w:pStyle w:val="08-Tabelageral"/>
              <w:spacing w:line="256" w:lineRule="auto"/>
              <w:jc w:val="center"/>
              <w:rPr>
                <w:rFonts w:cs="Arial"/>
                <w:b/>
                <w:bCs/>
                <w:szCs w:val="14"/>
                <w:lang w:eastAsia="en-US"/>
              </w:rPr>
            </w:pPr>
            <w:r w:rsidRPr="0084275E">
              <w:rPr>
                <w:rFonts w:cs="Arial"/>
                <w:b/>
                <w:bCs/>
                <w:lang w:eastAsia="en-US"/>
              </w:rPr>
              <w:t>Impacts of initial adoption</w:t>
            </w:r>
          </w:p>
        </w:tc>
        <w:tc>
          <w:tcPr>
            <w:tcW w:w="1843" w:type="dxa"/>
            <w:tcBorders>
              <w:top w:val="single" w:sz="2" w:space="0" w:color="1F4E79" w:themeColor="accent1" w:themeShade="80"/>
              <w:left w:val="nil"/>
              <w:bottom w:val="single" w:sz="2" w:space="0" w:color="1F4E79" w:themeColor="accent1" w:themeShade="80"/>
              <w:right w:val="nil"/>
            </w:tcBorders>
            <w:vAlign w:val="center"/>
            <w:hideMark/>
          </w:tcPr>
          <w:p w14:paraId="48473639" w14:textId="77777777" w:rsidR="006A362F" w:rsidRDefault="006A362F">
            <w:pPr>
              <w:pStyle w:val="08-Tabelageral"/>
              <w:spacing w:line="256" w:lineRule="auto"/>
              <w:jc w:val="center"/>
              <w:rPr>
                <w:rFonts w:cs="Arial"/>
                <w:b/>
                <w:bCs/>
                <w:szCs w:val="14"/>
                <w:lang w:eastAsia="en-US"/>
              </w:rPr>
            </w:pPr>
            <w:r>
              <w:rPr>
                <w:rFonts w:cs="Arial"/>
                <w:b/>
                <w:bCs/>
                <w:szCs w:val="14"/>
                <w:lang w:eastAsia="en-US"/>
              </w:rPr>
              <w:t xml:space="preserve">Balance </w:t>
            </w:r>
            <w:r>
              <w:rPr>
                <w:rFonts w:cs="Arial"/>
                <w:b/>
                <w:bCs/>
                <w:szCs w:val="14"/>
                <w:lang w:val="en-US"/>
              </w:rPr>
              <w:t>Jan</w:t>
            </w:r>
            <w:r w:rsidRPr="00681217">
              <w:rPr>
                <w:rFonts w:cs="Arial"/>
                <w:b/>
                <w:bCs/>
                <w:szCs w:val="14"/>
                <w:lang w:val="en-US"/>
              </w:rPr>
              <w:t xml:space="preserve"> </w:t>
            </w:r>
            <w:r>
              <w:rPr>
                <w:rFonts w:cs="Arial"/>
                <w:b/>
                <w:bCs/>
                <w:szCs w:val="14"/>
                <w:lang w:val="en-US"/>
              </w:rPr>
              <w:t>0</w:t>
            </w:r>
            <w:r w:rsidRPr="00681217">
              <w:rPr>
                <w:rFonts w:cs="Arial"/>
                <w:b/>
                <w:bCs/>
                <w:szCs w:val="14"/>
                <w:lang w:val="en-US"/>
              </w:rPr>
              <w:t>1, 202</w:t>
            </w:r>
            <w:r>
              <w:rPr>
                <w:rFonts w:cs="Arial"/>
                <w:b/>
                <w:bCs/>
                <w:szCs w:val="14"/>
                <w:lang w:val="en-US"/>
              </w:rPr>
              <w:t>2</w:t>
            </w:r>
          </w:p>
        </w:tc>
      </w:tr>
      <w:tr w:rsidR="006A362F" w14:paraId="734CE827" w14:textId="77777777" w:rsidTr="0084275E">
        <w:trPr>
          <w:trHeight w:val="238"/>
          <w:jc w:val="center"/>
        </w:trPr>
        <w:tc>
          <w:tcPr>
            <w:tcW w:w="4111" w:type="dxa"/>
            <w:tcBorders>
              <w:top w:val="single" w:sz="2" w:space="0" w:color="1F4E79" w:themeColor="accent1" w:themeShade="80"/>
              <w:left w:val="nil"/>
              <w:bottom w:val="nil"/>
              <w:right w:val="nil"/>
            </w:tcBorders>
            <w:hideMark/>
          </w:tcPr>
          <w:p w14:paraId="3B3EA9C4" w14:textId="77777777" w:rsidR="006A362F" w:rsidRDefault="006A362F">
            <w:pPr>
              <w:pStyle w:val="08-Tabelageral"/>
              <w:spacing w:line="256" w:lineRule="auto"/>
              <w:ind w:left="113"/>
              <w:jc w:val="left"/>
              <w:rPr>
                <w:rFonts w:cs="Arial"/>
                <w:szCs w:val="14"/>
                <w:lang w:eastAsia="en-US"/>
              </w:rPr>
            </w:pPr>
            <w:r>
              <w:rPr>
                <w:rFonts w:cs="Arial"/>
                <w:szCs w:val="14"/>
                <w:lang w:eastAsia="en-US"/>
              </w:rPr>
              <w:t>BB MAPFRE Participações S.A.</w:t>
            </w:r>
          </w:p>
        </w:tc>
        <w:tc>
          <w:tcPr>
            <w:tcW w:w="1842" w:type="dxa"/>
            <w:tcBorders>
              <w:top w:val="single" w:sz="2" w:space="0" w:color="1F4E79" w:themeColor="accent1" w:themeShade="80"/>
              <w:left w:val="nil"/>
              <w:bottom w:val="nil"/>
              <w:right w:val="nil"/>
            </w:tcBorders>
            <w:hideMark/>
          </w:tcPr>
          <w:p w14:paraId="6E03919A" w14:textId="77777777" w:rsidR="006A362F" w:rsidRDefault="006A362F">
            <w:pPr>
              <w:pStyle w:val="08-Tabelageral"/>
              <w:spacing w:line="256" w:lineRule="auto"/>
              <w:rPr>
                <w:rFonts w:cs="Arial"/>
                <w:szCs w:val="14"/>
                <w:highlight w:val="yellow"/>
                <w:lang w:eastAsia="en-US"/>
              </w:rPr>
            </w:pPr>
            <w:r>
              <w:rPr>
                <w:lang w:eastAsia="en-US"/>
              </w:rPr>
              <w:t>2,337,086</w:t>
            </w:r>
          </w:p>
        </w:tc>
        <w:tc>
          <w:tcPr>
            <w:tcW w:w="1842" w:type="dxa"/>
            <w:tcBorders>
              <w:top w:val="single" w:sz="2" w:space="0" w:color="1F4E79" w:themeColor="accent1" w:themeShade="80"/>
              <w:left w:val="nil"/>
              <w:bottom w:val="nil"/>
              <w:right w:val="nil"/>
            </w:tcBorders>
            <w:hideMark/>
          </w:tcPr>
          <w:p w14:paraId="19F5B324" w14:textId="77777777" w:rsidR="006A362F" w:rsidRDefault="006A362F">
            <w:pPr>
              <w:pStyle w:val="08-Tabelageral"/>
              <w:spacing w:line="256" w:lineRule="auto"/>
              <w:rPr>
                <w:rFonts w:cs="Arial"/>
                <w:szCs w:val="14"/>
                <w:lang w:eastAsia="en-US"/>
              </w:rPr>
            </w:pPr>
            <w:r>
              <w:rPr>
                <w:lang w:eastAsia="en-US"/>
              </w:rPr>
              <w:t>278,179</w:t>
            </w:r>
          </w:p>
        </w:tc>
        <w:tc>
          <w:tcPr>
            <w:tcW w:w="1843" w:type="dxa"/>
            <w:tcBorders>
              <w:top w:val="single" w:sz="2" w:space="0" w:color="1F4E79" w:themeColor="accent1" w:themeShade="80"/>
              <w:left w:val="nil"/>
              <w:bottom w:val="nil"/>
              <w:right w:val="nil"/>
            </w:tcBorders>
            <w:hideMark/>
          </w:tcPr>
          <w:p w14:paraId="01E618AA" w14:textId="77777777" w:rsidR="006A362F" w:rsidRDefault="006A362F">
            <w:pPr>
              <w:pStyle w:val="08-Tabelageral"/>
              <w:spacing w:line="256" w:lineRule="auto"/>
              <w:rPr>
                <w:rFonts w:cs="Arial"/>
                <w:szCs w:val="14"/>
                <w:highlight w:val="yellow"/>
                <w:lang w:eastAsia="en-US"/>
              </w:rPr>
            </w:pPr>
            <w:r>
              <w:rPr>
                <w:lang w:eastAsia="en-US"/>
              </w:rPr>
              <w:t>2,615,265</w:t>
            </w:r>
          </w:p>
        </w:tc>
      </w:tr>
      <w:tr w:rsidR="006A362F" w14:paraId="1AC49D3B" w14:textId="77777777" w:rsidTr="0084275E">
        <w:trPr>
          <w:trHeight w:val="238"/>
          <w:jc w:val="center"/>
        </w:trPr>
        <w:tc>
          <w:tcPr>
            <w:tcW w:w="4111" w:type="dxa"/>
            <w:tcBorders>
              <w:top w:val="nil"/>
              <w:left w:val="nil"/>
              <w:bottom w:val="nil"/>
              <w:right w:val="nil"/>
            </w:tcBorders>
            <w:hideMark/>
          </w:tcPr>
          <w:p w14:paraId="68731B6D" w14:textId="77777777" w:rsidR="006A362F" w:rsidRDefault="006A362F">
            <w:pPr>
              <w:pStyle w:val="08-Tabelageral"/>
              <w:spacing w:line="256" w:lineRule="auto"/>
              <w:ind w:left="113"/>
              <w:jc w:val="left"/>
              <w:rPr>
                <w:rFonts w:cs="Arial"/>
                <w:szCs w:val="14"/>
                <w:lang w:eastAsia="en-US"/>
              </w:rPr>
            </w:pPr>
            <w:r>
              <w:rPr>
                <w:rFonts w:cs="Arial"/>
                <w:szCs w:val="14"/>
                <w:lang w:eastAsia="en-US"/>
              </w:rPr>
              <w:t>Brasilprev Seguros e Previdência S.A.</w:t>
            </w:r>
          </w:p>
        </w:tc>
        <w:tc>
          <w:tcPr>
            <w:tcW w:w="1842" w:type="dxa"/>
            <w:tcBorders>
              <w:top w:val="nil"/>
              <w:left w:val="nil"/>
              <w:bottom w:val="nil"/>
              <w:right w:val="nil"/>
            </w:tcBorders>
            <w:hideMark/>
          </w:tcPr>
          <w:p w14:paraId="22F00DB9" w14:textId="77777777" w:rsidR="006A362F" w:rsidRDefault="006A362F">
            <w:pPr>
              <w:pStyle w:val="08-Tabelageral"/>
              <w:spacing w:line="256" w:lineRule="auto"/>
              <w:rPr>
                <w:rFonts w:cs="Arial"/>
                <w:szCs w:val="14"/>
                <w:lang w:eastAsia="en-US"/>
              </w:rPr>
            </w:pPr>
            <w:r>
              <w:rPr>
                <w:lang w:eastAsia="en-US"/>
              </w:rPr>
              <w:t>4,354,377</w:t>
            </w:r>
          </w:p>
        </w:tc>
        <w:tc>
          <w:tcPr>
            <w:tcW w:w="1842" w:type="dxa"/>
            <w:tcBorders>
              <w:top w:val="nil"/>
              <w:left w:val="nil"/>
              <w:bottom w:val="nil"/>
              <w:right w:val="nil"/>
            </w:tcBorders>
            <w:hideMark/>
          </w:tcPr>
          <w:p w14:paraId="6E4B45F9" w14:textId="77777777" w:rsidR="006A362F" w:rsidRDefault="006A362F">
            <w:pPr>
              <w:pStyle w:val="08-Tabelageral"/>
              <w:spacing w:line="256" w:lineRule="auto"/>
              <w:rPr>
                <w:rFonts w:cs="Arial"/>
                <w:szCs w:val="14"/>
                <w:lang w:eastAsia="en-US"/>
              </w:rPr>
            </w:pPr>
            <w:r>
              <w:rPr>
                <w:lang w:eastAsia="en-US"/>
              </w:rPr>
              <w:t>(164,926)</w:t>
            </w:r>
          </w:p>
        </w:tc>
        <w:tc>
          <w:tcPr>
            <w:tcW w:w="1843" w:type="dxa"/>
            <w:tcBorders>
              <w:top w:val="nil"/>
              <w:left w:val="nil"/>
              <w:bottom w:val="nil"/>
              <w:right w:val="nil"/>
            </w:tcBorders>
            <w:hideMark/>
          </w:tcPr>
          <w:p w14:paraId="58C86481" w14:textId="77777777" w:rsidR="006A362F" w:rsidRDefault="006A362F">
            <w:pPr>
              <w:pStyle w:val="08-Tabelageral"/>
              <w:spacing w:line="256" w:lineRule="auto"/>
              <w:rPr>
                <w:rFonts w:cs="Arial"/>
                <w:szCs w:val="14"/>
                <w:lang w:eastAsia="en-US"/>
              </w:rPr>
            </w:pPr>
            <w:r>
              <w:rPr>
                <w:lang w:eastAsia="en-US"/>
              </w:rPr>
              <w:t>4,189,451</w:t>
            </w:r>
          </w:p>
        </w:tc>
      </w:tr>
      <w:tr w:rsidR="006A362F" w14:paraId="1D0B6A45" w14:textId="77777777" w:rsidTr="0084275E">
        <w:trPr>
          <w:trHeight w:val="238"/>
          <w:jc w:val="center"/>
        </w:trPr>
        <w:tc>
          <w:tcPr>
            <w:tcW w:w="4111" w:type="dxa"/>
            <w:tcBorders>
              <w:top w:val="nil"/>
              <w:left w:val="nil"/>
              <w:bottom w:val="nil"/>
              <w:right w:val="nil"/>
            </w:tcBorders>
            <w:hideMark/>
          </w:tcPr>
          <w:p w14:paraId="03D09749" w14:textId="77777777" w:rsidR="006A362F" w:rsidRDefault="006A362F">
            <w:pPr>
              <w:pStyle w:val="08-Tabelageral"/>
              <w:spacing w:line="256" w:lineRule="auto"/>
              <w:ind w:left="113"/>
              <w:jc w:val="left"/>
              <w:rPr>
                <w:rFonts w:cs="Arial"/>
                <w:szCs w:val="14"/>
                <w:lang w:eastAsia="en-US"/>
              </w:rPr>
            </w:pPr>
            <w:r>
              <w:rPr>
                <w:rFonts w:cs="Arial"/>
                <w:szCs w:val="14"/>
                <w:lang w:eastAsia="en-US"/>
              </w:rPr>
              <w:t>Brasildental Operadora de Planos Odontológicos S.A.</w:t>
            </w:r>
          </w:p>
        </w:tc>
        <w:tc>
          <w:tcPr>
            <w:tcW w:w="1842" w:type="dxa"/>
            <w:tcBorders>
              <w:top w:val="nil"/>
              <w:left w:val="nil"/>
              <w:bottom w:val="nil"/>
              <w:right w:val="nil"/>
            </w:tcBorders>
            <w:hideMark/>
          </w:tcPr>
          <w:p w14:paraId="74487D7E" w14:textId="77777777" w:rsidR="006A362F" w:rsidRDefault="006A362F">
            <w:pPr>
              <w:pStyle w:val="08-Tabelageral"/>
              <w:spacing w:line="256" w:lineRule="auto"/>
              <w:rPr>
                <w:rFonts w:cs="Arial"/>
                <w:szCs w:val="14"/>
                <w:lang w:eastAsia="en-US"/>
              </w:rPr>
            </w:pPr>
            <w:r>
              <w:rPr>
                <w:lang w:eastAsia="en-US"/>
              </w:rPr>
              <w:t>16,088</w:t>
            </w:r>
          </w:p>
        </w:tc>
        <w:tc>
          <w:tcPr>
            <w:tcW w:w="1842" w:type="dxa"/>
            <w:tcBorders>
              <w:top w:val="nil"/>
              <w:left w:val="nil"/>
              <w:bottom w:val="nil"/>
              <w:right w:val="nil"/>
            </w:tcBorders>
            <w:hideMark/>
          </w:tcPr>
          <w:p w14:paraId="1C0350E6" w14:textId="77777777" w:rsidR="006A362F" w:rsidRDefault="006A362F">
            <w:pPr>
              <w:pStyle w:val="08-Tabelageral"/>
              <w:spacing w:line="256" w:lineRule="auto"/>
              <w:rPr>
                <w:rFonts w:cs="Arial"/>
                <w:szCs w:val="14"/>
                <w:lang w:eastAsia="en-US"/>
              </w:rPr>
            </w:pPr>
            <w:r>
              <w:rPr>
                <w:lang w:eastAsia="en-US"/>
              </w:rPr>
              <w:t>1,888</w:t>
            </w:r>
          </w:p>
        </w:tc>
        <w:tc>
          <w:tcPr>
            <w:tcW w:w="1843" w:type="dxa"/>
            <w:tcBorders>
              <w:top w:val="nil"/>
              <w:left w:val="nil"/>
              <w:bottom w:val="nil"/>
              <w:right w:val="nil"/>
            </w:tcBorders>
            <w:hideMark/>
          </w:tcPr>
          <w:p w14:paraId="4643406D" w14:textId="77777777" w:rsidR="006A362F" w:rsidRDefault="006A362F">
            <w:pPr>
              <w:pStyle w:val="08-Tabelageral"/>
              <w:spacing w:line="256" w:lineRule="auto"/>
              <w:rPr>
                <w:rFonts w:cs="Arial"/>
                <w:szCs w:val="14"/>
                <w:lang w:eastAsia="en-US"/>
              </w:rPr>
            </w:pPr>
            <w:r>
              <w:rPr>
                <w:lang w:eastAsia="en-US"/>
              </w:rPr>
              <w:t>17,976</w:t>
            </w:r>
          </w:p>
        </w:tc>
      </w:tr>
      <w:tr w:rsidR="006A362F" w14:paraId="51585726" w14:textId="77777777" w:rsidTr="0084275E">
        <w:trPr>
          <w:trHeight w:val="238"/>
          <w:jc w:val="center"/>
        </w:trPr>
        <w:tc>
          <w:tcPr>
            <w:tcW w:w="4111" w:type="dxa"/>
            <w:tcBorders>
              <w:top w:val="nil"/>
              <w:left w:val="nil"/>
              <w:bottom w:val="nil"/>
              <w:right w:val="nil"/>
            </w:tcBorders>
            <w:hideMark/>
          </w:tcPr>
          <w:p w14:paraId="59F89648" w14:textId="77777777" w:rsidR="006A362F" w:rsidRDefault="006A362F">
            <w:pPr>
              <w:pStyle w:val="08-Tabelageral"/>
              <w:spacing w:line="256" w:lineRule="auto"/>
              <w:ind w:left="113"/>
              <w:jc w:val="left"/>
              <w:rPr>
                <w:rFonts w:cs="Arial"/>
                <w:lang w:eastAsia="en-US"/>
              </w:rPr>
            </w:pPr>
            <w:r>
              <w:rPr>
                <w:rFonts w:cs="Arial"/>
                <w:lang w:eastAsia="en-US"/>
              </w:rPr>
              <w:t xml:space="preserve">Brasilcap Capitalização S.A. </w:t>
            </w:r>
            <w:r>
              <w:rPr>
                <w:rFonts w:cs="Arial"/>
                <w:vertAlign w:val="superscript"/>
                <w:lang w:eastAsia="en-US"/>
              </w:rPr>
              <w:t>(1)</w:t>
            </w:r>
          </w:p>
        </w:tc>
        <w:tc>
          <w:tcPr>
            <w:tcW w:w="1842" w:type="dxa"/>
            <w:tcBorders>
              <w:top w:val="nil"/>
              <w:left w:val="nil"/>
              <w:bottom w:val="nil"/>
              <w:right w:val="nil"/>
            </w:tcBorders>
            <w:hideMark/>
          </w:tcPr>
          <w:p w14:paraId="30AA315B" w14:textId="77777777" w:rsidR="006A362F" w:rsidRDefault="006A362F">
            <w:pPr>
              <w:pStyle w:val="08-Tabelageral"/>
              <w:spacing w:line="256" w:lineRule="auto"/>
              <w:rPr>
                <w:rFonts w:cs="Arial"/>
                <w:szCs w:val="14"/>
                <w:lang w:eastAsia="en-US"/>
              </w:rPr>
            </w:pPr>
            <w:r>
              <w:rPr>
                <w:lang w:eastAsia="en-US"/>
              </w:rPr>
              <w:t>427,840</w:t>
            </w:r>
          </w:p>
        </w:tc>
        <w:tc>
          <w:tcPr>
            <w:tcW w:w="1842" w:type="dxa"/>
            <w:tcBorders>
              <w:top w:val="nil"/>
              <w:left w:val="nil"/>
              <w:bottom w:val="nil"/>
              <w:right w:val="nil"/>
            </w:tcBorders>
            <w:hideMark/>
          </w:tcPr>
          <w:p w14:paraId="0C344ACD" w14:textId="77777777" w:rsidR="006A362F" w:rsidRDefault="006A362F">
            <w:pPr>
              <w:pStyle w:val="08-Tabelageral"/>
              <w:spacing w:line="256" w:lineRule="auto"/>
              <w:rPr>
                <w:rFonts w:cs="Arial"/>
                <w:szCs w:val="14"/>
                <w:lang w:eastAsia="en-US"/>
              </w:rPr>
            </w:pPr>
            <w:r>
              <w:rPr>
                <w:lang w:eastAsia="en-US"/>
              </w:rPr>
              <w:t>--</w:t>
            </w:r>
          </w:p>
        </w:tc>
        <w:tc>
          <w:tcPr>
            <w:tcW w:w="1843" w:type="dxa"/>
            <w:tcBorders>
              <w:top w:val="nil"/>
              <w:left w:val="nil"/>
              <w:bottom w:val="nil"/>
              <w:right w:val="nil"/>
            </w:tcBorders>
            <w:hideMark/>
          </w:tcPr>
          <w:p w14:paraId="4D264CAD" w14:textId="77777777" w:rsidR="006A362F" w:rsidRDefault="006A362F">
            <w:pPr>
              <w:pStyle w:val="08-Tabelageral"/>
              <w:spacing w:line="256" w:lineRule="auto"/>
              <w:rPr>
                <w:rFonts w:cs="Arial"/>
                <w:szCs w:val="14"/>
                <w:lang w:eastAsia="en-US"/>
              </w:rPr>
            </w:pPr>
            <w:r>
              <w:rPr>
                <w:lang w:eastAsia="en-US"/>
              </w:rPr>
              <w:t>427,840</w:t>
            </w:r>
          </w:p>
        </w:tc>
      </w:tr>
      <w:tr w:rsidR="006A362F" w14:paraId="4AC4525A" w14:textId="77777777" w:rsidTr="0084275E">
        <w:trPr>
          <w:trHeight w:val="238"/>
          <w:jc w:val="center"/>
        </w:trPr>
        <w:tc>
          <w:tcPr>
            <w:tcW w:w="4111" w:type="dxa"/>
            <w:tcBorders>
              <w:top w:val="nil"/>
              <w:left w:val="nil"/>
              <w:bottom w:val="nil"/>
              <w:right w:val="nil"/>
            </w:tcBorders>
            <w:hideMark/>
          </w:tcPr>
          <w:p w14:paraId="45141F87" w14:textId="77777777" w:rsidR="006A362F" w:rsidRDefault="006A362F">
            <w:pPr>
              <w:pStyle w:val="08-Tabelageral"/>
              <w:spacing w:line="256" w:lineRule="auto"/>
              <w:ind w:left="113"/>
              <w:jc w:val="left"/>
              <w:rPr>
                <w:rFonts w:cs="Arial"/>
                <w:lang w:eastAsia="en-US"/>
              </w:rPr>
            </w:pPr>
            <w:r>
              <w:rPr>
                <w:rFonts w:cs="Arial"/>
                <w:lang w:eastAsia="en-US"/>
              </w:rPr>
              <w:t xml:space="preserve">Ciclic Corretora de Seguros S.A. </w:t>
            </w:r>
            <w:r>
              <w:rPr>
                <w:rFonts w:cs="Arial"/>
                <w:vertAlign w:val="superscript"/>
                <w:lang w:eastAsia="en-US"/>
              </w:rPr>
              <w:t>(1)</w:t>
            </w:r>
          </w:p>
        </w:tc>
        <w:tc>
          <w:tcPr>
            <w:tcW w:w="1842" w:type="dxa"/>
            <w:tcBorders>
              <w:top w:val="nil"/>
              <w:left w:val="nil"/>
              <w:bottom w:val="nil"/>
              <w:right w:val="nil"/>
            </w:tcBorders>
            <w:hideMark/>
          </w:tcPr>
          <w:p w14:paraId="300A45E7" w14:textId="77777777" w:rsidR="006A362F" w:rsidRDefault="006A362F">
            <w:pPr>
              <w:pStyle w:val="08-Tabelageral"/>
              <w:spacing w:line="256" w:lineRule="auto"/>
              <w:rPr>
                <w:rFonts w:cs="Arial"/>
                <w:szCs w:val="14"/>
                <w:lang w:eastAsia="en-US"/>
              </w:rPr>
            </w:pPr>
            <w:r>
              <w:rPr>
                <w:lang w:eastAsia="en-US"/>
              </w:rPr>
              <w:t>1,850</w:t>
            </w:r>
          </w:p>
        </w:tc>
        <w:tc>
          <w:tcPr>
            <w:tcW w:w="1842" w:type="dxa"/>
            <w:tcBorders>
              <w:top w:val="nil"/>
              <w:left w:val="nil"/>
              <w:bottom w:val="nil"/>
              <w:right w:val="nil"/>
            </w:tcBorders>
            <w:hideMark/>
          </w:tcPr>
          <w:p w14:paraId="152869D1" w14:textId="77777777" w:rsidR="006A362F" w:rsidRDefault="006A362F">
            <w:pPr>
              <w:pStyle w:val="08-Tabelageral"/>
              <w:spacing w:line="256" w:lineRule="auto"/>
              <w:rPr>
                <w:rFonts w:cs="Arial"/>
                <w:lang w:eastAsia="en-US"/>
              </w:rPr>
            </w:pPr>
            <w:r>
              <w:rPr>
                <w:lang w:eastAsia="en-US"/>
              </w:rPr>
              <w:t>--</w:t>
            </w:r>
          </w:p>
        </w:tc>
        <w:tc>
          <w:tcPr>
            <w:tcW w:w="1843" w:type="dxa"/>
            <w:tcBorders>
              <w:top w:val="nil"/>
              <w:left w:val="nil"/>
              <w:bottom w:val="nil"/>
              <w:right w:val="nil"/>
            </w:tcBorders>
            <w:hideMark/>
          </w:tcPr>
          <w:p w14:paraId="4A70218F" w14:textId="77777777" w:rsidR="006A362F" w:rsidRDefault="006A362F">
            <w:pPr>
              <w:pStyle w:val="08-Tabelageral"/>
              <w:spacing w:line="256" w:lineRule="auto"/>
              <w:rPr>
                <w:rFonts w:cs="Arial"/>
                <w:szCs w:val="14"/>
                <w:lang w:eastAsia="en-US"/>
              </w:rPr>
            </w:pPr>
            <w:r>
              <w:rPr>
                <w:lang w:eastAsia="en-US"/>
              </w:rPr>
              <w:t>1,850</w:t>
            </w:r>
          </w:p>
        </w:tc>
      </w:tr>
      <w:tr w:rsidR="006A362F" w14:paraId="732D4A13" w14:textId="77777777" w:rsidTr="0084275E">
        <w:trPr>
          <w:trHeight w:val="238"/>
          <w:jc w:val="center"/>
        </w:trPr>
        <w:tc>
          <w:tcPr>
            <w:tcW w:w="4111" w:type="dxa"/>
            <w:tcBorders>
              <w:top w:val="nil"/>
              <w:left w:val="nil"/>
              <w:bottom w:val="single" w:sz="2" w:space="0" w:color="1F4E79" w:themeColor="accent1" w:themeShade="80"/>
              <w:right w:val="nil"/>
            </w:tcBorders>
            <w:hideMark/>
          </w:tcPr>
          <w:p w14:paraId="689813A5" w14:textId="77777777" w:rsidR="006A362F" w:rsidRDefault="006A362F">
            <w:pPr>
              <w:pStyle w:val="08-Tabelageral"/>
              <w:spacing w:line="256" w:lineRule="auto"/>
              <w:jc w:val="left"/>
              <w:rPr>
                <w:rFonts w:cs="Arial"/>
                <w:b/>
                <w:bCs/>
                <w:lang w:eastAsia="en-US"/>
              </w:rPr>
            </w:pPr>
            <w:r>
              <w:rPr>
                <w:rFonts w:cs="Arial"/>
                <w:b/>
                <w:bCs/>
                <w:lang w:eastAsia="en-US"/>
              </w:rPr>
              <w:t>Total</w:t>
            </w:r>
          </w:p>
        </w:tc>
        <w:tc>
          <w:tcPr>
            <w:tcW w:w="1842" w:type="dxa"/>
            <w:tcBorders>
              <w:top w:val="nil"/>
              <w:left w:val="nil"/>
              <w:bottom w:val="single" w:sz="2" w:space="0" w:color="1F4E79" w:themeColor="accent1" w:themeShade="80"/>
              <w:right w:val="nil"/>
            </w:tcBorders>
            <w:hideMark/>
          </w:tcPr>
          <w:p w14:paraId="2D368FB0" w14:textId="77777777" w:rsidR="006A362F" w:rsidRDefault="006A362F">
            <w:pPr>
              <w:pStyle w:val="08-Tabelageral"/>
              <w:spacing w:line="256" w:lineRule="auto"/>
              <w:rPr>
                <w:rFonts w:cs="Arial"/>
                <w:b/>
                <w:bCs/>
                <w:szCs w:val="14"/>
                <w:lang w:eastAsia="en-US"/>
              </w:rPr>
            </w:pPr>
            <w:r>
              <w:rPr>
                <w:b/>
                <w:bCs/>
                <w:lang w:eastAsia="en-US"/>
              </w:rPr>
              <w:t>7,137,241</w:t>
            </w:r>
          </w:p>
        </w:tc>
        <w:tc>
          <w:tcPr>
            <w:tcW w:w="1842" w:type="dxa"/>
            <w:tcBorders>
              <w:top w:val="nil"/>
              <w:left w:val="nil"/>
              <w:bottom w:val="single" w:sz="2" w:space="0" w:color="1F4E79" w:themeColor="accent1" w:themeShade="80"/>
              <w:right w:val="nil"/>
            </w:tcBorders>
            <w:hideMark/>
          </w:tcPr>
          <w:p w14:paraId="21331840" w14:textId="77777777" w:rsidR="006A362F" w:rsidRDefault="006A362F">
            <w:pPr>
              <w:pStyle w:val="08-Tabelageral"/>
              <w:spacing w:line="256" w:lineRule="auto"/>
              <w:rPr>
                <w:rFonts w:cs="Arial"/>
                <w:b/>
                <w:bCs/>
                <w:szCs w:val="14"/>
                <w:lang w:eastAsia="en-US"/>
              </w:rPr>
            </w:pPr>
            <w:r>
              <w:rPr>
                <w:b/>
                <w:bCs/>
                <w:lang w:eastAsia="en-US"/>
              </w:rPr>
              <w:t>115,141</w:t>
            </w:r>
          </w:p>
        </w:tc>
        <w:tc>
          <w:tcPr>
            <w:tcW w:w="1843" w:type="dxa"/>
            <w:tcBorders>
              <w:top w:val="nil"/>
              <w:left w:val="nil"/>
              <w:bottom w:val="single" w:sz="2" w:space="0" w:color="1F4E79" w:themeColor="accent1" w:themeShade="80"/>
              <w:right w:val="nil"/>
            </w:tcBorders>
            <w:hideMark/>
          </w:tcPr>
          <w:p w14:paraId="40360367" w14:textId="77777777" w:rsidR="006A362F" w:rsidRDefault="006A362F">
            <w:pPr>
              <w:pStyle w:val="08-Tabelageral"/>
              <w:spacing w:line="256" w:lineRule="auto"/>
              <w:rPr>
                <w:rFonts w:cs="Arial"/>
                <w:b/>
                <w:bCs/>
                <w:szCs w:val="14"/>
                <w:lang w:eastAsia="en-US"/>
              </w:rPr>
            </w:pPr>
            <w:r>
              <w:rPr>
                <w:b/>
                <w:bCs/>
                <w:lang w:eastAsia="en-US"/>
              </w:rPr>
              <w:t>7,252,382</w:t>
            </w:r>
          </w:p>
        </w:tc>
      </w:tr>
    </w:tbl>
    <w:p w14:paraId="2B7FBBEE" w14:textId="77777777" w:rsidR="006A362F" w:rsidRPr="000010FF" w:rsidRDefault="006A362F" w:rsidP="006A362F">
      <w:pPr>
        <w:pStyle w:val="PargrafodaLista"/>
        <w:numPr>
          <w:ilvl w:val="0"/>
          <w:numId w:val="33"/>
        </w:numPr>
        <w:jc w:val="both"/>
        <w:rPr>
          <w:rFonts w:ascii="Arial" w:hAnsi="Arial" w:cs="Arial"/>
          <w:sz w:val="14"/>
          <w:szCs w:val="14"/>
          <w:lang w:val="en-US" w:eastAsia="pt-BR"/>
        </w:rPr>
      </w:pPr>
      <w:bookmarkStart w:id="19" w:name="_Hlk133916539"/>
      <w:r w:rsidRPr="000010FF">
        <w:rPr>
          <w:rFonts w:ascii="Arial" w:hAnsi="Arial" w:cs="Arial"/>
          <w:sz w:val="14"/>
          <w:szCs w:val="14"/>
          <w:lang w:val="en-US" w:eastAsia="pt-BR"/>
        </w:rPr>
        <w:t>CPC 50 [IFRS 17] does not apply and CPC 48 [IFRS 9] was already adopted.</w:t>
      </w:r>
    </w:p>
    <w:bookmarkEnd w:id="19"/>
    <w:p w14:paraId="5E596B35" w14:textId="77777777" w:rsidR="006A362F" w:rsidRDefault="006A362F" w:rsidP="0043117D">
      <w:pPr>
        <w:pStyle w:val="03-SubttulodeNota"/>
        <w:keepNext/>
        <w:rPr>
          <w:color w:val="1F4E79" w:themeColor="accent1" w:themeShade="80"/>
        </w:rPr>
      </w:pPr>
      <w:r w:rsidRPr="00F62FB1">
        <w:rPr>
          <w:color w:val="1F4E79" w:themeColor="accent1" w:themeShade="80"/>
        </w:rPr>
        <w:t>Equity</w:t>
      </w:r>
    </w:p>
    <w:p w14:paraId="2772B09D" w14:textId="77777777" w:rsidR="006A362F" w:rsidRPr="00D44604" w:rsidRDefault="006A362F" w:rsidP="001D4E06">
      <w:pPr>
        <w:spacing w:after="0" w:line="240" w:lineRule="auto"/>
        <w:jc w:val="right"/>
        <w:rPr>
          <w:rFonts w:cs="Arial"/>
          <w:b/>
          <w:sz w:val="14"/>
          <w:lang w:eastAsia="pt-BR"/>
        </w:rPr>
      </w:pPr>
      <w:r w:rsidRPr="00FC6C4B">
        <w:rPr>
          <w:rFonts w:cs="Arial"/>
          <w:b/>
          <w:sz w:val="14"/>
          <w:lang w:eastAsia="pt-BR"/>
        </w:rPr>
        <w:t>R$ 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2F5E8D" w14:paraId="5045CE34" w14:textId="77777777" w:rsidTr="002803B5">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75EE4123" w14:textId="77777777" w:rsidR="006A362F" w:rsidRPr="000010FF" w:rsidRDefault="006A362F" w:rsidP="002803B5">
            <w:pPr>
              <w:pStyle w:val="08-Tabelageral"/>
              <w:jc w:val="center"/>
              <w:rPr>
                <w:rFonts w:cs="Arial"/>
                <w:b/>
                <w:szCs w:val="14"/>
                <w:lang w:val="en-US"/>
              </w:rPr>
            </w:pPr>
            <w:r w:rsidRPr="000010FF">
              <w:rPr>
                <w:rFonts w:cs="Arial"/>
                <w:b/>
                <w:szCs w:val="14"/>
                <w:lang w:val="en-US"/>
              </w:rPr>
              <w:t xml:space="preserve">Equity Reconciliation - Effects of the adoption of CPC 50 [IFRS 17] and CPC 48 [IFRS 9] for operating investees that sell insurance contracts </w:t>
            </w:r>
            <w:r w:rsidRPr="000010FF">
              <w:rPr>
                <w:rFonts w:cs="Arial"/>
                <w:b/>
                <w:szCs w:val="14"/>
                <w:vertAlign w:val="superscript"/>
                <w:lang w:val="en-US"/>
              </w:rPr>
              <w:t>(1)</w:t>
            </w:r>
          </w:p>
        </w:tc>
      </w:tr>
      <w:tr w:rsidR="006A362F" w:rsidRPr="00681217" w14:paraId="667DCA15" w14:textId="77777777" w:rsidTr="002803B5">
        <w:trPr>
          <w:trHeight w:val="238"/>
          <w:jc w:val="center"/>
        </w:trPr>
        <w:tc>
          <w:tcPr>
            <w:tcW w:w="7372" w:type="dxa"/>
            <w:tcBorders>
              <w:top w:val="single" w:sz="2" w:space="0" w:color="1F4E79" w:themeColor="accent1" w:themeShade="80"/>
            </w:tcBorders>
            <w:shd w:val="clear" w:color="auto" w:fill="auto"/>
            <w:vAlign w:val="center"/>
          </w:tcPr>
          <w:p w14:paraId="21048FB6" w14:textId="77777777" w:rsidR="006A362F" w:rsidRPr="00681217" w:rsidRDefault="006A362F" w:rsidP="0084275E">
            <w:pPr>
              <w:pStyle w:val="08-Tabelageral"/>
              <w:jc w:val="left"/>
              <w:rPr>
                <w:rFonts w:cs="Arial"/>
                <w:b/>
                <w:bCs/>
                <w:szCs w:val="14"/>
              </w:rPr>
            </w:pPr>
            <w:r w:rsidRPr="00681217">
              <w:rPr>
                <w:rFonts w:cs="Arial"/>
                <w:b/>
                <w:bCs/>
                <w:szCs w:val="14"/>
              </w:rPr>
              <w:t xml:space="preserve">Equity on </w:t>
            </w:r>
            <w:r w:rsidRPr="00681217">
              <w:rPr>
                <w:rFonts w:cs="Arial"/>
                <w:b/>
                <w:bCs/>
                <w:szCs w:val="14"/>
                <w:lang w:val="en-US"/>
              </w:rPr>
              <w:t>Dec 31, 2021</w:t>
            </w:r>
          </w:p>
        </w:tc>
        <w:tc>
          <w:tcPr>
            <w:tcW w:w="2267" w:type="dxa"/>
            <w:tcBorders>
              <w:top w:val="single" w:sz="2" w:space="0" w:color="1F4E79" w:themeColor="accent1" w:themeShade="80"/>
            </w:tcBorders>
            <w:shd w:val="clear" w:color="auto" w:fill="auto"/>
            <w:vAlign w:val="center"/>
          </w:tcPr>
          <w:p w14:paraId="470A0565" w14:textId="77777777" w:rsidR="006A362F" w:rsidRPr="00681217" w:rsidRDefault="006A362F" w:rsidP="0084275E">
            <w:pPr>
              <w:pStyle w:val="08-Tabelageral"/>
              <w:rPr>
                <w:rFonts w:cs="Arial"/>
                <w:b/>
                <w:bCs/>
                <w:szCs w:val="14"/>
              </w:rPr>
            </w:pPr>
            <w:r>
              <w:rPr>
                <w:rFonts w:cs="Arial"/>
                <w:b/>
                <w:bCs/>
                <w:szCs w:val="14"/>
                <w:lang w:eastAsia="en-US"/>
              </w:rPr>
              <w:t>7,281,416</w:t>
            </w:r>
          </w:p>
        </w:tc>
      </w:tr>
      <w:tr w:rsidR="006A362F" w:rsidRPr="00681217" w14:paraId="4E9615EE" w14:textId="77777777" w:rsidTr="002803B5">
        <w:trPr>
          <w:trHeight w:val="238"/>
          <w:jc w:val="center"/>
        </w:trPr>
        <w:tc>
          <w:tcPr>
            <w:tcW w:w="7372" w:type="dxa"/>
            <w:shd w:val="clear" w:color="auto" w:fill="auto"/>
          </w:tcPr>
          <w:p w14:paraId="02BE7208" w14:textId="77777777" w:rsidR="006A362F" w:rsidRPr="00681217" w:rsidRDefault="006A362F" w:rsidP="0084275E">
            <w:pPr>
              <w:pStyle w:val="08-Tabelageral"/>
              <w:ind w:left="113"/>
              <w:jc w:val="left"/>
              <w:rPr>
                <w:rFonts w:cs="Arial"/>
                <w:szCs w:val="14"/>
              </w:rPr>
            </w:pPr>
            <w:r w:rsidRPr="00681217">
              <w:rPr>
                <w:rFonts w:cs="Arial"/>
                <w:szCs w:val="14"/>
              </w:rPr>
              <w:t>BB MAPFRE Participações S.A.</w:t>
            </w:r>
          </w:p>
        </w:tc>
        <w:tc>
          <w:tcPr>
            <w:tcW w:w="2267" w:type="dxa"/>
            <w:shd w:val="clear" w:color="auto" w:fill="auto"/>
            <w:vAlign w:val="center"/>
          </w:tcPr>
          <w:p w14:paraId="5F294DAF" w14:textId="77777777" w:rsidR="006A362F" w:rsidRPr="00681217" w:rsidRDefault="006A362F" w:rsidP="0084275E">
            <w:pPr>
              <w:pStyle w:val="08-Tabelageral"/>
              <w:rPr>
                <w:rFonts w:cs="Arial"/>
                <w:szCs w:val="14"/>
              </w:rPr>
            </w:pPr>
            <w:r>
              <w:rPr>
                <w:lang w:eastAsia="en-US"/>
              </w:rPr>
              <w:t>278,179</w:t>
            </w:r>
          </w:p>
        </w:tc>
      </w:tr>
      <w:tr w:rsidR="006A362F" w:rsidRPr="00681217" w14:paraId="2D790FEF" w14:textId="77777777" w:rsidTr="002803B5">
        <w:trPr>
          <w:trHeight w:val="238"/>
          <w:jc w:val="center"/>
        </w:trPr>
        <w:tc>
          <w:tcPr>
            <w:tcW w:w="7372" w:type="dxa"/>
            <w:shd w:val="clear" w:color="auto" w:fill="auto"/>
          </w:tcPr>
          <w:p w14:paraId="6ED436C1" w14:textId="77777777" w:rsidR="006A362F" w:rsidRPr="00681217" w:rsidRDefault="006A362F" w:rsidP="0084275E">
            <w:pPr>
              <w:pStyle w:val="08-Tabelageral"/>
              <w:ind w:left="113"/>
              <w:jc w:val="left"/>
              <w:rPr>
                <w:rFonts w:cs="Arial"/>
                <w:szCs w:val="14"/>
              </w:rPr>
            </w:pPr>
            <w:r w:rsidRPr="00681217">
              <w:rPr>
                <w:rFonts w:cs="Arial"/>
                <w:szCs w:val="14"/>
              </w:rPr>
              <w:t>Brasilprev Seguros e Previdência S.A.</w:t>
            </w:r>
          </w:p>
        </w:tc>
        <w:tc>
          <w:tcPr>
            <w:tcW w:w="2267" w:type="dxa"/>
            <w:shd w:val="clear" w:color="auto" w:fill="auto"/>
            <w:vAlign w:val="center"/>
          </w:tcPr>
          <w:p w14:paraId="5E458E83" w14:textId="77777777" w:rsidR="006A362F" w:rsidRPr="00681217" w:rsidRDefault="006A362F" w:rsidP="0084275E">
            <w:pPr>
              <w:pStyle w:val="08-Tabelageral"/>
              <w:rPr>
                <w:rFonts w:cs="Arial"/>
                <w:szCs w:val="14"/>
              </w:rPr>
            </w:pPr>
            <w:r>
              <w:rPr>
                <w:lang w:eastAsia="en-US"/>
              </w:rPr>
              <w:t>(164,926)</w:t>
            </w:r>
          </w:p>
        </w:tc>
      </w:tr>
      <w:tr w:rsidR="006A362F" w:rsidRPr="00681217" w14:paraId="12DC3EB2" w14:textId="77777777" w:rsidTr="002803B5">
        <w:trPr>
          <w:trHeight w:val="238"/>
          <w:jc w:val="center"/>
        </w:trPr>
        <w:tc>
          <w:tcPr>
            <w:tcW w:w="7372" w:type="dxa"/>
            <w:shd w:val="clear" w:color="auto" w:fill="auto"/>
          </w:tcPr>
          <w:p w14:paraId="1864FD39" w14:textId="77777777" w:rsidR="006A362F" w:rsidRPr="00681217" w:rsidRDefault="006A362F" w:rsidP="0084275E">
            <w:pPr>
              <w:pStyle w:val="08-Tabelageral"/>
              <w:ind w:left="113"/>
              <w:jc w:val="left"/>
              <w:rPr>
                <w:rFonts w:cs="Arial"/>
                <w:szCs w:val="14"/>
              </w:rPr>
            </w:pPr>
            <w:r w:rsidRPr="00681217">
              <w:rPr>
                <w:rFonts w:cs="Arial"/>
                <w:szCs w:val="14"/>
              </w:rPr>
              <w:t>Brasildental Operadora de Planos Odontológicos S.A.</w:t>
            </w:r>
          </w:p>
        </w:tc>
        <w:tc>
          <w:tcPr>
            <w:tcW w:w="2267" w:type="dxa"/>
            <w:shd w:val="clear" w:color="auto" w:fill="auto"/>
            <w:vAlign w:val="center"/>
          </w:tcPr>
          <w:p w14:paraId="75532C6D" w14:textId="77777777" w:rsidR="006A362F" w:rsidRPr="00681217" w:rsidRDefault="006A362F" w:rsidP="0084275E">
            <w:pPr>
              <w:pStyle w:val="08-Tabelageral"/>
              <w:rPr>
                <w:rFonts w:cs="Arial"/>
                <w:szCs w:val="14"/>
              </w:rPr>
            </w:pPr>
            <w:r>
              <w:rPr>
                <w:rFonts w:cs="Arial"/>
                <w:szCs w:val="14"/>
                <w:lang w:eastAsia="en-US"/>
              </w:rPr>
              <w:t>1,888</w:t>
            </w:r>
          </w:p>
        </w:tc>
      </w:tr>
      <w:tr w:rsidR="006A362F" w:rsidRPr="0048242D" w14:paraId="135618E7" w14:textId="77777777" w:rsidTr="002803B5">
        <w:trPr>
          <w:trHeight w:val="238"/>
          <w:jc w:val="center"/>
        </w:trPr>
        <w:tc>
          <w:tcPr>
            <w:tcW w:w="7372" w:type="dxa"/>
            <w:shd w:val="clear" w:color="auto" w:fill="auto"/>
          </w:tcPr>
          <w:p w14:paraId="265DF820" w14:textId="77777777" w:rsidR="006A362F" w:rsidRPr="00681217" w:rsidRDefault="006A362F" w:rsidP="0084275E">
            <w:pPr>
              <w:pStyle w:val="08-Tabelageral"/>
              <w:jc w:val="left"/>
              <w:rPr>
                <w:rFonts w:cs="Arial"/>
                <w:b/>
                <w:bCs/>
                <w:szCs w:val="14"/>
                <w:lang w:val="en-US"/>
              </w:rPr>
            </w:pPr>
            <w:r w:rsidRPr="00681217">
              <w:rPr>
                <w:rFonts w:cs="Arial"/>
                <w:b/>
                <w:bCs/>
                <w:szCs w:val="14"/>
                <w:lang w:val="en-US"/>
              </w:rPr>
              <w:t>Equity on Jan 01, 2022, after adjustments to CPC 50 [IFRS 17] and CPC 48 [IFRS 9]</w:t>
            </w:r>
          </w:p>
        </w:tc>
        <w:tc>
          <w:tcPr>
            <w:tcW w:w="2267" w:type="dxa"/>
            <w:shd w:val="clear" w:color="auto" w:fill="auto"/>
            <w:vAlign w:val="center"/>
          </w:tcPr>
          <w:p w14:paraId="7E04A5B5" w14:textId="77777777" w:rsidR="006A362F" w:rsidRPr="00681217" w:rsidRDefault="006A362F" w:rsidP="0084275E">
            <w:pPr>
              <w:pStyle w:val="08-Tabelageral"/>
              <w:rPr>
                <w:rFonts w:cs="Arial"/>
                <w:b/>
                <w:bCs/>
                <w:szCs w:val="14"/>
              </w:rPr>
            </w:pPr>
            <w:r>
              <w:rPr>
                <w:rFonts w:cs="Arial"/>
                <w:b/>
                <w:bCs/>
                <w:szCs w:val="14"/>
                <w:lang w:eastAsia="en-US"/>
              </w:rPr>
              <w:t>7,396,557</w:t>
            </w:r>
          </w:p>
        </w:tc>
      </w:tr>
    </w:tbl>
    <w:p w14:paraId="69060B0A" w14:textId="77777777" w:rsidR="006A362F" w:rsidRPr="0084275E" w:rsidRDefault="006A362F" w:rsidP="0043117D">
      <w:pPr>
        <w:pStyle w:val="03-SubttulodeNota"/>
        <w:keepNext/>
        <w:keepLines/>
        <w:pageBreakBefore/>
        <w:rPr>
          <w:bCs/>
          <w:color w:val="1F4E79" w:themeColor="accent1" w:themeShade="80"/>
          <w:lang w:val="en-US"/>
        </w:rPr>
      </w:pPr>
      <w:r w:rsidRPr="0084275E">
        <w:rPr>
          <w:bCs/>
          <w:color w:val="1F4E79" w:themeColor="accent1" w:themeShade="80"/>
          <w:lang w:val="en-US"/>
        </w:rPr>
        <w:lastRenderedPageBreak/>
        <w:t>i) Restatement for Comparability Effects</w:t>
      </w:r>
    </w:p>
    <w:p w14:paraId="27E27685" w14:textId="77777777" w:rsidR="006A362F" w:rsidRPr="00BA4C93" w:rsidRDefault="006A362F" w:rsidP="002F06CE">
      <w:pPr>
        <w:pStyle w:val="Ttulo1"/>
        <w:rPr>
          <w:b w:val="0"/>
          <w:bCs w:val="0"/>
        </w:rPr>
      </w:pPr>
      <w:bookmarkStart w:id="20" w:name="_Toc134823566"/>
      <w:r w:rsidRPr="00BA4C93">
        <w:t>Balance Sheet</w:t>
      </w:r>
      <w:bookmarkEnd w:id="20"/>
    </w:p>
    <w:p w14:paraId="35E997C5" w14:textId="77777777" w:rsidR="006A362F" w:rsidRPr="00D44604" w:rsidRDefault="006A362F" w:rsidP="001D4E06">
      <w:pPr>
        <w:spacing w:after="0" w:line="240" w:lineRule="auto"/>
        <w:jc w:val="right"/>
        <w:rPr>
          <w:rFonts w:cs="Arial"/>
          <w:b/>
          <w:sz w:val="14"/>
          <w:lang w:eastAsia="pt-BR"/>
        </w:rPr>
      </w:pPr>
      <w:r w:rsidRPr="00FC6C4B">
        <w:rPr>
          <w:rFonts w:cs="Arial"/>
          <w:b/>
          <w:sz w:val="14"/>
          <w:lang w:eastAsia="pt-BR"/>
        </w:rPr>
        <w:t>R$ thousand</w:t>
      </w:r>
    </w:p>
    <w:tbl>
      <w:tblPr>
        <w:tblW w:w="9639" w:type="dxa"/>
        <w:jc w:val="center"/>
        <w:tblLook w:val="04A0" w:firstRow="1" w:lastRow="0" w:firstColumn="1" w:lastColumn="0" w:noHBand="0" w:noVBand="1"/>
      </w:tblPr>
      <w:tblGrid>
        <w:gridCol w:w="4519"/>
        <w:gridCol w:w="1526"/>
        <w:gridCol w:w="1797"/>
        <w:gridCol w:w="1797"/>
      </w:tblGrid>
      <w:tr w:rsidR="006A362F" w:rsidRPr="002F06CE" w14:paraId="47489373" w14:textId="77777777" w:rsidTr="00F6555D">
        <w:trPr>
          <w:trHeight w:val="238"/>
          <w:jc w:val="center"/>
        </w:trPr>
        <w:tc>
          <w:tcPr>
            <w:tcW w:w="4519" w:type="dxa"/>
            <w:tcBorders>
              <w:top w:val="single" w:sz="2" w:space="0" w:color="1F4E79" w:themeColor="accent1" w:themeShade="80"/>
              <w:bottom w:val="single" w:sz="2" w:space="0" w:color="1F4E79" w:themeColor="accent1" w:themeShade="80"/>
            </w:tcBorders>
          </w:tcPr>
          <w:p w14:paraId="5D703708" w14:textId="77777777" w:rsidR="006A362F" w:rsidRPr="002F06CE" w:rsidRDefault="006A362F" w:rsidP="002803B5">
            <w:pPr>
              <w:pStyle w:val="08-Tabelageral"/>
              <w:jc w:val="left"/>
              <w:rPr>
                <w:rFonts w:cs="Arial"/>
                <w:b/>
                <w:bCs/>
                <w:szCs w:val="14"/>
              </w:rPr>
            </w:pPr>
          </w:p>
        </w:tc>
        <w:tc>
          <w:tcPr>
            <w:tcW w:w="5120" w:type="dxa"/>
            <w:gridSpan w:val="3"/>
            <w:tcBorders>
              <w:top w:val="single" w:sz="2" w:space="0" w:color="1F4E79" w:themeColor="accent1" w:themeShade="80"/>
              <w:bottom w:val="single" w:sz="2" w:space="0" w:color="1F4E79" w:themeColor="accent1" w:themeShade="80"/>
            </w:tcBorders>
          </w:tcPr>
          <w:p w14:paraId="34FC1F46" w14:textId="77777777" w:rsidR="006A362F" w:rsidRPr="002F06CE" w:rsidRDefault="006A362F" w:rsidP="002803B5">
            <w:pPr>
              <w:pStyle w:val="08-Tabelageral"/>
              <w:jc w:val="center"/>
              <w:rPr>
                <w:rFonts w:cs="Arial"/>
                <w:b/>
                <w:bCs/>
                <w:szCs w:val="14"/>
              </w:rPr>
            </w:pPr>
            <w:r w:rsidRPr="002F06CE">
              <w:rPr>
                <w:rFonts w:cs="Arial"/>
                <w:b/>
                <w:bCs/>
              </w:rPr>
              <w:t>Parent</w:t>
            </w:r>
          </w:p>
        </w:tc>
      </w:tr>
      <w:tr w:rsidR="006A362F" w:rsidRPr="00E00C9B" w14:paraId="5069AA66" w14:textId="77777777" w:rsidTr="00F6555D">
        <w:trPr>
          <w:trHeight w:val="238"/>
          <w:jc w:val="center"/>
        </w:trPr>
        <w:tc>
          <w:tcPr>
            <w:tcW w:w="4519" w:type="dxa"/>
            <w:tcBorders>
              <w:top w:val="single" w:sz="2" w:space="0" w:color="1F4E79" w:themeColor="accent1" w:themeShade="80"/>
              <w:bottom w:val="single" w:sz="2" w:space="0" w:color="1F4E79" w:themeColor="accent1" w:themeShade="80"/>
            </w:tcBorders>
          </w:tcPr>
          <w:p w14:paraId="464D8682" w14:textId="77777777" w:rsidR="006A362F" w:rsidRPr="00E00C9B" w:rsidRDefault="006A362F" w:rsidP="002803B5">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272DFA00" w14:textId="77777777" w:rsidR="006A362F" w:rsidRPr="00C80F9A" w:rsidRDefault="006A362F" w:rsidP="002803B5">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29DCA47F" w14:textId="77777777" w:rsidR="006A362F" w:rsidRPr="00C80F9A" w:rsidRDefault="006A362F" w:rsidP="002803B5">
            <w:pPr>
              <w:pStyle w:val="08-Tabelageral"/>
              <w:rPr>
                <w:rFonts w:cs="Arial"/>
                <w:b/>
                <w:bCs/>
                <w:szCs w:val="14"/>
              </w:rPr>
            </w:pPr>
            <w:r w:rsidRPr="000010FF">
              <w:rPr>
                <w:rFonts w:cs="Arial"/>
                <w:b/>
                <w:bCs/>
                <w:szCs w:val="14"/>
                <w:lang w:val="en-US"/>
              </w:rPr>
              <w:t>Dec 31, 202</w:t>
            </w:r>
            <w:r>
              <w:rPr>
                <w:rFonts w:cs="Arial"/>
                <w:b/>
                <w:bCs/>
                <w:szCs w:val="14"/>
                <w:lang w:val="en-US"/>
              </w:rPr>
              <w:t>2</w:t>
            </w:r>
          </w:p>
        </w:tc>
        <w:tc>
          <w:tcPr>
            <w:tcW w:w="1797" w:type="dxa"/>
            <w:tcBorders>
              <w:top w:val="single" w:sz="2" w:space="0" w:color="1F4E79" w:themeColor="accent1" w:themeShade="80"/>
              <w:bottom w:val="single" w:sz="2" w:space="0" w:color="1F4E79" w:themeColor="accent1" w:themeShade="80"/>
            </w:tcBorders>
          </w:tcPr>
          <w:p w14:paraId="109F7574" w14:textId="77777777" w:rsidR="006A362F" w:rsidRPr="00C80F9A" w:rsidRDefault="006A362F" w:rsidP="002803B5">
            <w:pPr>
              <w:pStyle w:val="08-Tabelageral"/>
              <w:rPr>
                <w:rFonts w:cs="Arial"/>
                <w:b/>
                <w:bCs/>
                <w:szCs w:val="14"/>
              </w:rPr>
            </w:pPr>
          </w:p>
        </w:tc>
      </w:tr>
      <w:tr w:rsidR="006A362F" w:rsidRPr="00E00C9B" w14:paraId="024AA8C5" w14:textId="77777777" w:rsidTr="00F6555D">
        <w:trPr>
          <w:trHeight w:val="238"/>
          <w:jc w:val="center"/>
        </w:trPr>
        <w:tc>
          <w:tcPr>
            <w:tcW w:w="4519" w:type="dxa"/>
            <w:tcBorders>
              <w:top w:val="single" w:sz="2" w:space="0" w:color="1F4E79" w:themeColor="accent1" w:themeShade="80"/>
              <w:bottom w:val="single" w:sz="2" w:space="0" w:color="1F4E79" w:themeColor="accent1" w:themeShade="80"/>
            </w:tcBorders>
          </w:tcPr>
          <w:p w14:paraId="00BADAEF" w14:textId="77777777" w:rsidR="006A362F" w:rsidRPr="00E00C9B" w:rsidRDefault="006A362F" w:rsidP="002803B5">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1B6DA811" w14:textId="77777777" w:rsidR="006A362F" w:rsidRPr="00C80F9A" w:rsidRDefault="006A362F" w:rsidP="002803B5">
            <w:pPr>
              <w:pStyle w:val="08-Tabelageral"/>
              <w:rPr>
                <w:rFonts w:cs="Arial"/>
                <w:b/>
                <w:bCs/>
                <w:szCs w:val="14"/>
              </w:rPr>
            </w:pPr>
            <w:r>
              <w:rPr>
                <w:rFonts w:cs="Arial"/>
                <w:b/>
                <w:bCs/>
                <w:szCs w:val="14"/>
              </w:rPr>
              <w:t>Original report</w:t>
            </w:r>
          </w:p>
        </w:tc>
        <w:tc>
          <w:tcPr>
            <w:tcW w:w="1797" w:type="dxa"/>
            <w:tcBorders>
              <w:top w:val="single" w:sz="2" w:space="0" w:color="1F4E79" w:themeColor="accent1" w:themeShade="80"/>
              <w:bottom w:val="single" w:sz="2" w:space="0" w:color="1F4E79" w:themeColor="accent1" w:themeShade="80"/>
            </w:tcBorders>
          </w:tcPr>
          <w:p w14:paraId="58D55237" w14:textId="77777777" w:rsidR="006A362F" w:rsidRPr="00C80F9A" w:rsidRDefault="006A362F" w:rsidP="002803B5">
            <w:pPr>
              <w:pStyle w:val="08-Tabelageral"/>
              <w:rPr>
                <w:rFonts w:cs="Arial"/>
                <w:b/>
                <w:bCs/>
                <w:szCs w:val="14"/>
              </w:rPr>
            </w:pPr>
            <w:r>
              <w:rPr>
                <w:rFonts w:cs="Arial"/>
                <w:b/>
                <w:bCs/>
                <w:szCs w:val="14"/>
              </w:rPr>
              <w:t>Adjustments</w:t>
            </w:r>
          </w:p>
        </w:tc>
        <w:tc>
          <w:tcPr>
            <w:tcW w:w="1797" w:type="dxa"/>
            <w:tcBorders>
              <w:top w:val="single" w:sz="2" w:space="0" w:color="1F4E79" w:themeColor="accent1" w:themeShade="80"/>
              <w:bottom w:val="single" w:sz="2" w:space="0" w:color="1F4E79" w:themeColor="accent1" w:themeShade="80"/>
            </w:tcBorders>
          </w:tcPr>
          <w:p w14:paraId="0ABFFC9C" w14:textId="77777777" w:rsidR="006A362F" w:rsidRPr="00C80F9A" w:rsidRDefault="006A362F" w:rsidP="002803B5">
            <w:pPr>
              <w:pStyle w:val="08-Tabelageral"/>
              <w:rPr>
                <w:rFonts w:cs="Arial"/>
                <w:b/>
                <w:bCs/>
                <w:szCs w:val="14"/>
              </w:rPr>
            </w:pPr>
            <w:r>
              <w:rPr>
                <w:rFonts w:cs="Arial"/>
                <w:b/>
                <w:bCs/>
                <w:szCs w:val="14"/>
              </w:rPr>
              <w:t>Restated balances</w:t>
            </w:r>
          </w:p>
        </w:tc>
      </w:tr>
      <w:tr w:rsidR="006A362F" w:rsidRPr="000A4B1A" w14:paraId="007F097E" w14:textId="77777777" w:rsidTr="00F6555D">
        <w:trPr>
          <w:trHeight w:val="238"/>
          <w:jc w:val="center"/>
        </w:trPr>
        <w:tc>
          <w:tcPr>
            <w:tcW w:w="4519" w:type="dxa"/>
            <w:tcBorders>
              <w:top w:val="single" w:sz="2" w:space="0" w:color="1F4E79" w:themeColor="accent1" w:themeShade="80"/>
            </w:tcBorders>
            <w:vAlign w:val="center"/>
          </w:tcPr>
          <w:p w14:paraId="0539349C" w14:textId="77777777" w:rsidR="006A362F" w:rsidRPr="000A4B1A" w:rsidRDefault="006A362F" w:rsidP="0084275E">
            <w:pPr>
              <w:pStyle w:val="08-Tabelageral"/>
              <w:jc w:val="left"/>
              <w:rPr>
                <w:rFonts w:cs="Arial"/>
                <w:b/>
                <w:bCs/>
                <w:szCs w:val="14"/>
              </w:rPr>
            </w:pPr>
            <w:r w:rsidRPr="000A4B1A">
              <w:rPr>
                <w:rFonts w:cs="Arial"/>
                <w:b/>
                <w:bCs/>
                <w:szCs w:val="14"/>
              </w:rPr>
              <w:t>Current Assets</w:t>
            </w:r>
          </w:p>
        </w:tc>
        <w:tc>
          <w:tcPr>
            <w:tcW w:w="1526" w:type="dxa"/>
            <w:tcBorders>
              <w:top w:val="single" w:sz="2" w:space="0" w:color="1F4E79" w:themeColor="accent1" w:themeShade="80"/>
            </w:tcBorders>
          </w:tcPr>
          <w:p w14:paraId="7EA3EA23" w14:textId="77777777" w:rsidR="006A362F" w:rsidRPr="000A4B1A" w:rsidRDefault="006A362F" w:rsidP="0084275E">
            <w:pPr>
              <w:pStyle w:val="08-Tabelageral"/>
              <w:rPr>
                <w:rFonts w:cs="Arial"/>
                <w:b/>
                <w:bCs/>
                <w:szCs w:val="14"/>
                <w:highlight w:val="yellow"/>
              </w:rPr>
            </w:pPr>
            <w:r>
              <w:rPr>
                <w:rFonts w:cs="Arial"/>
                <w:b/>
                <w:bCs/>
                <w:szCs w:val="14"/>
                <w:lang w:eastAsia="en-US"/>
              </w:rPr>
              <w:t>3,768,306</w:t>
            </w:r>
          </w:p>
        </w:tc>
        <w:tc>
          <w:tcPr>
            <w:tcW w:w="1797" w:type="dxa"/>
            <w:tcBorders>
              <w:top w:val="single" w:sz="2" w:space="0" w:color="1F4E79" w:themeColor="accent1" w:themeShade="80"/>
            </w:tcBorders>
          </w:tcPr>
          <w:p w14:paraId="715A2AA7" w14:textId="77777777" w:rsidR="006A362F" w:rsidRPr="000A4B1A" w:rsidRDefault="006A362F" w:rsidP="0084275E">
            <w:pPr>
              <w:pStyle w:val="08-Tabelageral"/>
              <w:rPr>
                <w:rFonts w:cs="Arial"/>
                <w:b/>
                <w:bCs/>
                <w:szCs w:val="14"/>
              </w:rPr>
            </w:pPr>
            <w:r>
              <w:rPr>
                <w:b/>
                <w:bCs/>
                <w:lang w:eastAsia="en-US"/>
              </w:rPr>
              <w:t xml:space="preserve"> --   </w:t>
            </w:r>
          </w:p>
        </w:tc>
        <w:tc>
          <w:tcPr>
            <w:tcW w:w="1797" w:type="dxa"/>
            <w:tcBorders>
              <w:top w:val="single" w:sz="2" w:space="0" w:color="1F4E79" w:themeColor="accent1" w:themeShade="80"/>
            </w:tcBorders>
          </w:tcPr>
          <w:p w14:paraId="2B233398" w14:textId="77777777" w:rsidR="006A362F" w:rsidRPr="000A4B1A" w:rsidRDefault="006A362F" w:rsidP="0084275E">
            <w:pPr>
              <w:pStyle w:val="08-Tabelageral"/>
              <w:rPr>
                <w:rFonts w:cs="Arial"/>
                <w:b/>
                <w:bCs/>
                <w:szCs w:val="14"/>
              </w:rPr>
            </w:pPr>
            <w:r>
              <w:rPr>
                <w:b/>
                <w:bCs/>
                <w:lang w:eastAsia="en-US"/>
              </w:rPr>
              <w:t>3,768,306</w:t>
            </w:r>
          </w:p>
        </w:tc>
      </w:tr>
      <w:tr w:rsidR="006A362F" w:rsidRPr="000A4B1A" w14:paraId="79EEEB47" w14:textId="77777777" w:rsidTr="00C41DB7">
        <w:trPr>
          <w:trHeight w:val="238"/>
          <w:jc w:val="center"/>
        </w:trPr>
        <w:tc>
          <w:tcPr>
            <w:tcW w:w="4519" w:type="dxa"/>
          </w:tcPr>
          <w:p w14:paraId="249BCDE3" w14:textId="77777777" w:rsidR="006A362F" w:rsidRPr="000A4B1A" w:rsidRDefault="006A362F" w:rsidP="0084275E">
            <w:pPr>
              <w:pStyle w:val="08-Tabelageral"/>
              <w:jc w:val="left"/>
              <w:rPr>
                <w:rFonts w:cs="Arial"/>
                <w:b/>
                <w:bCs/>
                <w:szCs w:val="14"/>
                <w:highlight w:val="yellow"/>
              </w:rPr>
            </w:pPr>
            <w:r w:rsidRPr="000A4B1A">
              <w:rPr>
                <w:rFonts w:cs="Arial"/>
                <w:b/>
                <w:bCs/>
                <w:szCs w:val="14"/>
              </w:rPr>
              <w:t>Non-Current Assets</w:t>
            </w:r>
          </w:p>
        </w:tc>
        <w:tc>
          <w:tcPr>
            <w:tcW w:w="1526" w:type="dxa"/>
            <w:vAlign w:val="center"/>
          </w:tcPr>
          <w:p w14:paraId="08365044" w14:textId="77777777" w:rsidR="006A362F" w:rsidRPr="000A4B1A" w:rsidRDefault="006A362F" w:rsidP="0084275E">
            <w:pPr>
              <w:pStyle w:val="08-Tabelageral"/>
              <w:rPr>
                <w:rFonts w:cs="Arial"/>
                <w:b/>
                <w:bCs/>
                <w:szCs w:val="14"/>
                <w:highlight w:val="yellow"/>
              </w:rPr>
            </w:pPr>
            <w:r>
              <w:rPr>
                <w:rFonts w:cs="Arial"/>
                <w:b/>
                <w:bCs/>
                <w:szCs w:val="14"/>
                <w:lang w:eastAsia="en-US"/>
              </w:rPr>
              <w:t>7,514,118</w:t>
            </w:r>
          </w:p>
        </w:tc>
        <w:tc>
          <w:tcPr>
            <w:tcW w:w="1797" w:type="dxa"/>
          </w:tcPr>
          <w:p w14:paraId="26B1F4AB" w14:textId="77777777" w:rsidR="006A362F" w:rsidRPr="000A4B1A" w:rsidRDefault="006A362F" w:rsidP="0084275E">
            <w:pPr>
              <w:pStyle w:val="08-Tabelageral"/>
              <w:rPr>
                <w:rFonts w:cs="Arial"/>
                <w:b/>
                <w:bCs/>
                <w:szCs w:val="14"/>
                <w:highlight w:val="yellow"/>
              </w:rPr>
            </w:pPr>
            <w:r>
              <w:rPr>
                <w:b/>
                <w:bCs/>
                <w:lang w:eastAsia="en-US"/>
              </w:rPr>
              <w:t xml:space="preserve"> 432,070 </w:t>
            </w:r>
          </w:p>
        </w:tc>
        <w:tc>
          <w:tcPr>
            <w:tcW w:w="1797" w:type="dxa"/>
          </w:tcPr>
          <w:p w14:paraId="1404098C" w14:textId="77777777" w:rsidR="006A362F" w:rsidRPr="000A4B1A" w:rsidRDefault="006A362F" w:rsidP="0084275E">
            <w:pPr>
              <w:pStyle w:val="08-Tabelageral"/>
              <w:rPr>
                <w:rFonts w:cs="Arial"/>
                <w:b/>
                <w:bCs/>
                <w:szCs w:val="14"/>
                <w:highlight w:val="yellow"/>
              </w:rPr>
            </w:pPr>
            <w:r>
              <w:rPr>
                <w:b/>
                <w:bCs/>
                <w:lang w:eastAsia="en-US"/>
              </w:rPr>
              <w:t>7,946,188</w:t>
            </w:r>
          </w:p>
        </w:tc>
      </w:tr>
      <w:tr w:rsidR="006A362F" w:rsidRPr="00C80F9A" w14:paraId="52BBC37C" w14:textId="77777777" w:rsidTr="00C41DB7">
        <w:trPr>
          <w:trHeight w:val="238"/>
          <w:jc w:val="center"/>
        </w:trPr>
        <w:tc>
          <w:tcPr>
            <w:tcW w:w="4519" w:type="dxa"/>
            <w:vAlign w:val="center"/>
          </w:tcPr>
          <w:p w14:paraId="5DC4F9D1" w14:textId="77777777" w:rsidR="006A362F" w:rsidRPr="00F6555D" w:rsidRDefault="006A362F" w:rsidP="0084275E">
            <w:pPr>
              <w:pStyle w:val="08-Tabelageral"/>
              <w:ind w:left="113"/>
              <w:jc w:val="left"/>
              <w:rPr>
                <w:rFonts w:cs="Arial"/>
                <w:szCs w:val="14"/>
                <w:lang w:val="en-US"/>
              </w:rPr>
            </w:pPr>
            <w:r w:rsidRPr="00BD6C7E">
              <w:rPr>
                <w:rFonts w:cs="Arial"/>
                <w:szCs w:val="14"/>
                <w:lang w:val="en-US"/>
              </w:rPr>
              <w:t>Financial assets at fair value through profit or loss</w:t>
            </w:r>
          </w:p>
        </w:tc>
        <w:tc>
          <w:tcPr>
            <w:tcW w:w="1526" w:type="dxa"/>
            <w:vAlign w:val="center"/>
          </w:tcPr>
          <w:p w14:paraId="68B0A243" w14:textId="77777777" w:rsidR="006A362F" w:rsidRPr="00924673" w:rsidRDefault="006A362F" w:rsidP="0084275E">
            <w:pPr>
              <w:pStyle w:val="08-Tabelageral"/>
              <w:rPr>
                <w:rFonts w:cs="Arial"/>
                <w:color w:val="000000"/>
                <w:szCs w:val="14"/>
              </w:rPr>
            </w:pPr>
            <w:r>
              <w:rPr>
                <w:rFonts w:cs="Arial"/>
                <w:szCs w:val="14"/>
                <w:lang w:eastAsia="en-US"/>
              </w:rPr>
              <w:t>18,064</w:t>
            </w:r>
          </w:p>
        </w:tc>
        <w:tc>
          <w:tcPr>
            <w:tcW w:w="1797" w:type="dxa"/>
          </w:tcPr>
          <w:p w14:paraId="5B4DCE49" w14:textId="77777777" w:rsidR="006A362F" w:rsidRPr="00C43B29" w:rsidRDefault="006A362F" w:rsidP="0084275E">
            <w:pPr>
              <w:pStyle w:val="08-Tabelageral"/>
              <w:rPr>
                <w:rFonts w:cs="Arial"/>
                <w:szCs w:val="14"/>
              </w:rPr>
            </w:pPr>
            <w:r>
              <w:rPr>
                <w:lang w:eastAsia="en-US"/>
              </w:rPr>
              <w:t>--</w:t>
            </w:r>
          </w:p>
        </w:tc>
        <w:tc>
          <w:tcPr>
            <w:tcW w:w="1797" w:type="dxa"/>
          </w:tcPr>
          <w:p w14:paraId="52EFC094" w14:textId="77777777" w:rsidR="006A362F" w:rsidRPr="00C43B29" w:rsidRDefault="006A362F" w:rsidP="0084275E">
            <w:pPr>
              <w:pStyle w:val="08-Tabelageral"/>
              <w:rPr>
                <w:rFonts w:cs="Arial"/>
                <w:color w:val="000000"/>
                <w:szCs w:val="14"/>
              </w:rPr>
            </w:pPr>
            <w:r>
              <w:rPr>
                <w:lang w:eastAsia="en-US"/>
              </w:rPr>
              <w:t>18,064</w:t>
            </w:r>
          </w:p>
        </w:tc>
      </w:tr>
      <w:tr w:rsidR="006A362F" w:rsidRPr="00C80F9A" w14:paraId="542B33A5" w14:textId="77777777" w:rsidTr="00C41DB7">
        <w:trPr>
          <w:trHeight w:val="238"/>
          <w:jc w:val="center"/>
        </w:trPr>
        <w:tc>
          <w:tcPr>
            <w:tcW w:w="4519" w:type="dxa"/>
            <w:vAlign w:val="center"/>
          </w:tcPr>
          <w:p w14:paraId="08473E19" w14:textId="77777777" w:rsidR="006A362F" w:rsidRPr="00924673" w:rsidRDefault="006A362F" w:rsidP="0084275E">
            <w:pPr>
              <w:pStyle w:val="08-Tabelageral"/>
              <w:ind w:left="113"/>
              <w:jc w:val="left"/>
              <w:rPr>
                <w:rFonts w:cs="Arial"/>
                <w:szCs w:val="14"/>
              </w:rPr>
            </w:pPr>
            <w:r w:rsidRPr="002E2354">
              <w:t>Current tax assets</w:t>
            </w:r>
          </w:p>
        </w:tc>
        <w:tc>
          <w:tcPr>
            <w:tcW w:w="1526" w:type="dxa"/>
            <w:vAlign w:val="center"/>
          </w:tcPr>
          <w:p w14:paraId="3025F496" w14:textId="77777777" w:rsidR="006A362F" w:rsidRPr="00924673" w:rsidRDefault="006A362F" w:rsidP="0084275E">
            <w:pPr>
              <w:pStyle w:val="08-Tabelageral"/>
              <w:rPr>
                <w:rFonts w:cs="Arial"/>
                <w:color w:val="000000"/>
                <w:szCs w:val="14"/>
              </w:rPr>
            </w:pPr>
            <w:r>
              <w:rPr>
                <w:lang w:eastAsia="en-US"/>
              </w:rPr>
              <w:t>75,177</w:t>
            </w:r>
          </w:p>
        </w:tc>
        <w:tc>
          <w:tcPr>
            <w:tcW w:w="1797" w:type="dxa"/>
          </w:tcPr>
          <w:p w14:paraId="3B24FE7A"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15435BF3" w14:textId="77777777" w:rsidR="006A362F" w:rsidRPr="00C43B29" w:rsidRDefault="006A362F" w:rsidP="0084275E">
            <w:pPr>
              <w:pStyle w:val="08-Tabelageral"/>
              <w:rPr>
                <w:rFonts w:cs="Arial"/>
                <w:color w:val="000000"/>
                <w:szCs w:val="14"/>
              </w:rPr>
            </w:pPr>
            <w:r>
              <w:rPr>
                <w:lang w:eastAsia="en-US"/>
              </w:rPr>
              <w:t>75,177</w:t>
            </w:r>
          </w:p>
        </w:tc>
      </w:tr>
      <w:tr w:rsidR="006A362F" w:rsidRPr="00C80F9A" w14:paraId="6F202B12" w14:textId="77777777" w:rsidTr="00C41DB7">
        <w:trPr>
          <w:trHeight w:val="238"/>
          <w:jc w:val="center"/>
        </w:trPr>
        <w:tc>
          <w:tcPr>
            <w:tcW w:w="4519" w:type="dxa"/>
            <w:vAlign w:val="center"/>
          </w:tcPr>
          <w:p w14:paraId="18692DE4" w14:textId="77777777" w:rsidR="006A362F" w:rsidRPr="00924673" w:rsidRDefault="006A362F" w:rsidP="0084275E">
            <w:pPr>
              <w:pStyle w:val="08-Tabelageral"/>
              <w:ind w:left="113"/>
              <w:jc w:val="left"/>
              <w:rPr>
                <w:rFonts w:cs="Arial"/>
                <w:szCs w:val="14"/>
              </w:rPr>
            </w:pPr>
            <w:r w:rsidRPr="00C27294">
              <w:rPr>
                <w:rFonts w:cs="Arial"/>
                <w:szCs w:val="14"/>
              </w:rPr>
              <w:t>Deferred tax assets</w:t>
            </w:r>
          </w:p>
        </w:tc>
        <w:tc>
          <w:tcPr>
            <w:tcW w:w="1526" w:type="dxa"/>
            <w:vAlign w:val="center"/>
          </w:tcPr>
          <w:p w14:paraId="16123B5A" w14:textId="77777777" w:rsidR="006A362F" w:rsidRPr="00924673" w:rsidRDefault="006A362F" w:rsidP="0084275E">
            <w:pPr>
              <w:pStyle w:val="08-Tabelageral"/>
              <w:rPr>
                <w:rFonts w:cs="Arial"/>
                <w:color w:val="000000"/>
                <w:szCs w:val="14"/>
              </w:rPr>
            </w:pPr>
            <w:r>
              <w:rPr>
                <w:rFonts w:cs="Arial"/>
                <w:szCs w:val="14"/>
                <w:lang w:eastAsia="en-US"/>
              </w:rPr>
              <w:t>28</w:t>
            </w:r>
          </w:p>
        </w:tc>
        <w:tc>
          <w:tcPr>
            <w:tcW w:w="1797" w:type="dxa"/>
          </w:tcPr>
          <w:p w14:paraId="547BB606"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2902E537" w14:textId="77777777" w:rsidR="006A362F" w:rsidRPr="00C43B29" w:rsidRDefault="006A362F" w:rsidP="0084275E">
            <w:pPr>
              <w:pStyle w:val="08-Tabelageral"/>
              <w:rPr>
                <w:rFonts w:cs="Arial"/>
                <w:color w:val="000000"/>
                <w:szCs w:val="14"/>
              </w:rPr>
            </w:pPr>
            <w:r>
              <w:rPr>
                <w:lang w:eastAsia="en-US"/>
              </w:rPr>
              <w:t>28</w:t>
            </w:r>
          </w:p>
        </w:tc>
      </w:tr>
      <w:tr w:rsidR="006A362F" w:rsidRPr="00C80F9A" w14:paraId="012C25D8" w14:textId="77777777" w:rsidTr="00C41DB7">
        <w:trPr>
          <w:trHeight w:val="238"/>
          <w:jc w:val="center"/>
        </w:trPr>
        <w:tc>
          <w:tcPr>
            <w:tcW w:w="4519" w:type="dxa"/>
            <w:vAlign w:val="center"/>
          </w:tcPr>
          <w:p w14:paraId="4021454E" w14:textId="77777777" w:rsidR="006A362F" w:rsidRPr="00A03B7C" w:rsidRDefault="006A362F" w:rsidP="0084275E">
            <w:pPr>
              <w:pStyle w:val="08-Tabelageral"/>
              <w:ind w:left="113"/>
              <w:jc w:val="left"/>
              <w:rPr>
                <w:rFonts w:cs="Arial"/>
                <w:szCs w:val="14"/>
                <w:highlight w:val="yellow"/>
              </w:rPr>
            </w:pPr>
            <w:r w:rsidRPr="00C27294">
              <w:rPr>
                <w:rFonts w:cs="Arial"/>
                <w:szCs w:val="14"/>
              </w:rPr>
              <w:t>Investments in associates</w:t>
            </w:r>
          </w:p>
        </w:tc>
        <w:tc>
          <w:tcPr>
            <w:tcW w:w="1526" w:type="dxa"/>
            <w:vAlign w:val="center"/>
          </w:tcPr>
          <w:p w14:paraId="576C8D3D" w14:textId="77777777" w:rsidR="006A362F" w:rsidRPr="00A03B7C" w:rsidRDefault="006A362F" w:rsidP="0084275E">
            <w:pPr>
              <w:pStyle w:val="08-Tabelageral"/>
              <w:rPr>
                <w:rFonts w:cs="Arial"/>
                <w:color w:val="000000"/>
                <w:szCs w:val="14"/>
                <w:highlight w:val="yellow"/>
              </w:rPr>
            </w:pPr>
            <w:r>
              <w:rPr>
                <w:rFonts w:cs="Arial"/>
                <w:szCs w:val="14"/>
                <w:lang w:eastAsia="en-US"/>
              </w:rPr>
              <w:t>7,416,770</w:t>
            </w:r>
          </w:p>
        </w:tc>
        <w:tc>
          <w:tcPr>
            <w:tcW w:w="1797" w:type="dxa"/>
          </w:tcPr>
          <w:p w14:paraId="7A733712" w14:textId="77777777" w:rsidR="006A362F" w:rsidRPr="00A03B7C" w:rsidRDefault="006A362F" w:rsidP="0084275E">
            <w:pPr>
              <w:pStyle w:val="08-Tabelageral"/>
              <w:rPr>
                <w:rFonts w:cs="Arial"/>
                <w:szCs w:val="14"/>
                <w:highlight w:val="yellow"/>
              </w:rPr>
            </w:pPr>
            <w:r>
              <w:rPr>
                <w:lang w:eastAsia="en-US"/>
              </w:rPr>
              <w:t xml:space="preserve"> 432,070 </w:t>
            </w:r>
          </w:p>
        </w:tc>
        <w:tc>
          <w:tcPr>
            <w:tcW w:w="1797" w:type="dxa"/>
          </w:tcPr>
          <w:p w14:paraId="3114AC8B" w14:textId="77777777" w:rsidR="006A362F" w:rsidRPr="00C43B29" w:rsidRDefault="006A362F" w:rsidP="0084275E">
            <w:pPr>
              <w:pStyle w:val="08-Tabelageral"/>
              <w:rPr>
                <w:rFonts w:cs="Arial"/>
                <w:color w:val="000000"/>
                <w:szCs w:val="14"/>
              </w:rPr>
            </w:pPr>
            <w:r>
              <w:rPr>
                <w:lang w:eastAsia="en-US"/>
              </w:rPr>
              <w:t>7,848,840</w:t>
            </w:r>
          </w:p>
        </w:tc>
      </w:tr>
      <w:tr w:rsidR="006A362F" w:rsidRPr="00C80F9A" w14:paraId="2609AE85" w14:textId="77777777" w:rsidTr="00C41DB7">
        <w:trPr>
          <w:trHeight w:val="238"/>
          <w:jc w:val="center"/>
        </w:trPr>
        <w:tc>
          <w:tcPr>
            <w:tcW w:w="4519" w:type="dxa"/>
            <w:vAlign w:val="center"/>
          </w:tcPr>
          <w:p w14:paraId="15B47EAD" w14:textId="77777777" w:rsidR="006A362F" w:rsidRPr="00924673" w:rsidRDefault="006A362F" w:rsidP="0084275E">
            <w:pPr>
              <w:pStyle w:val="08-Tabelageral"/>
              <w:ind w:left="113"/>
              <w:jc w:val="left"/>
              <w:rPr>
                <w:rFonts w:cs="Arial"/>
                <w:szCs w:val="14"/>
              </w:rPr>
            </w:pPr>
            <w:r w:rsidRPr="00DC0B01">
              <w:rPr>
                <w:rFonts w:cs="Arial"/>
                <w:szCs w:val="14"/>
              </w:rPr>
              <w:t>Intangible</w:t>
            </w:r>
          </w:p>
        </w:tc>
        <w:tc>
          <w:tcPr>
            <w:tcW w:w="1526" w:type="dxa"/>
            <w:vAlign w:val="center"/>
          </w:tcPr>
          <w:p w14:paraId="486C76F5" w14:textId="77777777" w:rsidR="006A362F" w:rsidRPr="00924673" w:rsidRDefault="006A362F" w:rsidP="0084275E">
            <w:pPr>
              <w:pStyle w:val="08-Tabelageral"/>
              <w:rPr>
                <w:rFonts w:cs="Arial"/>
                <w:color w:val="000000"/>
                <w:szCs w:val="14"/>
              </w:rPr>
            </w:pPr>
            <w:r>
              <w:rPr>
                <w:rFonts w:cs="Arial"/>
                <w:szCs w:val="14"/>
                <w:lang w:eastAsia="en-US"/>
              </w:rPr>
              <w:t>4,021</w:t>
            </w:r>
          </w:p>
        </w:tc>
        <w:tc>
          <w:tcPr>
            <w:tcW w:w="1797" w:type="dxa"/>
          </w:tcPr>
          <w:p w14:paraId="041C7E9F"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54323AE1" w14:textId="77777777" w:rsidR="006A362F" w:rsidRPr="00C43B29" w:rsidRDefault="006A362F" w:rsidP="0084275E">
            <w:pPr>
              <w:pStyle w:val="08-Tabelageral"/>
              <w:rPr>
                <w:rFonts w:cs="Arial"/>
                <w:color w:val="000000"/>
                <w:szCs w:val="14"/>
              </w:rPr>
            </w:pPr>
            <w:r>
              <w:rPr>
                <w:lang w:eastAsia="en-US"/>
              </w:rPr>
              <w:t>4,021</w:t>
            </w:r>
          </w:p>
        </w:tc>
      </w:tr>
      <w:tr w:rsidR="006A362F" w:rsidRPr="00C80F9A" w14:paraId="35533D5D" w14:textId="77777777" w:rsidTr="00C41DB7">
        <w:trPr>
          <w:trHeight w:val="238"/>
          <w:jc w:val="center"/>
        </w:trPr>
        <w:tc>
          <w:tcPr>
            <w:tcW w:w="4519" w:type="dxa"/>
            <w:vAlign w:val="center"/>
          </w:tcPr>
          <w:p w14:paraId="5C78E38E" w14:textId="77777777" w:rsidR="006A362F" w:rsidRPr="0038031F" w:rsidRDefault="006A362F" w:rsidP="0084275E">
            <w:pPr>
              <w:pStyle w:val="08-Tabelageral"/>
              <w:ind w:left="113"/>
              <w:jc w:val="left"/>
              <w:rPr>
                <w:rFonts w:cs="Arial"/>
                <w:szCs w:val="14"/>
              </w:rPr>
            </w:pPr>
            <w:r w:rsidRPr="00C27294">
              <w:rPr>
                <w:rFonts w:cs="Arial"/>
                <w:szCs w:val="14"/>
              </w:rPr>
              <w:t>Other assets</w:t>
            </w:r>
          </w:p>
        </w:tc>
        <w:tc>
          <w:tcPr>
            <w:tcW w:w="1526" w:type="dxa"/>
            <w:vAlign w:val="center"/>
          </w:tcPr>
          <w:p w14:paraId="24BEA41E" w14:textId="77777777" w:rsidR="006A362F" w:rsidRPr="00924673" w:rsidRDefault="006A362F" w:rsidP="0084275E">
            <w:pPr>
              <w:pStyle w:val="08-Tabelageral"/>
              <w:rPr>
                <w:rFonts w:cs="Arial"/>
                <w:color w:val="000000"/>
                <w:szCs w:val="14"/>
              </w:rPr>
            </w:pPr>
            <w:r>
              <w:rPr>
                <w:rFonts w:cs="Arial"/>
                <w:szCs w:val="14"/>
                <w:lang w:eastAsia="en-US"/>
              </w:rPr>
              <w:t>58</w:t>
            </w:r>
          </w:p>
        </w:tc>
        <w:tc>
          <w:tcPr>
            <w:tcW w:w="1797" w:type="dxa"/>
          </w:tcPr>
          <w:p w14:paraId="40AACB18"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733E3A66" w14:textId="77777777" w:rsidR="006A362F" w:rsidRPr="00C43B29" w:rsidRDefault="006A362F" w:rsidP="0084275E">
            <w:pPr>
              <w:pStyle w:val="08-Tabelageral"/>
              <w:rPr>
                <w:rFonts w:cs="Arial"/>
                <w:color w:val="000000"/>
                <w:szCs w:val="14"/>
              </w:rPr>
            </w:pPr>
            <w:r>
              <w:rPr>
                <w:lang w:eastAsia="en-US"/>
              </w:rPr>
              <w:t>58</w:t>
            </w:r>
          </w:p>
        </w:tc>
      </w:tr>
      <w:tr w:rsidR="006A362F" w:rsidRPr="000A4B1A" w14:paraId="6405A16F" w14:textId="77777777" w:rsidTr="00C41DB7">
        <w:trPr>
          <w:trHeight w:val="238"/>
          <w:jc w:val="center"/>
        </w:trPr>
        <w:tc>
          <w:tcPr>
            <w:tcW w:w="4519" w:type="dxa"/>
            <w:vAlign w:val="center"/>
          </w:tcPr>
          <w:p w14:paraId="5565D840" w14:textId="77777777" w:rsidR="006A362F" w:rsidRPr="000A4B1A" w:rsidRDefault="006A362F" w:rsidP="0084275E">
            <w:pPr>
              <w:pStyle w:val="08-Tabelageral"/>
              <w:jc w:val="left"/>
              <w:rPr>
                <w:rFonts w:cs="Arial"/>
                <w:b/>
                <w:bCs/>
                <w:szCs w:val="14"/>
                <w:highlight w:val="yellow"/>
              </w:rPr>
            </w:pPr>
            <w:r w:rsidRPr="000A4B1A">
              <w:rPr>
                <w:rFonts w:cs="Arial"/>
                <w:b/>
                <w:bCs/>
                <w:szCs w:val="14"/>
              </w:rPr>
              <w:t>Total Assets</w:t>
            </w:r>
          </w:p>
        </w:tc>
        <w:tc>
          <w:tcPr>
            <w:tcW w:w="1526" w:type="dxa"/>
            <w:vAlign w:val="center"/>
          </w:tcPr>
          <w:p w14:paraId="3F25E352" w14:textId="77777777" w:rsidR="006A362F" w:rsidRPr="000A4B1A" w:rsidRDefault="006A362F" w:rsidP="0084275E">
            <w:pPr>
              <w:pStyle w:val="08-Tabelageral"/>
              <w:rPr>
                <w:rFonts w:cs="Arial"/>
                <w:b/>
                <w:bCs/>
                <w:szCs w:val="14"/>
                <w:highlight w:val="yellow"/>
              </w:rPr>
            </w:pPr>
            <w:r>
              <w:rPr>
                <w:rFonts w:cs="Arial"/>
                <w:b/>
                <w:bCs/>
                <w:szCs w:val="14"/>
                <w:lang w:eastAsia="en-US"/>
              </w:rPr>
              <w:t>11,282,424</w:t>
            </w:r>
          </w:p>
        </w:tc>
        <w:tc>
          <w:tcPr>
            <w:tcW w:w="1797" w:type="dxa"/>
          </w:tcPr>
          <w:p w14:paraId="2B8E92FD" w14:textId="77777777" w:rsidR="006A362F" w:rsidRPr="000A4B1A" w:rsidRDefault="006A362F" w:rsidP="0084275E">
            <w:pPr>
              <w:pStyle w:val="08-Tabelageral"/>
              <w:rPr>
                <w:rFonts w:cs="Arial"/>
                <w:b/>
                <w:bCs/>
                <w:szCs w:val="14"/>
                <w:highlight w:val="yellow"/>
              </w:rPr>
            </w:pPr>
            <w:r>
              <w:rPr>
                <w:b/>
                <w:bCs/>
                <w:lang w:eastAsia="en-US"/>
              </w:rPr>
              <w:t xml:space="preserve"> 432,070 </w:t>
            </w:r>
          </w:p>
        </w:tc>
        <w:tc>
          <w:tcPr>
            <w:tcW w:w="1797" w:type="dxa"/>
          </w:tcPr>
          <w:p w14:paraId="17A9B15B" w14:textId="77777777" w:rsidR="006A362F" w:rsidRPr="000A4B1A" w:rsidRDefault="006A362F" w:rsidP="0084275E">
            <w:pPr>
              <w:pStyle w:val="08-Tabelageral"/>
              <w:rPr>
                <w:rFonts w:cs="Arial"/>
                <w:b/>
                <w:bCs/>
                <w:szCs w:val="14"/>
                <w:highlight w:val="yellow"/>
              </w:rPr>
            </w:pPr>
            <w:r>
              <w:rPr>
                <w:b/>
                <w:bCs/>
                <w:lang w:eastAsia="en-US"/>
              </w:rPr>
              <w:t>11,714,494</w:t>
            </w:r>
          </w:p>
        </w:tc>
      </w:tr>
      <w:tr w:rsidR="006A362F" w:rsidRPr="00C80F9A" w14:paraId="1F9BA575" w14:textId="77777777" w:rsidTr="00C41DB7">
        <w:trPr>
          <w:trHeight w:val="238"/>
          <w:jc w:val="center"/>
        </w:trPr>
        <w:tc>
          <w:tcPr>
            <w:tcW w:w="4519" w:type="dxa"/>
            <w:vAlign w:val="center"/>
          </w:tcPr>
          <w:p w14:paraId="470F1410" w14:textId="77777777" w:rsidR="006A362F" w:rsidRPr="008E5AE4" w:rsidRDefault="006A362F" w:rsidP="0084275E">
            <w:pPr>
              <w:pStyle w:val="08-Tabelageral"/>
              <w:jc w:val="left"/>
              <w:rPr>
                <w:rFonts w:cs="Arial"/>
                <w:b/>
                <w:bCs/>
                <w:szCs w:val="14"/>
              </w:rPr>
            </w:pPr>
          </w:p>
        </w:tc>
        <w:tc>
          <w:tcPr>
            <w:tcW w:w="1526" w:type="dxa"/>
            <w:vAlign w:val="center"/>
          </w:tcPr>
          <w:p w14:paraId="28818381" w14:textId="77777777" w:rsidR="006A362F" w:rsidRPr="004E249C" w:rsidRDefault="006A362F" w:rsidP="0084275E">
            <w:pPr>
              <w:pStyle w:val="08-Tabelageral"/>
              <w:rPr>
                <w:rFonts w:cs="Arial"/>
                <w:b/>
                <w:szCs w:val="14"/>
              </w:rPr>
            </w:pPr>
          </w:p>
        </w:tc>
        <w:tc>
          <w:tcPr>
            <w:tcW w:w="1797" w:type="dxa"/>
          </w:tcPr>
          <w:p w14:paraId="0B9EAF9A" w14:textId="77777777" w:rsidR="006A362F" w:rsidRPr="00D50DE2" w:rsidRDefault="006A362F" w:rsidP="0084275E">
            <w:pPr>
              <w:pStyle w:val="08-Tabelageral"/>
              <w:rPr>
                <w:rFonts w:cs="Arial"/>
                <w:b/>
                <w:bCs/>
                <w:szCs w:val="14"/>
              </w:rPr>
            </w:pPr>
            <w:r>
              <w:rPr>
                <w:lang w:eastAsia="en-US"/>
              </w:rPr>
              <w:t xml:space="preserve"> --   </w:t>
            </w:r>
          </w:p>
        </w:tc>
        <w:tc>
          <w:tcPr>
            <w:tcW w:w="1797" w:type="dxa"/>
          </w:tcPr>
          <w:p w14:paraId="61C36236" w14:textId="77777777" w:rsidR="006A362F" w:rsidRPr="00C43B29" w:rsidRDefault="006A362F" w:rsidP="0084275E">
            <w:pPr>
              <w:pStyle w:val="08-Tabelageral"/>
              <w:rPr>
                <w:rFonts w:cs="Arial"/>
                <w:b/>
                <w:szCs w:val="14"/>
              </w:rPr>
            </w:pPr>
          </w:p>
        </w:tc>
      </w:tr>
      <w:tr w:rsidR="006A362F" w:rsidRPr="002F06CE" w14:paraId="7BE8ACDA" w14:textId="77777777" w:rsidTr="00C41DB7">
        <w:trPr>
          <w:trHeight w:val="238"/>
          <w:jc w:val="center"/>
        </w:trPr>
        <w:tc>
          <w:tcPr>
            <w:tcW w:w="4519" w:type="dxa"/>
            <w:vAlign w:val="center"/>
          </w:tcPr>
          <w:p w14:paraId="31274C4D" w14:textId="77777777" w:rsidR="006A362F" w:rsidRPr="002F06CE" w:rsidRDefault="006A362F" w:rsidP="0084275E">
            <w:pPr>
              <w:pStyle w:val="08-Tabelageral"/>
              <w:jc w:val="left"/>
              <w:rPr>
                <w:rFonts w:cs="Arial"/>
                <w:b/>
                <w:bCs/>
                <w:szCs w:val="14"/>
              </w:rPr>
            </w:pPr>
            <w:r w:rsidRPr="002F06CE">
              <w:rPr>
                <w:b/>
                <w:bCs/>
              </w:rPr>
              <w:t>Current Liabilities</w:t>
            </w:r>
          </w:p>
        </w:tc>
        <w:tc>
          <w:tcPr>
            <w:tcW w:w="1526" w:type="dxa"/>
            <w:vAlign w:val="center"/>
          </w:tcPr>
          <w:p w14:paraId="4BA6F4CC" w14:textId="77777777" w:rsidR="006A362F" w:rsidRPr="002F06CE" w:rsidRDefault="006A362F" w:rsidP="0084275E">
            <w:pPr>
              <w:pStyle w:val="08-Tabelageral"/>
              <w:rPr>
                <w:rFonts w:cs="Arial"/>
                <w:b/>
                <w:bCs/>
                <w:szCs w:val="14"/>
              </w:rPr>
            </w:pPr>
            <w:r>
              <w:rPr>
                <w:rFonts w:cs="Arial"/>
                <w:b/>
                <w:bCs/>
                <w:szCs w:val="14"/>
                <w:lang w:eastAsia="en-US"/>
              </w:rPr>
              <w:t>3,686,295</w:t>
            </w:r>
          </w:p>
        </w:tc>
        <w:tc>
          <w:tcPr>
            <w:tcW w:w="1797" w:type="dxa"/>
          </w:tcPr>
          <w:p w14:paraId="5F0A133E" w14:textId="77777777" w:rsidR="006A362F" w:rsidRPr="002F06CE" w:rsidRDefault="006A362F" w:rsidP="0084275E">
            <w:pPr>
              <w:pStyle w:val="08-Tabelageral"/>
              <w:rPr>
                <w:rFonts w:cs="Arial"/>
                <w:b/>
                <w:bCs/>
                <w:szCs w:val="14"/>
              </w:rPr>
            </w:pPr>
            <w:r>
              <w:rPr>
                <w:b/>
                <w:bCs/>
                <w:lang w:eastAsia="en-US"/>
              </w:rPr>
              <w:t xml:space="preserve"> --   </w:t>
            </w:r>
          </w:p>
        </w:tc>
        <w:tc>
          <w:tcPr>
            <w:tcW w:w="1797" w:type="dxa"/>
          </w:tcPr>
          <w:p w14:paraId="20912943" w14:textId="77777777" w:rsidR="006A362F" w:rsidRPr="002F06CE" w:rsidRDefault="006A362F" w:rsidP="0084275E">
            <w:pPr>
              <w:pStyle w:val="08-Tabelageral"/>
              <w:rPr>
                <w:rFonts w:cs="Arial"/>
                <w:b/>
                <w:bCs/>
                <w:szCs w:val="14"/>
              </w:rPr>
            </w:pPr>
            <w:r>
              <w:rPr>
                <w:b/>
                <w:bCs/>
                <w:lang w:eastAsia="en-US"/>
              </w:rPr>
              <w:t>3,686,295</w:t>
            </w:r>
          </w:p>
        </w:tc>
      </w:tr>
      <w:tr w:rsidR="006A362F" w:rsidRPr="002F06CE" w14:paraId="0BE131F6" w14:textId="77777777" w:rsidTr="00C41DB7">
        <w:trPr>
          <w:trHeight w:val="238"/>
          <w:jc w:val="center"/>
        </w:trPr>
        <w:tc>
          <w:tcPr>
            <w:tcW w:w="4519" w:type="dxa"/>
            <w:vAlign w:val="center"/>
          </w:tcPr>
          <w:p w14:paraId="283C2C45" w14:textId="77777777" w:rsidR="006A362F" w:rsidRPr="002F06CE" w:rsidRDefault="006A362F" w:rsidP="0084275E">
            <w:pPr>
              <w:pStyle w:val="08-Tabelageral"/>
              <w:jc w:val="left"/>
              <w:rPr>
                <w:b/>
                <w:bCs/>
              </w:rPr>
            </w:pPr>
            <w:r w:rsidRPr="002F06CE">
              <w:rPr>
                <w:b/>
                <w:bCs/>
              </w:rPr>
              <w:t>Non-Current Liabilities</w:t>
            </w:r>
          </w:p>
        </w:tc>
        <w:tc>
          <w:tcPr>
            <w:tcW w:w="1526" w:type="dxa"/>
            <w:vAlign w:val="center"/>
          </w:tcPr>
          <w:p w14:paraId="277B1D52" w14:textId="77777777" w:rsidR="006A362F" w:rsidRPr="002F06CE" w:rsidRDefault="006A362F" w:rsidP="0084275E">
            <w:pPr>
              <w:pStyle w:val="08-Tabelageral"/>
              <w:rPr>
                <w:rFonts w:cs="Arial"/>
                <w:b/>
                <w:bCs/>
                <w:szCs w:val="14"/>
              </w:rPr>
            </w:pPr>
            <w:r>
              <w:rPr>
                <w:rFonts w:cs="Arial"/>
                <w:b/>
                <w:bCs/>
                <w:szCs w:val="14"/>
                <w:lang w:eastAsia="en-US"/>
              </w:rPr>
              <w:t>28</w:t>
            </w:r>
          </w:p>
        </w:tc>
        <w:tc>
          <w:tcPr>
            <w:tcW w:w="1797" w:type="dxa"/>
          </w:tcPr>
          <w:p w14:paraId="3920ACDB" w14:textId="77777777" w:rsidR="006A362F" w:rsidRPr="002F06CE" w:rsidRDefault="006A362F" w:rsidP="0084275E">
            <w:pPr>
              <w:pStyle w:val="08-Tabelageral"/>
              <w:rPr>
                <w:rFonts w:cs="Arial"/>
                <w:b/>
                <w:bCs/>
                <w:szCs w:val="14"/>
              </w:rPr>
            </w:pPr>
            <w:r>
              <w:rPr>
                <w:b/>
                <w:bCs/>
                <w:lang w:eastAsia="en-US"/>
              </w:rPr>
              <w:t xml:space="preserve"> --   </w:t>
            </w:r>
          </w:p>
        </w:tc>
        <w:tc>
          <w:tcPr>
            <w:tcW w:w="1797" w:type="dxa"/>
          </w:tcPr>
          <w:p w14:paraId="35940DC6" w14:textId="77777777" w:rsidR="006A362F" w:rsidRPr="002F06CE" w:rsidRDefault="006A362F" w:rsidP="0084275E">
            <w:pPr>
              <w:pStyle w:val="08-Tabelageral"/>
              <w:rPr>
                <w:rFonts w:cs="Arial"/>
                <w:b/>
                <w:bCs/>
                <w:szCs w:val="14"/>
              </w:rPr>
            </w:pPr>
            <w:r>
              <w:rPr>
                <w:b/>
                <w:bCs/>
                <w:lang w:eastAsia="en-US"/>
              </w:rPr>
              <w:t>28</w:t>
            </w:r>
          </w:p>
        </w:tc>
      </w:tr>
      <w:tr w:rsidR="006A362F" w:rsidRPr="002F06CE" w14:paraId="1995EC41" w14:textId="77777777" w:rsidTr="00C41DB7">
        <w:trPr>
          <w:trHeight w:val="238"/>
          <w:jc w:val="center"/>
        </w:trPr>
        <w:tc>
          <w:tcPr>
            <w:tcW w:w="4519" w:type="dxa"/>
            <w:vAlign w:val="center"/>
          </w:tcPr>
          <w:p w14:paraId="5946535A" w14:textId="77777777" w:rsidR="006A362F" w:rsidRPr="002F06CE" w:rsidRDefault="006A362F" w:rsidP="0084275E">
            <w:pPr>
              <w:pStyle w:val="08-Tabelageral"/>
              <w:jc w:val="left"/>
              <w:rPr>
                <w:b/>
                <w:bCs/>
              </w:rPr>
            </w:pPr>
            <w:r w:rsidRPr="002F06CE">
              <w:rPr>
                <w:b/>
                <w:bCs/>
              </w:rPr>
              <w:t>Total Liabilities</w:t>
            </w:r>
          </w:p>
        </w:tc>
        <w:tc>
          <w:tcPr>
            <w:tcW w:w="1526" w:type="dxa"/>
            <w:vAlign w:val="center"/>
          </w:tcPr>
          <w:p w14:paraId="79F88B3E" w14:textId="77777777" w:rsidR="006A362F" w:rsidRPr="002F06CE" w:rsidRDefault="006A362F" w:rsidP="0084275E">
            <w:pPr>
              <w:pStyle w:val="08-Tabelageral"/>
              <w:rPr>
                <w:rFonts w:cs="Arial"/>
                <w:b/>
                <w:bCs/>
                <w:szCs w:val="14"/>
              </w:rPr>
            </w:pPr>
            <w:r>
              <w:rPr>
                <w:rFonts w:cs="Arial"/>
                <w:b/>
                <w:bCs/>
                <w:szCs w:val="14"/>
                <w:lang w:eastAsia="en-US"/>
              </w:rPr>
              <w:t>3,686,323</w:t>
            </w:r>
          </w:p>
        </w:tc>
        <w:tc>
          <w:tcPr>
            <w:tcW w:w="1797" w:type="dxa"/>
          </w:tcPr>
          <w:p w14:paraId="4F02CAC6" w14:textId="77777777" w:rsidR="006A362F" w:rsidRPr="002F06CE" w:rsidRDefault="006A362F" w:rsidP="0084275E">
            <w:pPr>
              <w:pStyle w:val="08-Tabelageral"/>
              <w:rPr>
                <w:rFonts w:cs="Arial"/>
                <w:b/>
                <w:bCs/>
                <w:szCs w:val="14"/>
              </w:rPr>
            </w:pPr>
            <w:r>
              <w:rPr>
                <w:b/>
                <w:bCs/>
                <w:lang w:eastAsia="en-US"/>
              </w:rPr>
              <w:t xml:space="preserve"> --   </w:t>
            </w:r>
          </w:p>
        </w:tc>
        <w:tc>
          <w:tcPr>
            <w:tcW w:w="1797" w:type="dxa"/>
          </w:tcPr>
          <w:p w14:paraId="3929F482" w14:textId="77777777" w:rsidR="006A362F" w:rsidRPr="002F06CE" w:rsidRDefault="006A362F" w:rsidP="0084275E">
            <w:pPr>
              <w:pStyle w:val="08-Tabelageral"/>
              <w:rPr>
                <w:rFonts w:cs="Arial"/>
                <w:b/>
                <w:bCs/>
                <w:szCs w:val="14"/>
              </w:rPr>
            </w:pPr>
            <w:r>
              <w:rPr>
                <w:b/>
                <w:bCs/>
                <w:lang w:eastAsia="en-US"/>
              </w:rPr>
              <w:t>3,686,323</w:t>
            </w:r>
          </w:p>
        </w:tc>
      </w:tr>
      <w:tr w:rsidR="006A362F" w:rsidRPr="002F06CE" w14:paraId="6E5B54BD" w14:textId="77777777" w:rsidTr="00C41DB7">
        <w:trPr>
          <w:trHeight w:val="238"/>
          <w:jc w:val="center"/>
        </w:trPr>
        <w:tc>
          <w:tcPr>
            <w:tcW w:w="4519" w:type="dxa"/>
            <w:vAlign w:val="center"/>
          </w:tcPr>
          <w:p w14:paraId="279548F7" w14:textId="77777777" w:rsidR="006A362F" w:rsidRPr="002F06CE" w:rsidRDefault="006A362F" w:rsidP="0084275E">
            <w:pPr>
              <w:pStyle w:val="08-Tabelageral"/>
              <w:jc w:val="left"/>
              <w:rPr>
                <w:rFonts w:cs="Arial"/>
                <w:b/>
                <w:bCs/>
                <w:szCs w:val="14"/>
                <w:highlight w:val="yellow"/>
              </w:rPr>
            </w:pPr>
            <w:r w:rsidRPr="002F06CE">
              <w:rPr>
                <w:b/>
                <w:bCs/>
              </w:rPr>
              <w:t>Equity</w:t>
            </w:r>
          </w:p>
        </w:tc>
        <w:tc>
          <w:tcPr>
            <w:tcW w:w="1526" w:type="dxa"/>
            <w:vAlign w:val="center"/>
          </w:tcPr>
          <w:p w14:paraId="251CECEC" w14:textId="77777777" w:rsidR="006A362F" w:rsidRPr="002F06CE" w:rsidRDefault="006A362F" w:rsidP="0084275E">
            <w:pPr>
              <w:pStyle w:val="08-Tabelageral"/>
              <w:rPr>
                <w:rFonts w:cs="Arial"/>
                <w:b/>
                <w:bCs/>
                <w:szCs w:val="14"/>
                <w:highlight w:val="yellow"/>
              </w:rPr>
            </w:pPr>
            <w:r>
              <w:rPr>
                <w:rFonts w:cs="Arial"/>
                <w:b/>
                <w:bCs/>
                <w:szCs w:val="14"/>
                <w:lang w:eastAsia="en-US"/>
              </w:rPr>
              <w:t>7,596,101</w:t>
            </w:r>
          </w:p>
        </w:tc>
        <w:tc>
          <w:tcPr>
            <w:tcW w:w="1797" w:type="dxa"/>
          </w:tcPr>
          <w:p w14:paraId="61B9CE42" w14:textId="77777777" w:rsidR="006A362F" w:rsidRPr="002F06CE" w:rsidRDefault="006A362F" w:rsidP="0084275E">
            <w:pPr>
              <w:pStyle w:val="08-Tabelageral"/>
              <w:rPr>
                <w:rFonts w:cs="Arial"/>
                <w:b/>
                <w:bCs/>
                <w:szCs w:val="14"/>
                <w:highlight w:val="yellow"/>
              </w:rPr>
            </w:pPr>
            <w:r>
              <w:rPr>
                <w:b/>
                <w:bCs/>
                <w:lang w:eastAsia="en-US"/>
              </w:rPr>
              <w:t xml:space="preserve"> 432,070 </w:t>
            </w:r>
          </w:p>
        </w:tc>
        <w:tc>
          <w:tcPr>
            <w:tcW w:w="1797" w:type="dxa"/>
          </w:tcPr>
          <w:p w14:paraId="302AA07B" w14:textId="77777777" w:rsidR="006A362F" w:rsidRPr="002F06CE" w:rsidRDefault="006A362F" w:rsidP="0084275E">
            <w:pPr>
              <w:pStyle w:val="08-Tabelageral"/>
              <w:rPr>
                <w:rFonts w:cs="Arial"/>
                <w:b/>
                <w:bCs/>
                <w:szCs w:val="14"/>
              </w:rPr>
            </w:pPr>
            <w:r>
              <w:rPr>
                <w:b/>
                <w:bCs/>
                <w:lang w:eastAsia="en-US"/>
              </w:rPr>
              <w:t>8,028,171</w:t>
            </w:r>
          </w:p>
        </w:tc>
      </w:tr>
      <w:tr w:rsidR="006A362F" w:rsidRPr="00C80F9A" w14:paraId="16F5C23E" w14:textId="77777777" w:rsidTr="00C41DB7">
        <w:trPr>
          <w:trHeight w:val="238"/>
          <w:jc w:val="center"/>
        </w:trPr>
        <w:tc>
          <w:tcPr>
            <w:tcW w:w="4519" w:type="dxa"/>
            <w:vAlign w:val="center"/>
          </w:tcPr>
          <w:p w14:paraId="40CED07E" w14:textId="77777777" w:rsidR="006A362F" w:rsidRDefault="006A362F" w:rsidP="0084275E">
            <w:pPr>
              <w:pStyle w:val="08-Tabelageral"/>
              <w:ind w:left="113"/>
              <w:jc w:val="left"/>
              <w:rPr>
                <w:rFonts w:cs="Arial"/>
                <w:szCs w:val="14"/>
              </w:rPr>
            </w:pPr>
            <w:r w:rsidRPr="00C27294">
              <w:t>Capital</w:t>
            </w:r>
          </w:p>
        </w:tc>
        <w:tc>
          <w:tcPr>
            <w:tcW w:w="1526" w:type="dxa"/>
            <w:vAlign w:val="center"/>
          </w:tcPr>
          <w:p w14:paraId="59215919" w14:textId="77777777" w:rsidR="006A362F" w:rsidRPr="00AA591E" w:rsidRDefault="006A362F" w:rsidP="0084275E">
            <w:pPr>
              <w:pStyle w:val="08-Tabelageral"/>
              <w:rPr>
                <w:rFonts w:cs="Arial"/>
                <w:szCs w:val="14"/>
              </w:rPr>
            </w:pPr>
            <w:r>
              <w:rPr>
                <w:rFonts w:cs="Arial"/>
                <w:szCs w:val="14"/>
                <w:lang w:eastAsia="en-US"/>
              </w:rPr>
              <w:t>6,269,692</w:t>
            </w:r>
          </w:p>
        </w:tc>
        <w:tc>
          <w:tcPr>
            <w:tcW w:w="1797" w:type="dxa"/>
          </w:tcPr>
          <w:p w14:paraId="6F64006D"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6A714876" w14:textId="77777777" w:rsidR="006A362F" w:rsidRPr="00C43B29" w:rsidRDefault="006A362F" w:rsidP="0084275E">
            <w:pPr>
              <w:pStyle w:val="08-Tabelageral"/>
              <w:rPr>
                <w:rFonts w:cs="Arial"/>
                <w:szCs w:val="14"/>
              </w:rPr>
            </w:pPr>
            <w:r>
              <w:rPr>
                <w:lang w:eastAsia="en-US"/>
              </w:rPr>
              <w:t>6,269,692</w:t>
            </w:r>
          </w:p>
        </w:tc>
      </w:tr>
      <w:tr w:rsidR="006A362F" w:rsidRPr="00C80F9A" w14:paraId="385DEA71" w14:textId="77777777" w:rsidTr="00C41DB7">
        <w:trPr>
          <w:trHeight w:val="238"/>
          <w:jc w:val="center"/>
        </w:trPr>
        <w:tc>
          <w:tcPr>
            <w:tcW w:w="4519" w:type="dxa"/>
            <w:vAlign w:val="center"/>
          </w:tcPr>
          <w:p w14:paraId="6D298329" w14:textId="77777777" w:rsidR="006A362F" w:rsidRDefault="006A362F" w:rsidP="0084275E">
            <w:pPr>
              <w:pStyle w:val="08-Tabelageral"/>
              <w:ind w:left="113"/>
              <w:jc w:val="left"/>
              <w:rPr>
                <w:rFonts w:cs="Arial"/>
                <w:szCs w:val="14"/>
              </w:rPr>
            </w:pPr>
            <w:r w:rsidRPr="00C27294">
              <w:t>Capital reserves</w:t>
            </w:r>
          </w:p>
        </w:tc>
        <w:tc>
          <w:tcPr>
            <w:tcW w:w="1526" w:type="dxa"/>
            <w:vAlign w:val="center"/>
          </w:tcPr>
          <w:p w14:paraId="6C99B666" w14:textId="77777777" w:rsidR="006A362F" w:rsidRPr="00AA591E" w:rsidRDefault="006A362F" w:rsidP="0084275E">
            <w:pPr>
              <w:pStyle w:val="08-Tabelageral"/>
              <w:rPr>
                <w:rFonts w:cs="Arial"/>
                <w:szCs w:val="14"/>
              </w:rPr>
            </w:pPr>
            <w:r>
              <w:rPr>
                <w:rFonts w:cs="Arial"/>
                <w:szCs w:val="14"/>
                <w:lang w:eastAsia="en-US"/>
              </w:rPr>
              <w:t>1,571</w:t>
            </w:r>
          </w:p>
        </w:tc>
        <w:tc>
          <w:tcPr>
            <w:tcW w:w="1797" w:type="dxa"/>
          </w:tcPr>
          <w:p w14:paraId="5FF766A8"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312A21C2" w14:textId="77777777" w:rsidR="006A362F" w:rsidRPr="00C43B29" w:rsidRDefault="006A362F" w:rsidP="0084275E">
            <w:pPr>
              <w:pStyle w:val="08-Tabelageral"/>
              <w:rPr>
                <w:rFonts w:cs="Arial"/>
                <w:szCs w:val="14"/>
              </w:rPr>
            </w:pPr>
            <w:r>
              <w:rPr>
                <w:lang w:eastAsia="en-US"/>
              </w:rPr>
              <w:t>1,571</w:t>
            </w:r>
          </w:p>
        </w:tc>
      </w:tr>
      <w:tr w:rsidR="006A362F" w:rsidRPr="00C80F9A" w14:paraId="67B05C96" w14:textId="77777777" w:rsidTr="00C41DB7">
        <w:trPr>
          <w:trHeight w:val="238"/>
          <w:jc w:val="center"/>
        </w:trPr>
        <w:tc>
          <w:tcPr>
            <w:tcW w:w="4519" w:type="dxa"/>
            <w:vAlign w:val="center"/>
          </w:tcPr>
          <w:p w14:paraId="05F7B829" w14:textId="77777777" w:rsidR="006A362F" w:rsidRDefault="006A362F" w:rsidP="0084275E">
            <w:pPr>
              <w:pStyle w:val="08-Tabelageral"/>
              <w:ind w:left="113"/>
              <w:jc w:val="left"/>
              <w:rPr>
                <w:rFonts w:cs="Arial"/>
                <w:szCs w:val="14"/>
              </w:rPr>
            </w:pPr>
            <w:r w:rsidRPr="00C27294">
              <w:t>Income reserves</w:t>
            </w:r>
          </w:p>
        </w:tc>
        <w:tc>
          <w:tcPr>
            <w:tcW w:w="1526" w:type="dxa"/>
            <w:vAlign w:val="center"/>
          </w:tcPr>
          <w:p w14:paraId="0B60BED6" w14:textId="77777777" w:rsidR="006A362F" w:rsidRPr="00AA591E" w:rsidRDefault="006A362F" w:rsidP="0084275E">
            <w:pPr>
              <w:pStyle w:val="08-Tabelageral"/>
              <w:rPr>
                <w:rFonts w:cs="Arial"/>
                <w:szCs w:val="14"/>
              </w:rPr>
            </w:pPr>
            <w:r>
              <w:rPr>
                <w:rFonts w:cs="Arial"/>
                <w:szCs w:val="14"/>
                <w:lang w:eastAsia="en-US"/>
              </w:rPr>
              <w:t>1,552,229</w:t>
            </w:r>
          </w:p>
        </w:tc>
        <w:tc>
          <w:tcPr>
            <w:tcW w:w="1797" w:type="dxa"/>
          </w:tcPr>
          <w:p w14:paraId="1985C53A"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3BEBFF5D" w14:textId="77777777" w:rsidR="006A362F" w:rsidRPr="00C43B29" w:rsidRDefault="006A362F" w:rsidP="0084275E">
            <w:pPr>
              <w:pStyle w:val="08-Tabelageral"/>
              <w:rPr>
                <w:rFonts w:cs="Arial"/>
                <w:szCs w:val="14"/>
              </w:rPr>
            </w:pPr>
            <w:r>
              <w:rPr>
                <w:lang w:eastAsia="en-US"/>
              </w:rPr>
              <w:t>1,552,229</w:t>
            </w:r>
          </w:p>
        </w:tc>
      </w:tr>
      <w:tr w:rsidR="006A362F" w:rsidRPr="00C80F9A" w14:paraId="490360FD" w14:textId="77777777" w:rsidTr="00C41DB7">
        <w:trPr>
          <w:trHeight w:val="238"/>
          <w:jc w:val="center"/>
        </w:trPr>
        <w:tc>
          <w:tcPr>
            <w:tcW w:w="4519" w:type="dxa"/>
            <w:vAlign w:val="center"/>
          </w:tcPr>
          <w:p w14:paraId="73DCE378" w14:textId="77777777" w:rsidR="006A362F" w:rsidRDefault="006A362F" w:rsidP="0084275E">
            <w:pPr>
              <w:pStyle w:val="08-Tabelageral"/>
              <w:ind w:left="113"/>
              <w:jc w:val="left"/>
              <w:rPr>
                <w:rFonts w:cs="Arial"/>
                <w:szCs w:val="14"/>
              </w:rPr>
            </w:pPr>
            <w:r w:rsidRPr="00C27294">
              <w:t>Treasury shares</w:t>
            </w:r>
          </w:p>
        </w:tc>
        <w:tc>
          <w:tcPr>
            <w:tcW w:w="1526" w:type="dxa"/>
            <w:vAlign w:val="center"/>
          </w:tcPr>
          <w:p w14:paraId="7C0F71E5" w14:textId="77777777" w:rsidR="006A362F" w:rsidRPr="00AA591E" w:rsidRDefault="006A362F" w:rsidP="0084275E">
            <w:pPr>
              <w:pStyle w:val="08-Tabelageral"/>
              <w:rPr>
                <w:rFonts w:cs="Arial"/>
                <w:szCs w:val="14"/>
              </w:rPr>
            </w:pPr>
            <w:r>
              <w:rPr>
                <w:rFonts w:cs="Arial"/>
                <w:szCs w:val="14"/>
                <w:lang w:eastAsia="en-US"/>
              </w:rPr>
              <w:t>(80,344)</w:t>
            </w:r>
          </w:p>
        </w:tc>
        <w:tc>
          <w:tcPr>
            <w:tcW w:w="1797" w:type="dxa"/>
          </w:tcPr>
          <w:p w14:paraId="77914F68" w14:textId="77777777" w:rsidR="006A362F" w:rsidRPr="00C43B29" w:rsidRDefault="006A362F" w:rsidP="0084275E">
            <w:pPr>
              <w:pStyle w:val="08-Tabelageral"/>
              <w:rPr>
                <w:rFonts w:cs="Arial"/>
                <w:szCs w:val="14"/>
              </w:rPr>
            </w:pPr>
            <w:r>
              <w:rPr>
                <w:lang w:eastAsia="en-US"/>
              </w:rPr>
              <w:t xml:space="preserve"> --   </w:t>
            </w:r>
          </w:p>
        </w:tc>
        <w:tc>
          <w:tcPr>
            <w:tcW w:w="1797" w:type="dxa"/>
          </w:tcPr>
          <w:p w14:paraId="1CA0344E" w14:textId="77777777" w:rsidR="006A362F" w:rsidRPr="00C43B29" w:rsidRDefault="006A362F" w:rsidP="0084275E">
            <w:pPr>
              <w:pStyle w:val="08-Tabelageral"/>
              <w:rPr>
                <w:rFonts w:cs="Arial"/>
                <w:szCs w:val="14"/>
              </w:rPr>
            </w:pPr>
            <w:r>
              <w:rPr>
                <w:lang w:eastAsia="en-US"/>
              </w:rPr>
              <w:t>(80,344)</w:t>
            </w:r>
          </w:p>
        </w:tc>
      </w:tr>
      <w:tr w:rsidR="006A362F" w:rsidRPr="00A03B7C" w14:paraId="03BA0123" w14:textId="77777777" w:rsidTr="00C41DB7">
        <w:trPr>
          <w:trHeight w:val="238"/>
          <w:jc w:val="center"/>
        </w:trPr>
        <w:tc>
          <w:tcPr>
            <w:tcW w:w="4519" w:type="dxa"/>
            <w:vAlign w:val="center"/>
          </w:tcPr>
          <w:p w14:paraId="21AC9CC8" w14:textId="77777777" w:rsidR="006A362F" w:rsidRPr="00A03B7C" w:rsidRDefault="006A362F" w:rsidP="0084275E">
            <w:pPr>
              <w:pStyle w:val="08-Tabelageral"/>
              <w:ind w:left="113"/>
              <w:jc w:val="left"/>
              <w:rPr>
                <w:rFonts w:cs="Arial"/>
                <w:szCs w:val="14"/>
                <w:highlight w:val="yellow"/>
              </w:rPr>
            </w:pPr>
            <w:r w:rsidRPr="00C27294">
              <w:t>Other accumulated comprehensive income</w:t>
            </w:r>
          </w:p>
        </w:tc>
        <w:tc>
          <w:tcPr>
            <w:tcW w:w="1526" w:type="dxa"/>
            <w:vAlign w:val="center"/>
          </w:tcPr>
          <w:p w14:paraId="76077A72" w14:textId="77777777" w:rsidR="006A362F" w:rsidRPr="00A03B7C" w:rsidRDefault="006A362F" w:rsidP="0084275E">
            <w:pPr>
              <w:pStyle w:val="08-Tabelageral"/>
              <w:rPr>
                <w:rFonts w:cs="Arial"/>
                <w:szCs w:val="14"/>
                <w:highlight w:val="yellow"/>
              </w:rPr>
            </w:pPr>
            <w:r>
              <w:rPr>
                <w:lang w:eastAsia="en-US"/>
              </w:rPr>
              <w:t>(147,047)</w:t>
            </w:r>
          </w:p>
        </w:tc>
        <w:tc>
          <w:tcPr>
            <w:tcW w:w="1797" w:type="dxa"/>
          </w:tcPr>
          <w:p w14:paraId="17F166CC" w14:textId="77777777" w:rsidR="006A362F" w:rsidRPr="00A03B7C" w:rsidRDefault="006A362F" w:rsidP="0084275E">
            <w:pPr>
              <w:pStyle w:val="08-Tabelageral"/>
              <w:rPr>
                <w:rFonts w:cs="Arial"/>
                <w:szCs w:val="14"/>
                <w:highlight w:val="yellow"/>
              </w:rPr>
            </w:pPr>
            <w:r>
              <w:rPr>
                <w:lang w:eastAsia="en-US"/>
              </w:rPr>
              <w:t xml:space="preserve"> 165,085 </w:t>
            </w:r>
          </w:p>
        </w:tc>
        <w:tc>
          <w:tcPr>
            <w:tcW w:w="1797" w:type="dxa"/>
          </w:tcPr>
          <w:p w14:paraId="23014B7F" w14:textId="77777777" w:rsidR="006A362F" w:rsidRPr="00A03B7C" w:rsidRDefault="006A362F" w:rsidP="0084275E">
            <w:pPr>
              <w:pStyle w:val="08-Tabelageral"/>
              <w:rPr>
                <w:rFonts w:cs="Arial"/>
                <w:szCs w:val="14"/>
                <w:highlight w:val="yellow"/>
              </w:rPr>
            </w:pPr>
            <w:r>
              <w:rPr>
                <w:lang w:eastAsia="en-US"/>
              </w:rPr>
              <w:t>18,038</w:t>
            </w:r>
          </w:p>
        </w:tc>
      </w:tr>
      <w:tr w:rsidR="006A362F" w:rsidRPr="00C80F9A" w14:paraId="330B0137" w14:textId="77777777" w:rsidTr="00C41DB7">
        <w:trPr>
          <w:trHeight w:val="238"/>
          <w:jc w:val="center"/>
        </w:trPr>
        <w:tc>
          <w:tcPr>
            <w:tcW w:w="4519" w:type="dxa"/>
            <w:vAlign w:val="center"/>
          </w:tcPr>
          <w:p w14:paraId="11CA3F75" w14:textId="77777777" w:rsidR="006A362F" w:rsidRPr="00A03B7C" w:rsidRDefault="006A362F" w:rsidP="0084275E">
            <w:pPr>
              <w:pStyle w:val="08-Tabelageral"/>
              <w:ind w:left="113"/>
              <w:jc w:val="left"/>
              <w:rPr>
                <w:rFonts w:cs="Arial"/>
                <w:szCs w:val="14"/>
                <w:highlight w:val="yellow"/>
              </w:rPr>
            </w:pPr>
            <w:r w:rsidRPr="00C34AB2">
              <w:t>Retained earnings</w:t>
            </w:r>
          </w:p>
        </w:tc>
        <w:tc>
          <w:tcPr>
            <w:tcW w:w="1526" w:type="dxa"/>
            <w:vAlign w:val="center"/>
          </w:tcPr>
          <w:p w14:paraId="16F137A2" w14:textId="77777777" w:rsidR="006A362F" w:rsidRPr="00A03B7C" w:rsidRDefault="006A362F" w:rsidP="0084275E">
            <w:pPr>
              <w:pStyle w:val="08-Tabelageral"/>
              <w:rPr>
                <w:rFonts w:cs="Arial"/>
                <w:szCs w:val="14"/>
                <w:highlight w:val="yellow"/>
              </w:rPr>
            </w:pPr>
            <w:r>
              <w:rPr>
                <w:lang w:eastAsia="en-US"/>
              </w:rPr>
              <w:t>--</w:t>
            </w:r>
          </w:p>
        </w:tc>
        <w:tc>
          <w:tcPr>
            <w:tcW w:w="1797" w:type="dxa"/>
          </w:tcPr>
          <w:p w14:paraId="3EF00A4F" w14:textId="77777777" w:rsidR="006A362F" w:rsidRPr="00A03B7C" w:rsidRDefault="006A362F" w:rsidP="0084275E">
            <w:pPr>
              <w:pStyle w:val="08-Tabelageral"/>
              <w:rPr>
                <w:rFonts w:cs="Arial"/>
                <w:szCs w:val="14"/>
                <w:highlight w:val="yellow"/>
              </w:rPr>
            </w:pPr>
            <w:r>
              <w:rPr>
                <w:lang w:eastAsia="en-US"/>
              </w:rPr>
              <w:t xml:space="preserve"> 266,985 </w:t>
            </w:r>
          </w:p>
        </w:tc>
        <w:tc>
          <w:tcPr>
            <w:tcW w:w="1797" w:type="dxa"/>
          </w:tcPr>
          <w:p w14:paraId="19C844FB" w14:textId="77777777" w:rsidR="006A362F" w:rsidRPr="00C43B29" w:rsidRDefault="006A362F" w:rsidP="0084275E">
            <w:pPr>
              <w:pStyle w:val="08-Tabelageral"/>
              <w:rPr>
                <w:rFonts w:cs="Arial"/>
                <w:szCs w:val="14"/>
              </w:rPr>
            </w:pPr>
            <w:r>
              <w:rPr>
                <w:lang w:eastAsia="en-US"/>
              </w:rPr>
              <w:t>266,985</w:t>
            </w:r>
          </w:p>
        </w:tc>
      </w:tr>
      <w:tr w:rsidR="006A362F" w:rsidRPr="002F06CE" w14:paraId="477972C5" w14:textId="77777777" w:rsidTr="00C41DB7">
        <w:trPr>
          <w:trHeight w:val="238"/>
          <w:jc w:val="center"/>
        </w:trPr>
        <w:tc>
          <w:tcPr>
            <w:tcW w:w="4519" w:type="dxa"/>
            <w:vAlign w:val="center"/>
          </w:tcPr>
          <w:p w14:paraId="483A5F04" w14:textId="77777777" w:rsidR="006A362F" w:rsidRPr="002F06CE" w:rsidRDefault="006A362F" w:rsidP="0084275E">
            <w:pPr>
              <w:pStyle w:val="08-Tabelageral"/>
              <w:jc w:val="left"/>
              <w:rPr>
                <w:rFonts w:cs="Arial"/>
                <w:b/>
                <w:bCs/>
                <w:szCs w:val="14"/>
                <w:highlight w:val="yellow"/>
              </w:rPr>
            </w:pPr>
            <w:r w:rsidRPr="002F06CE">
              <w:rPr>
                <w:b/>
                <w:bCs/>
              </w:rPr>
              <w:t>Total Equity</w:t>
            </w:r>
          </w:p>
        </w:tc>
        <w:tc>
          <w:tcPr>
            <w:tcW w:w="1526" w:type="dxa"/>
            <w:vAlign w:val="center"/>
          </w:tcPr>
          <w:p w14:paraId="025BF399" w14:textId="77777777" w:rsidR="006A362F" w:rsidRPr="002F06CE" w:rsidRDefault="006A362F" w:rsidP="0084275E">
            <w:pPr>
              <w:pStyle w:val="08-Tabelageral"/>
              <w:rPr>
                <w:rFonts w:cs="Arial"/>
                <w:b/>
                <w:bCs/>
                <w:szCs w:val="14"/>
                <w:highlight w:val="yellow"/>
              </w:rPr>
            </w:pPr>
            <w:r>
              <w:rPr>
                <w:b/>
                <w:bCs/>
                <w:lang w:eastAsia="en-US"/>
              </w:rPr>
              <w:t>7,596,101</w:t>
            </w:r>
          </w:p>
        </w:tc>
        <w:tc>
          <w:tcPr>
            <w:tcW w:w="1797" w:type="dxa"/>
          </w:tcPr>
          <w:p w14:paraId="1C9CF193" w14:textId="77777777" w:rsidR="006A362F" w:rsidRPr="002F06CE" w:rsidRDefault="006A362F" w:rsidP="0084275E">
            <w:pPr>
              <w:pStyle w:val="08-Tabelageral"/>
              <w:rPr>
                <w:rFonts w:cs="Arial"/>
                <w:b/>
                <w:bCs/>
                <w:szCs w:val="14"/>
                <w:highlight w:val="yellow"/>
              </w:rPr>
            </w:pPr>
            <w:r>
              <w:rPr>
                <w:b/>
                <w:bCs/>
                <w:lang w:eastAsia="en-US"/>
              </w:rPr>
              <w:t xml:space="preserve"> 432,070 </w:t>
            </w:r>
          </w:p>
        </w:tc>
        <w:tc>
          <w:tcPr>
            <w:tcW w:w="1797" w:type="dxa"/>
          </w:tcPr>
          <w:p w14:paraId="4BEC68B3" w14:textId="77777777" w:rsidR="006A362F" w:rsidRPr="002F06CE" w:rsidRDefault="006A362F" w:rsidP="0084275E">
            <w:pPr>
              <w:pStyle w:val="08-Tabelageral"/>
              <w:rPr>
                <w:rFonts w:cs="Arial"/>
                <w:b/>
                <w:bCs/>
                <w:szCs w:val="14"/>
                <w:highlight w:val="yellow"/>
              </w:rPr>
            </w:pPr>
            <w:r>
              <w:rPr>
                <w:b/>
                <w:bCs/>
                <w:lang w:eastAsia="en-US"/>
              </w:rPr>
              <w:t>8,028,171</w:t>
            </w:r>
          </w:p>
        </w:tc>
      </w:tr>
      <w:tr w:rsidR="006A362F" w:rsidRPr="002F06CE" w14:paraId="1C54DD3A" w14:textId="77777777" w:rsidTr="00F6555D">
        <w:trPr>
          <w:trHeight w:val="238"/>
          <w:jc w:val="center"/>
        </w:trPr>
        <w:tc>
          <w:tcPr>
            <w:tcW w:w="4519" w:type="dxa"/>
            <w:tcBorders>
              <w:bottom w:val="single" w:sz="2" w:space="0" w:color="1F4E79" w:themeColor="accent1" w:themeShade="80"/>
            </w:tcBorders>
            <w:vAlign w:val="center"/>
          </w:tcPr>
          <w:p w14:paraId="1934BDF2" w14:textId="77777777" w:rsidR="006A362F" w:rsidRPr="002F06CE" w:rsidRDefault="006A362F" w:rsidP="0084275E">
            <w:pPr>
              <w:pStyle w:val="08-Tabelageral"/>
              <w:jc w:val="left"/>
              <w:rPr>
                <w:rFonts w:cs="Arial"/>
                <w:b/>
                <w:bCs/>
                <w:szCs w:val="14"/>
                <w:highlight w:val="yellow"/>
              </w:rPr>
            </w:pPr>
            <w:r w:rsidRPr="002F06CE">
              <w:rPr>
                <w:b/>
                <w:bCs/>
              </w:rPr>
              <w:t>Total Liabilities and Equity</w:t>
            </w:r>
          </w:p>
        </w:tc>
        <w:tc>
          <w:tcPr>
            <w:tcW w:w="1526" w:type="dxa"/>
            <w:tcBorders>
              <w:bottom w:val="single" w:sz="2" w:space="0" w:color="1F4E79" w:themeColor="accent1" w:themeShade="80"/>
            </w:tcBorders>
          </w:tcPr>
          <w:p w14:paraId="1767A03E" w14:textId="77777777" w:rsidR="006A362F" w:rsidRPr="002F06CE" w:rsidRDefault="006A362F" w:rsidP="0084275E">
            <w:pPr>
              <w:pStyle w:val="08-Tabelageral"/>
              <w:rPr>
                <w:rFonts w:cs="Arial"/>
                <w:b/>
                <w:bCs/>
                <w:color w:val="000000"/>
                <w:szCs w:val="14"/>
                <w:highlight w:val="yellow"/>
              </w:rPr>
            </w:pPr>
            <w:r>
              <w:rPr>
                <w:rFonts w:cs="Arial"/>
                <w:b/>
                <w:bCs/>
                <w:szCs w:val="14"/>
                <w:lang w:eastAsia="en-US"/>
              </w:rPr>
              <w:t>11,282,424</w:t>
            </w:r>
          </w:p>
        </w:tc>
        <w:tc>
          <w:tcPr>
            <w:tcW w:w="1797" w:type="dxa"/>
            <w:tcBorders>
              <w:bottom w:val="single" w:sz="2" w:space="0" w:color="1F4E79" w:themeColor="accent1" w:themeShade="80"/>
            </w:tcBorders>
          </w:tcPr>
          <w:p w14:paraId="7D7B2E41" w14:textId="77777777" w:rsidR="006A362F" w:rsidRPr="002F06CE" w:rsidRDefault="006A362F" w:rsidP="0084275E">
            <w:pPr>
              <w:pStyle w:val="08-Tabelageral"/>
              <w:rPr>
                <w:rFonts w:cs="Arial"/>
                <w:b/>
                <w:bCs/>
                <w:szCs w:val="14"/>
                <w:highlight w:val="yellow"/>
              </w:rPr>
            </w:pPr>
            <w:r>
              <w:rPr>
                <w:b/>
                <w:bCs/>
                <w:lang w:eastAsia="en-US"/>
              </w:rPr>
              <w:t xml:space="preserve"> 432,070 </w:t>
            </w:r>
          </w:p>
        </w:tc>
        <w:tc>
          <w:tcPr>
            <w:tcW w:w="1797" w:type="dxa"/>
            <w:tcBorders>
              <w:bottom w:val="single" w:sz="2" w:space="0" w:color="1F4E79" w:themeColor="accent1" w:themeShade="80"/>
            </w:tcBorders>
          </w:tcPr>
          <w:p w14:paraId="79AA7B9B" w14:textId="77777777" w:rsidR="006A362F" w:rsidRPr="002F06CE" w:rsidRDefault="006A362F" w:rsidP="0084275E">
            <w:pPr>
              <w:pStyle w:val="08-Tabelageral"/>
              <w:rPr>
                <w:rFonts w:cs="Arial"/>
                <w:b/>
                <w:bCs/>
                <w:color w:val="000000"/>
                <w:szCs w:val="14"/>
              </w:rPr>
            </w:pPr>
            <w:r>
              <w:rPr>
                <w:b/>
                <w:bCs/>
                <w:lang w:eastAsia="en-US"/>
              </w:rPr>
              <w:t>11,714,494</w:t>
            </w:r>
          </w:p>
        </w:tc>
      </w:tr>
      <w:tr w:rsidR="006A362F" w:rsidRPr="00C80F9A" w14:paraId="6F2925C6" w14:textId="77777777" w:rsidTr="00F6555D">
        <w:trPr>
          <w:trHeight w:val="238"/>
          <w:jc w:val="center"/>
        </w:trPr>
        <w:tc>
          <w:tcPr>
            <w:tcW w:w="4519" w:type="dxa"/>
            <w:tcBorders>
              <w:top w:val="single" w:sz="2" w:space="0" w:color="1F4E79" w:themeColor="accent1" w:themeShade="80"/>
            </w:tcBorders>
          </w:tcPr>
          <w:p w14:paraId="7EB7AD8B" w14:textId="77777777" w:rsidR="006A362F" w:rsidRPr="005E1F7B" w:rsidRDefault="006A362F" w:rsidP="000A4B1A">
            <w:pPr>
              <w:pStyle w:val="08-Tabelageral"/>
              <w:jc w:val="left"/>
              <w:rPr>
                <w:rFonts w:cs="Arial"/>
                <w:szCs w:val="14"/>
              </w:rPr>
            </w:pPr>
          </w:p>
        </w:tc>
        <w:tc>
          <w:tcPr>
            <w:tcW w:w="1526" w:type="dxa"/>
            <w:tcBorders>
              <w:top w:val="single" w:sz="2" w:space="0" w:color="1F4E79" w:themeColor="accent1" w:themeShade="80"/>
            </w:tcBorders>
          </w:tcPr>
          <w:p w14:paraId="6789A587" w14:textId="77777777" w:rsidR="006A362F" w:rsidRPr="005E1F7B" w:rsidRDefault="006A362F" w:rsidP="000A4B1A">
            <w:pPr>
              <w:pStyle w:val="08-Tabelageral"/>
              <w:rPr>
                <w:rFonts w:cs="Arial"/>
                <w:color w:val="000000"/>
                <w:szCs w:val="14"/>
              </w:rPr>
            </w:pPr>
          </w:p>
        </w:tc>
        <w:tc>
          <w:tcPr>
            <w:tcW w:w="1797" w:type="dxa"/>
            <w:tcBorders>
              <w:top w:val="single" w:sz="2" w:space="0" w:color="1F4E79" w:themeColor="accent1" w:themeShade="80"/>
            </w:tcBorders>
          </w:tcPr>
          <w:p w14:paraId="26A02BF3" w14:textId="77777777" w:rsidR="006A362F" w:rsidRPr="005E1F7B" w:rsidRDefault="006A362F" w:rsidP="000A4B1A">
            <w:pPr>
              <w:pStyle w:val="08-Tabelageral"/>
              <w:rPr>
                <w:rFonts w:cs="Arial"/>
                <w:szCs w:val="14"/>
              </w:rPr>
            </w:pPr>
          </w:p>
        </w:tc>
        <w:tc>
          <w:tcPr>
            <w:tcW w:w="1797" w:type="dxa"/>
            <w:tcBorders>
              <w:top w:val="single" w:sz="2" w:space="0" w:color="1F4E79" w:themeColor="accent1" w:themeShade="80"/>
            </w:tcBorders>
          </w:tcPr>
          <w:p w14:paraId="69C2BF13" w14:textId="77777777" w:rsidR="006A362F" w:rsidRPr="005E1F7B" w:rsidRDefault="006A362F" w:rsidP="000A4B1A">
            <w:pPr>
              <w:pStyle w:val="08-Tabelageral"/>
              <w:rPr>
                <w:rFonts w:cs="Arial"/>
                <w:color w:val="000000"/>
                <w:szCs w:val="14"/>
              </w:rPr>
            </w:pPr>
          </w:p>
        </w:tc>
      </w:tr>
      <w:tr w:rsidR="006A362F" w:rsidRPr="00C80F9A" w14:paraId="7CFC8BE1" w14:textId="77777777" w:rsidTr="00F6555D">
        <w:trPr>
          <w:trHeight w:val="238"/>
          <w:jc w:val="center"/>
        </w:trPr>
        <w:tc>
          <w:tcPr>
            <w:tcW w:w="4519" w:type="dxa"/>
            <w:tcBorders>
              <w:bottom w:val="single" w:sz="2" w:space="0" w:color="1F4E79" w:themeColor="accent1" w:themeShade="80"/>
            </w:tcBorders>
          </w:tcPr>
          <w:p w14:paraId="189B1006" w14:textId="77777777" w:rsidR="006A362F" w:rsidRPr="005E1F7B" w:rsidRDefault="006A362F" w:rsidP="000A4B1A">
            <w:pPr>
              <w:pStyle w:val="08-Tabelageral"/>
              <w:jc w:val="left"/>
              <w:rPr>
                <w:rFonts w:cs="Arial"/>
                <w:szCs w:val="14"/>
              </w:rPr>
            </w:pPr>
          </w:p>
        </w:tc>
        <w:tc>
          <w:tcPr>
            <w:tcW w:w="1526" w:type="dxa"/>
            <w:tcBorders>
              <w:bottom w:val="single" w:sz="2" w:space="0" w:color="1F4E79" w:themeColor="accent1" w:themeShade="80"/>
            </w:tcBorders>
          </w:tcPr>
          <w:p w14:paraId="0FC269A9" w14:textId="77777777" w:rsidR="006A362F" w:rsidRPr="005E1F7B" w:rsidRDefault="006A362F" w:rsidP="000A4B1A">
            <w:pPr>
              <w:pStyle w:val="08-Tabelageral"/>
              <w:rPr>
                <w:rFonts w:cs="Arial"/>
                <w:color w:val="000000"/>
                <w:szCs w:val="14"/>
              </w:rPr>
            </w:pPr>
          </w:p>
        </w:tc>
        <w:tc>
          <w:tcPr>
            <w:tcW w:w="1797" w:type="dxa"/>
            <w:tcBorders>
              <w:bottom w:val="single" w:sz="2" w:space="0" w:color="1F4E79" w:themeColor="accent1" w:themeShade="80"/>
            </w:tcBorders>
          </w:tcPr>
          <w:p w14:paraId="305C23B4" w14:textId="77777777" w:rsidR="006A362F" w:rsidRPr="005E1F7B" w:rsidRDefault="006A362F" w:rsidP="000A4B1A">
            <w:pPr>
              <w:pStyle w:val="08-Tabelageral"/>
              <w:rPr>
                <w:rFonts w:cs="Arial"/>
                <w:szCs w:val="14"/>
              </w:rPr>
            </w:pPr>
          </w:p>
        </w:tc>
        <w:tc>
          <w:tcPr>
            <w:tcW w:w="1797" w:type="dxa"/>
            <w:tcBorders>
              <w:bottom w:val="single" w:sz="2" w:space="0" w:color="1F4E79" w:themeColor="accent1" w:themeShade="80"/>
            </w:tcBorders>
          </w:tcPr>
          <w:p w14:paraId="59D289C7" w14:textId="77777777" w:rsidR="006A362F" w:rsidRPr="001D4E06" w:rsidRDefault="006A362F" w:rsidP="000A4B1A">
            <w:pPr>
              <w:spacing w:after="0" w:line="240" w:lineRule="auto"/>
              <w:jc w:val="right"/>
              <w:rPr>
                <w:rFonts w:cs="Arial"/>
                <w:b/>
                <w:sz w:val="14"/>
                <w:lang w:eastAsia="pt-BR"/>
              </w:rPr>
            </w:pPr>
            <w:r w:rsidRPr="00FC6C4B">
              <w:rPr>
                <w:rFonts w:cs="Arial"/>
                <w:b/>
                <w:sz w:val="14"/>
                <w:lang w:eastAsia="pt-BR"/>
              </w:rPr>
              <w:t>R$ thousand</w:t>
            </w:r>
          </w:p>
        </w:tc>
      </w:tr>
      <w:tr w:rsidR="006A362F" w:rsidRPr="002F06CE" w14:paraId="6FF2B998" w14:textId="77777777" w:rsidTr="00F6555D">
        <w:trPr>
          <w:trHeight w:val="238"/>
          <w:jc w:val="center"/>
        </w:trPr>
        <w:tc>
          <w:tcPr>
            <w:tcW w:w="4519" w:type="dxa"/>
            <w:tcBorders>
              <w:top w:val="single" w:sz="2" w:space="0" w:color="1F4E79" w:themeColor="accent1" w:themeShade="80"/>
              <w:bottom w:val="single" w:sz="2" w:space="0" w:color="1F4E79" w:themeColor="accent1" w:themeShade="80"/>
            </w:tcBorders>
          </w:tcPr>
          <w:p w14:paraId="7F8F28DA" w14:textId="77777777" w:rsidR="006A362F" w:rsidRPr="002F06CE" w:rsidRDefault="006A362F" w:rsidP="000A4B1A">
            <w:pPr>
              <w:pStyle w:val="08-Tabelageral"/>
              <w:jc w:val="left"/>
              <w:rPr>
                <w:rFonts w:cs="Arial"/>
                <w:b/>
                <w:bCs/>
                <w:szCs w:val="14"/>
              </w:rPr>
            </w:pPr>
          </w:p>
        </w:tc>
        <w:tc>
          <w:tcPr>
            <w:tcW w:w="5120" w:type="dxa"/>
            <w:gridSpan w:val="3"/>
            <w:tcBorders>
              <w:top w:val="single" w:sz="2" w:space="0" w:color="1F4E79" w:themeColor="accent1" w:themeShade="80"/>
              <w:bottom w:val="single" w:sz="2" w:space="0" w:color="1F4E79" w:themeColor="accent1" w:themeShade="80"/>
            </w:tcBorders>
          </w:tcPr>
          <w:p w14:paraId="321F259D" w14:textId="77777777" w:rsidR="006A362F" w:rsidRPr="002F06CE" w:rsidRDefault="006A362F" w:rsidP="000A4B1A">
            <w:pPr>
              <w:pStyle w:val="08-Tabelageral"/>
              <w:jc w:val="center"/>
              <w:rPr>
                <w:rFonts w:cs="Arial"/>
                <w:b/>
                <w:bCs/>
                <w:szCs w:val="14"/>
              </w:rPr>
            </w:pPr>
            <w:r w:rsidRPr="002F06CE">
              <w:rPr>
                <w:rFonts w:cs="Arial"/>
                <w:b/>
                <w:bCs/>
              </w:rPr>
              <w:t>Consolidated</w:t>
            </w:r>
          </w:p>
        </w:tc>
      </w:tr>
      <w:tr w:rsidR="006A362F" w:rsidRPr="00C80F9A" w14:paraId="3EB4B419" w14:textId="77777777" w:rsidTr="00F6555D">
        <w:trPr>
          <w:trHeight w:val="238"/>
          <w:jc w:val="center"/>
        </w:trPr>
        <w:tc>
          <w:tcPr>
            <w:tcW w:w="4519" w:type="dxa"/>
            <w:tcBorders>
              <w:top w:val="single" w:sz="2" w:space="0" w:color="1F4E79" w:themeColor="accent1" w:themeShade="80"/>
              <w:bottom w:val="single" w:sz="2" w:space="0" w:color="1F4E79" w:themeColor="accent1" w:themeShade="80"/>
            </w:tcBorders>
          </w:tcPr>
          <w:p w14:paraId="4DC6F9F3" w14:textId="77777777" w:rsidR="006A362F" w:rsidRPr="00E00C9B" w:rsidRDefault="006A362F" w:rsidP="000A4B1A">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656FB152" w14:textId="77777777" w:rsidR="006A362F" w:rsidRPr="00C80F9A" w:rsidRDefault="006A362F" w:rsidP="000A4B1A">
            <w:pPr>
              <w:pStyle w:val="08-Tabelageral"/>
              <w:rPr>
                <w:rFonts w:cs="Arial"/>
                <w:b/>
                <w:bCs/>
                <w:szCs w:val="14"/>
              </w:rPr>
            </w:pPr>
          </w:p>
        </w:tc>
        <w:tc>
          <w:tcPr>
            <w:tcW w:w="1797" w:type="dxa"/>
            <w:tcBorders>
              <w:top w:val="single" w:sz="2" w:space="0" w:color="1F4E79" w:themeColor="accent1" w:themeShade="80"/>
              <w:bottom w:val="single" w:sz="2" w:space="0" w:color="1F4E79" w:themeColor="accent1" w:themeShade="80"/>
            </w:tcBorders>
          </w:tcPr>
          <w:p w14:paraId="08F29306" w14:textId="77777777" w:rsidR="006A362F" w:rsidRPr="00C80F9A" w:rsidRDefault="006A362F" w:rsidP="000A4B1A">
            <w:pPr>
              <w:pStyle w:val="08-Tabelageral"/>
              <w:rPr>
                <w:rFonts w:cs="Arial"/>
                <w:b/>
                <w:bCs/>
                <w:szCs w:val="14"/>
              </w:rPr>
            </w:pPr>
            <w:r w:rsidRPr="000010FF">
              <w:rPr>
                <w:rFonts w:cs="Arial"/>
                <w:b/>
                <w:bCs/>
                <w:szCs w:val="14"/>
                <w:lang w:val="en-US"/>
              </w:rPr>
              <w:t>Dec 31, 202</w:t>
            </w:r>
            <w:r>
              <w:rPr>
                <w:rFonts w:cs="Arial"/>
                <w:b/>
                <w:bCs/>
                <w:szCs w:val="14"/>
                <w:lang w:val="en-US"/>
              </w:rPr>
              <w:t>2</w:t>
            </w:r>
          </w:p>
        </w:tc>
        <w:tc>
          <w:tcPr>
            <w:tcW w:w="1797" w:type="dxa"/>
            <w:tcBorders>
              <w:top w:val="single" w:sz="2" w:space="0" w:color="1F4E79" w:themeColor="accent1" w:themeShade="80"/>
              <w:bottom w:val="single" w:sz="2" w:space="0" w:color="1F4E79" w:themeColor="accent1" w:themeShade="80"/>
            </w:tcBorders>
          </w:tcPr>
          <w:p w14:paraId="5CFF06CC" w14:textId="77777777" w:rsidR="006A362F" w:rsidRPr="00C80F9A" w:rsidRDefault="006A362F" w:rsidP="000A4B1A">
            <w:pPr>
              <w:pStyle w:val="08-Tabelageral"/>
              <w:rPr>
                <w:rFonts w:cs="Arial"/>
                <w:b/>
                <w:bCs/>
                <w:szCs w:val="14"/>
              </w:rPr>
            </w:pPr>
          </w:p>
        </w:tc>
      </w:tr>
      <w:tr w:rsidR="006A362F" w:rsidRPr="00C80F9A" w14:paraId="15302552" w14:textId="77777777" w:rsidTr="00F6555D">
        <w:trPr>
          <w:trHeight w:val="238"/>
          <w:jc w:val="center"/>
        </w:trPr>
        <w:tc>
          <w:tcPr>
            <w:tcW w:w="4519" w:type="dxa"/>
            <w:tcBorders>
              <w:top w:val="single" w:sz="2" w:space="0" w:color="1F4E79" w:themeColor="accent1" w:themeShade="80"/>
              <w:bottom w:val="single" w:sz="2" w:space="0" w:color="1F4E79" w:themeColor="accent1" w:themeShade="80"/>
            </w:tcBorders>
          </w:tcPr>
          <w:p w14:paraId="356E03D1" w14:textId="77777777" w:rsidR="006A362F" w:rsidRPr="00E00C9B" w:rsidRDefault="006A362F" w:rsidP="000A4B1A">
            <w:pPr>
              <w:pStyle w:val="08-Tabelageral"/>
              <w:jc w:val="left"/>
              <w:rPr>
                <w:rFonts w:cs="Arial"/>
                <w:b/>
                <w:bCs/>
                <w:szCs w:val="14"/>
              </w:rPr>
            </w:pPr>
          </w:p>
        </w:tc>
        <w:tc>
          <w:tcPr>
            <w:tcW w:w="1526" w:type="dxa"/>
            <w:tcBorders>
              <w:top w:val="single" w:sz="2" w:space="0" w:color="1F4E79" w:themeColor="accent1" w:themeShade="80"/>
              <w:bottom w:val="single" w:sz="2" w:space="0" w:color="1F4E79" w:themeColor="accent1" w:themeShade="80"/>
            </w:tcBorders>
          </w:tcPr>
          <w:p w14:paraId="58952F82" w14:textId="77777777" w:rsidR="006A362F" w:rsidRPr="00C80F9A" w:rsidRDefault="006A362F" w:rsidP="000A4B1A">
            <w:pPr>
              <w:pStyle w:val="08-Tabelageral"/>
              <w:rPr>
                <w:rFonts w:cs="Arial"/>
                <w:b/>
                <w:bCs/>
                <w:szCs w:val="14"/>
              </w:rPr>
            </w:pPr>
            <w:r>
              <w:rPr>
                <w:rFonts w:cs="Arial"/>
                <w:b/>
                <w:bCs/>
                <w:szCs w:val="14"/>
              </w:rPr>
              <w:t>Original report</w:t>
            </w:r>
          </w:p>
        </w:tc>
        <w:tc>
          <w:tcPr>
            <w:tcW w:w="1797" w:type="dxa"/>
            <w:tcBorders>
              <w:top w:val="single" w:sz="2" w:space="0" w:color="1F4E79" w:themeColor="accent1" w:themeShade="80"/>
              <w:bottom w:val="single" w:sz="2" w:space="0" w:color="1F4E79" w:themeColor="accent1" w:themeShade="80"/>
            </w:tcBorders>
          </w:tcPr>
          <w:p w14:paraId="6E4C6C1C" w14:textId="77777777" w:rsidR="006A362F" w:rsidRPr="00C80F9A" w:rsidRDefault="006A362F" w:rsidP="000A4B1A">
            <w:pPr>
              <w:pStyle w:val="08-Tabelageral"/>
              <w:rPr>
                <w:rFonts w:cs="Arial"/>
                <w:b/>
                <w:bCs/>
                <w:szCs w:val="14"/>
              </w:rPr>
            </w:pPr>
            <w:r>
              <w:rPr>
                <w:rFonts w:cs="Arial"/>
                <w:b/>
                <w:bCs/>
                <w:szCs w:val="14"/>
              </w:rPr>
              <w:t>Adjustments</w:t>
            </w:r>
          </w:p>
        </w:tc>
        <w:tc>
          <w:tcPr>
            <w:tcW w:w="1797" w:type="dxa"/>
            <w:tcBorders>
              <w:top w:val="single" w:sz="2" w:space="0" w:color="1F4E79" w:themeColor="accent1" w:themeShade="80"/>
              <w:bottom w:val="single" w:sz="2" w:space="0" w:color="1F4E79" w:themeColor="accent1" w:themeShade="80"/>
            </w:tcBorders>
          </w:tcPr>
          <w:p w14:paraId="04DC5EDE" w14:textId="77777777" w:rsidR="006A362F" w:rsidRPr="00C80F9A" w:rsidRDefault="006A362F" w:rsidP="000A4B1A">
            <w:pPr>
              <w:pStyle w:val="08-Tabelageral"/>
              <w:rPr>
                <w:rFonts w:cs="Arial"/>
                <w:b/>
                <w:bCs/>
                <w:szCs w:val="14"/>
              </w:rPr>
            </w:pPr>
            <w:r>
              <w:rPr>
                <w:rFonts w:cs="Arial"/>
                <w:b/>
                <w:bCs/>
                <w:szCs w:val="14"/>
              </w:rPr>
              <w:t>Restated balances</w:t>
            </w:r>
          </w:p>
        </w:tc>
      </w:tr>
      <w:tr w:rsidR="006A362F" w:rsidRPr="00C80F9A" w14:paraId="7F69B968" w14:textId="77777777" w:rsidTr="00F6555D">
        <w:trPr>
          <w:trHeight w:val="238"/>
          <w:jc w:val="center"/>
        </w:trPr>
        <w:tc>
          <w:tcPr>
            <w:tcW w:w="4519" w:type="dxa"/>
            <w:tcBorders>
              <w:top w:val="single" w:sz="2" w:space="0" w:color="1F4E79" w:themeColor="accent1" w:themeShade="80"/>
            </w:tcBorders>
            <w:vAlign w:val="center"/>
          </w:tcPr>
          <w:p w14:paraId="731476E1" w14:textId="77777777" w:rsidR="006A362F" w:rsidRPr="00C80F9A" w:rsidRDefault="006A362F" w:rsidP="0084275E">
            <w:pPr>
              <w:pStyle w:val="08-Tabelageral"/>
              <w:jc w:val="left"/>
              <w:rPr>
                <w:rFonts w:cs="Arial"/>
                <w:b/>
                <w:bCs/>
                <w:szCs w:val="14"/>
              </w:rPr>
            </w:pPr>
            <w:r w:rsidRPr="000A4B1A">
              <w:rPr>
                <w:rFonts w:cs="Arial"/>
                <w:b/>
                <w:bCs/>
                <w:szCs w:val="14"/>
              </w:rPr>
              <w:t>Current Assets</w:t>
            </w:r>
          </w:p>
        </w:tc>
        <w:tc>
          <w:tcPr>
            <w:tcW w:w="1526" w:type="dxa"/>
            <w:tcBorders>
              <w:top w:val="single" w:sz="2" w:space="0" w:color="1F4E79" w:themeColor="accent1" w:themeShade="80"/>
            </w:tcBorders>
          </w:tcPr>
          <w:p w14:paraId="73218980" w14:textId="77777777" w:rsidR="006A362F" w:rsidRPr="00C80F9A" w:rsidRDefault="006A362F" w:rsidP="0084275E">
            <w:pPr>
              <w:pStyle w:val="08-Tabelageral"/>
              <w:rPr>
                <w:rFonts w:cs="Arial"/>
                <w:b/>
                <w:bCs/>
                <w:szCs w:val="14"/>
                <w:highlight w:val="yellow"/>
              </w:rPr>
            </w:pPr>
            <w:r>
              <w:rPr>
                <w:rFonts w:cs="Arial"/>
                <w:b/>
                <w:bCs/>
                <w:color w:val="000000"/>
                <w:szCs w:val="14"/>
                <w:lang w:eastAsia="en-US"/>
              </w:rPr>
              <w:t>7,221,098</w:t>
            </w:r>
          </w:p>
        </w:tc>
        <w:tc>
          <w:tcPr>
            <w:tcW w:w="1797" w:type="dxa"/>
            <w:tcBorders>
              <w:top w:val="single" w:sz="2" w:space="0" w:color="1F4E79" w:themeColor="accent1" w:themeShade="80"/>
            </w:tcBorders>
          </w:tcPr>
          <w:p w14:paraId="68A4E5C3" w14:textId="77777777" w:rsidR="006A362F" w:rsidRPr="007E33FB" w:rsidRDefault="006A362F" w:rsidP="0084275E">
            <w:pPr>
              <w:pStyle w:val="08-Tabelageral"/>
              <w:rPr>
                <w:rFonts w:cs="Arial"/>
                <w:b/>
                <w:bCs/>
                <w:szCs w:val="14"/>
              </w:rPr>
            </w:pPr>
            <w:r>
              <w:rPr>
                <w:b/>
                <w:bCs/>
                <w:lang w:eastAsia="en-US"/>
              </w:rPr>
              <w:t xml:space="preserve"> --   </w:t>
            </w:r>
          </w:p>
        </w:tc>
        <w:tc>
          <w:tcPr>
            <w:tcW w:w="1797" w:type="dxa"/>
            <w:tcBorders>
              <w:top w:val="single" w:sz="2" w:space="0" w:color="1F4E79" w:themeColor="accent1" w:themeShade="80"/>
            </w:tcBorders>
          </w:tcPr>
          <w:p w14:paraId="190F6A32" w14:textId="77777777" w:rsidR="006A362F" w:rsidRPr="007E33FB" w:rsidRDefault="006A362F" w:rsidP="0084275E">
            <w:pPr>
              <w:pStyle w:val="08-Tabelageral"/>
              <w:rPr>
                <w:rFonts w:cs="Arial"/>
                <w:b/>
                <w:bCs/>
                <w:szCs w:val="14"/>
              </w:rPr>
            </w:pPr>
            <w:r>
              <w:rPr>
                <w:b/>
                <w:bCs/>
                <w:lang w:eastAsia="en-US"/>
              </w:rPr>
              <w:t>7,221,098</w:t>
            </w:r>
          </w:p>
        </w:tc>
      </w:tr>
      <w:tr w:rsidR="006A362F" w:rsidRPr="00A03B7C" w14:paraId="79AA23D4" w14:textId="77777777" w:rsidTr="00F6555D">
        <w:trPr>
          <w:trHeight w:val="238"/>
          <w:jc w:val="center"/>
        </w:trPr>
        <w:tc>
          <w:tcPr>
            <w:tcW w:w="4519" w:type="dxa"/>
          </w:tcPr>
          <w:p w14:paraId="15FAC24B" w14:textId="77777777" w:rsidR="006A362F" w:rsidRPr="00A03B7C" w:rsidRDefault="006A362F" w:rsidP="0084275E">
            <w:pPr>
              <w:pStyle w:val="08-Tabelageral"/>
              <w:jc w:val="left"/>
              <w:rPr>
                <w:rFonts w:cs="Arial"/>
                <w:b/>
                <w:bCs/>
                <w:szCs w:val="14"/>
                <w:highlight w:val="yellow"/>
              </w:rPr>
            </w:pPr>
            <w:r w:rsidRPr="000A4B1A">
              <w:rPr>
                <w:rFonts w:cs="Arial"/>
                <w:b/>
                <w:bCs/>
                <w:szCs w:val="14"/>
              </w:rPr>
              <w:t>Non-Current Assets</w:t>
            </w:r>
          </w:p>
        </w:tc>
        <w:tc>
          <w:tcPr>
            <w:tcW w:w="1526" w:type="dxa"/>
          </w:tcPr>
          <w:p w14:paraId="4FFC864B" w14:textId="77777777" w:rsidR="006A362F" w:rsidRPr="00A03B7C" w:rsidRDefault="006A362F" w:rsidP="0084275E">
            <w:pPr>
              <w:pStyle w:val="08-Tabelageral"/>
              <w:rPr>
                <w:rFonts w:cs="Arial"/>
                <w:b/>
                <w:bCs/>
                <w:szCs w:val="14"/>
                <w:highlight w:val="yellow"/>
              </w:rPr>
            </w:pPr>
            <w:r>
              <w:rPr>
                <w:rFonts w:cs="Arial"/>
                <w:b/>
                <w:bCs/>
                <w:szCs w:val="14"/>
                <w:lang w:eastAsia="en-US"/>
              </w:rPr>
              <w:t>8,908,734</w:t>
            </w:r>
          </w:p>
        </w:tc>
        <w:tc>
          <w:tcPr>
            <w:tcW w:w="1797" w:type="dxa"/>
          </w:tcPr>
          <w:p w14:paraId="25B8DD4A" w14:textId="77777777" w:rsidR="006A362F" w:rsidRPr="00A03B7C" w:rsidRDefault="006A362F" w:rsidP="0084275E">
            <w:pPr>
              <w:pStyle w:val="08-Tabelageral"/>
              <w:rPr>
                <w:rFonts w:cs="Arial"/>
                <w:b/>
                <w:bCs/>
                <w:szCs w:val="14"/>
                <w:highlight w:val="yellow"/>
              </w:rPr>
            </w:pPr>
            <w:r>
              <w:rPr>
                <w:b/>
                <w:bCs/>
                <w:lang w:eastAsia="en-US"/>
              </w:rPr>
              <w:t xml:space="preserve"> 432,070 </w:t>
            </w:r>
          </w:p>
        </w:tc>
        <w:tc>
          <w:tcPr>
            <w:tcW w:w="1797" w:type="dxa"/>
          </w:tcPr>
          <w:p w14:paraId="400E24E4" w14:textId="77777777" w:rsidR="006A362F" w:rsidRPr="00A03B7C" w:rsidRDefault="006A362F" w:rsidP="0084275E">
            <w:pPr>
              <w:pStyle w:val="08-Tabelageral"/>
              <w:rPr>
                <w:rFonts w:cs="Arial"/>
                <w:b/>
                <w:bCs/>
                <w:szCs w:val="14"/>
                <w:highlight w:val="yellow"/>
              </w:rPr>
            </w:pPr>
            <w:r>
              <w:rPr>
                <w:b/>
                <w:bCs/>
                <w:lang w:eastAsia="en-US"/>
              </w:rPr>
              <w:t>9,340,804</w:t>
            </w:r>
          </w:p>
        </w:tc>
      </w:tr>
      <w:tr w:rsidR="006A362F" w:rsidRPr="0068399F" w14:paraId="3FFDA093" w14:textId="77777777" w:rsidTr="00046C1E">
        <w:trPr>
          <w:trHeight w:val="238"/>
          <w:jc w:val="center"/>
        </w:trPr>
        <w:tc>
          <w:tcPr>
            <w:tcW w:w="4519" w:type="dxa"/>
            <w:vAlign w:val="center"/>
          </w:tcPr>
          <w:p w14:paraId="0F2D7687" w14:textId="77777777" w:rsidR="006A362F" w:rsidRPr="002F06CE" w:rsidRDefault="006A362F" w:rsidP="0084275E">
            <w:pPr>
              <w:pStyle w:val="08-Tabelageral"/>
              <w:ind w:left="113"/>
              <w:jc w:val="left"/>
              <w:rPr>
                <w:rFonts w:cs="Arial"/>
                <w:szCs w:val="14"/>
                <w:lang w:val="en-US"/>
              </w:rPr>
            </w:pPr>
            <w:r w:rsidRPr="00BD6C7E">
              <w:rPr>
                <w:rFonts w:cs="Arial"/>
                <w:szCs w:val="14"/>
                <w:lang w:val="en-US"/>
              </w:rPr>
              <w:t>Financial assets at fair value through profit or loss</w:t>
            </w:r>
          </w:p>
        </w:tc>
        <w:tc>
          <w:tcPr>
            <w:tcW w:w="1526" w:type="dxa"/>
            <w:vAlign w:val="center"/>
          </w:tcPr>
          <w:p w14:paraId="5E28CBEB" w14:textId="77777777" w:rsidR="006A362F" w:rsidRDefault="006A362F" w:rsidP="0084275E">
            <w:pPr>
              <w:pStyle w:val="08-Tabelageral"/>
              <w:rPr>
                <w:rFonts w:cs="Arial"/>
                <w:color w:val="000000"/>
                <w:szCs w:val="14"/>
              </w:rPr>
            </w:pPr>
            <w:r>
              <w:rPr>
                <w:rFonts w:cs="Arial"/>
                <w:szCs w:val="14"/>
                <w:lang w:eastAsia="en-US"/>
              </w:rPr>
              <w:t>368,281</w:t>
            </w:r>
          </w:p>
        </w:tc>
        <w:tc>
          <w:tcPr>
            <w:tcW w:w="1797" w:type="dxa"/>
          </w:tcPr>
          <w:p w14:paraId="5E23DD05"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20E3032D" w14:textId="77777777" w:rsidR="006A362F" w:rsidRPr="007E33FB" w:rsidRDefault="006A362F" w:rsidP="0084275E">
            <w:pPr>
              <w:pStyle w:val="08-Tabelageral"/>
              <w:rPr>
                <w:rFonts w:cs="Arial"/>
                <w:color w:val="000000"/>
                <w:szCs w:val="14"/>
              </w:rPr>
            </w:pPr>
            <w:r>
              <w:rPr>
                <w:lang w:eastAsia="en-US"/>
              </w:rPr>
              <w:t>368,281</w:t>
            </w:r>
          </w:p>
        </w:tc>
      </w:tr>
      <w:tr w:rsidR="006A362F" w:rsidRPr="0068399F" w14:paraId="06A54E1A" w14:textId="77777777" w:rsidTr="00046C1E">
        <w:trPr>
          <w:trHeight w:val="238"/>
          <w:jc w:val="center"/>
        </w:trPr>
        <w:tc>
          <w:tcPr>
            <w:tcW w:w="4519" w:type="dxa"/>
            <w:vAlign w:val="center"/>
          </w:tcPr>
          <w:p w14:paraId="00060F55" w14:textId="77777777" w:rsidR="006A362F" w:rsidRPr="001346BC" w:rsidRDefault="006A362F" w:rsidP="0084275E">
            <w:pPr>
              <w:pStyle w:val="08-Tabelageral"/>
              <w:ind w:left="113"/>
              <w:jc w:val="left"/>
              <w:rPr>
                <w:rFonts w:cs="Arial"/>
                <w:szCs w:val="14"/>
              </w:rPr>
            </w:pPr>
            <w:r w:rsidRPr="002E2354">
              <w:t>Current tax assets</w:t>
            </w:r>
          </w:p>
        </w:tc>
        <w:tc>
          <w:tcPr>
            <w:tcW w:w="1526" w:type="dxa"/>
            <w:vAlign w:val="center"/>
          </w:tcPr>
          <w:p w14:paraId="0386E0E3" w14:textId="77777777" w:rsidR="006A362F" w:rsidRDefault="006A362F" w:rsidP="0084275E">
            <w:pPr>
              <w:pStyle w:val="08-Tabelageral"/>
              <w:rPr>
                <w:rFonts w:cs="Arial"/>
                <w:color w:val="000000"/>
                <w:szCs w:val="14"/>
              </w:rPr>
            </w:pPr>
            <w:r>
              <w:rPr>
                <w:lang w:eastAsia="en-US"/>
              </w:rPr>
              <w:t>80,977</w:t>
            </w:r>
          </w:p>
        </w:tc>
        <w:tc>
          <w:tcPr>
            <w:tcW w:w="1797" w:type="dxa"/>
          </w:tcPr>
          <w:p w14:paraId="686E0FFF"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6168A596" w14:textId="77777777" w:rsidR="006A362F" w:rsidRPr="007E33FB" w:rsidRDefault="006A362F" w:rsidP="0084275E">
            <w:pPr>
              <w:pStyle w:val="08-Tabelageral"/>
              <w:rPr>
                <w:rFonts w:cs="Arial"/>
                <w:color w:val="000000"/>
                <w:szCs w:val="14"/>
              </w:rPr>
            </w:pPr>
            <w:r>
              <w:rPr>
                <w:lang w:eastAsia="en-US"/>
              </w:rPr>
              <w:t>80,977</w:t>
            </w:r>
          </w:p>
        </w:tc>
      </w:tr>
      <w:tr w:rsidR="006A362F" w:rsidRPr="0068399F" w14:paraId="2ECA24C0" w14:textId="77777777" w:rsidTr="00046C1E">
        <w:trPr>
          <w:trHeight w:val="238"/>
          <w:jc w:val="center"/>
        </w:trPr>
        <w:tc>
          <w:tcPr>
            <w:tcW w:w="4519" w:type="dxa"/>
            <w:vAlign w:val="center"/>
          </w:tcPr>
          <w:p w14:paraId="0EB1F06C" w14:textId="77777777" w:rsidR="006A362F" w:rsidRPr="001346BC" w:rsidRDefault="006A362F" w:rsidP="0084275E">
            <w:pPr>
              <w:pStyle w:val="08-Tabelageral"/>
              <w:ind w:left="113"/>
              <w:jc w:val="left"/>
              <w:rPr>
                <w:rFonts w:cs="Arial"/>
                <w:szCs w:val="14"/>
              </w:rPr>
            </w:pPr>
            <w:r w:rsidRPr="00C27294">
              <w:rPr>
                <w:rFonts w:cs="Arial"/>
                <w:szCs w:val="14"/>
              </w:rPr>
              <w:t>Deferred tax assets</w:t>
            </w:r>
          </w:p>
        </w:tc>
        <w:tc>
          <w:tcPr>
            <w:tcW w:w="1526" w:type="dxa"/>
            <w:vAlign w:val="center"/>
          </w:tcPr>
          <w:p w14:paraId="5B6122D1" w14:textId="77777777" w:rsidR="006A362F" w:rsidRDefault="006A362F" w:rsidP="0084275E">
            <w:pPr>
              <w:pStyle w:val="08-Tabelageral"/>
              <w:rPr>
                <w:rFonts w:cs="Arial"/>
                <w:color w:val="000000"/>
                <w:szCs w:val="14"/>
              </w:rPr>
            </w:pPr>
            <w:r>
              <w:rPr>
                <w:rFonts w:cs="Arial"/>
                <w:szCs w:val="14"/>
                <w:lang w:eastAsia="en-US"/>
              </w:rPr>
              <w:t>7,773</w:t>
            </w:r>
          </w:p>
        </w:tc>
        <w:tc>
          <w:tcPr>
            <w:tcW w:w="1797" w:type="dxa"/>
          </w:tcPr>
          <w:p w14:paraId="3881A5FC"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60C98A43" w14:textId="77777777" w:rsidR="006A362F" w:rsidRPr="007E33FB" w:rsidRDefault="006A362F" w:rsidP="0084275E">
            <w:pPr>
              <w:pStyle w:val="08-Tabelageral"/>
              <w:rPr>
                <w:rFonts w:cs="Arial"/>
                <w:color w:val="000000"/>
                <w:szCs w:val="14"/>
              </w:rPr>
            </w:pPr>
            <w:r>
              <w:rPr>
                <w:lang w:eastAsia="en-US"/>
              </w:rPr>
              <w:t>7,773</w:t>
            </w:r>
          </w:p>
        </w:tc>
      </w:tr>
      <w:tr w:rsidR="006A362F" w:rsidRPr="0068399F" w14:paraId="4F2C176B" w14:textId="77777777" w:rsidTr="00046C1E">
        <w:trPr>
          <w:trHeight w:val="238"/>
          <w:jc w:val="center"/>
        </w:trPr>
        <w:tc>
          <w:tcPr>
            <w:tcW w:w="4519" w:type="dxa"/>
            <w:vAlign w:val="center"/>
          </w:tcPr>
          <w:p w14:paraId="1BF0AF9F" w14:textId="77777777" w:rsidR="006A362F" w:rsidRPr="001346BC" w:rsidRDefault="006A362F" w:rsidP="0084275E">
            <w:pPr>
              <w:pStyle w:val="08-Tabelageral"/>
              <w:ind w:left="113"/>
              <w:jc w:val="left"/>
              <w:rPr>
                <w:rFonts w:cs="Arial"/>
                <w:szCs w:val="14"/>
              </w:rPr>
            </w:pPr>
            <w:r w:rsidRPr="00C27294">
              <w:rPr>
                <w:rFonts w:cs="Arial"/>
                <w:szCs w:val="14"/>
              </w:rPr>
              <w:t>Commissions receivable</w:t>
            </w:r>
          </w:p>
        </w:tc>
        <w:tc>
          <w:tcPr>
            <w:tcW w:w="1526" w:type="dxa"/>
            <w:vAlign w:val="center"/>
          </w:tcPr>
          <w:p w14:paraId="7B8E2061" w14:textId="77777777" w:rsidR="006A362F" w:rsidRDefault="006A362F" w:rsidP="0084275E">
            <w:pPr>
              <w:pStyle w:val="08-Tabelageral"/>
              <w:rPr>
                <w:rFonts w:cs="Arial"/>
                <w:color w:val="000000"/>
                <w:szCs w:val="14"/>
              </w:rPr>
            </w:pPr>
            <w:r>
              <w:rPr>
                <w:rFonts w:cs="Arial"/>
                <w:szCs w:val="14"/>
                <w:lang w:eastAsia="en-US"/>
              </w:rPr>
              <w:t>708,990</w:t>
            </w:r>
          </w:p>
        </w:tc>
        <w:tc>
          <w:tcPr>
            <w:tcW w:w="1797" w:type="dxa"/>
          </w:tcPr>
          <w:p w14:paraId="167D1D3B"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58D71ACD" w14:textId="77777777" w:rsidR="006A362F" w:rsidRPr="007E33FB" w:rsidRDefault="006A362F" w:rsidP="0084275E">
            <w:pPr>
              <w:pStyle w:val="08-Tabelageral"/>
              <w:rPr>
                <w:rFonts w:cs="Arial"/>
                <w:color w:val="000000"/>
                <w:szCs w:val="14"/>
              </w:rPr>
            </w:pPr>
            <w:r>
              <w:rPr>
                <w:lang w:eastAsia="en-US"/>
              </w:rPr>
              <w:t>708,990</w:t>
            </w:r>
          </w:p>
        </w:tc>
      </w:tr>
      <w:tr w:rsidR="006A362F" w:rsidRPr="0068399F" w14:paraId="58835835" w14:textId="77777777" w:rsidTr="00046C1E">
        <w:trPr>
          <w:trHeight w:val="238"/>
          <w:jc w:val="center"/>
        </w:trPr>
        <w:tc>
          <w:tcPr>
            <w:tcW w:w="4519" w:type="dxa"/>
            <w:vAlign w:val="center"/>
          </w:tcPr>
          <w:p w14:paraId="698B41C1" w14:textId="77777777" w:rsidR="006A362F" w:rsidRPr="00A03B7C" w:rsidRDefault="006A362F" w:rsidP="0084275E">
            <w:pPr>
              <w:pStyle w:val="08-Tabelageral"/>
              <w:ind w:left="113"/>
              <w:jc w:val="left"/>
              <w:rPr>
                <w:rFonts w:cs="Arial"/>
                <w:szCs w:val="14"/>
                <w:highlight w:val="yellow"/>
              </w:rPr>
            </w:pPr>
            <w:r w:rsidRPr="00C27294">
              <w:rPr>
                <w:rFonts w:cs="Arial"/>
                <w:szCs w:val="14"/>
              </w:rPr>
              <w:t>Investments in associates</w:t>
            </w:r>
          </w:p>
        </w:tc>
        <w:tc>
          <w:tcPr>
            <w:tcW w:w="1526" w:type="dxa"/>
            <w:vAlign w:val="center"/>
          </w:tcPr>
          <w:p w14:paraId="1E6679CF" w14:textId="77777777" w:rsidR="006A362F" w:rsidRPr="00A03B7C" w:rsidRDefault="006A362F" w:rsidP="0084275E">
            <w:pPr>
              <w:pStyle w:val="08-Tabelageral"/>
              <w:rPr>
                <w:rFonts w:cs="Arial"/>
                <w:color w:val="000000"/>
                <w:szCs w:val="14"/>
                <w:highlight w:val="yellow"/>
              </w:rPr>
            </w:pPr>
            <w:r>
              <w:rPr>
                <w:rFonts w:cs="Arial"/>
                <w:szCs w:val="14"/>
                <w:lang w:eastAsia="en-US"/>
              </w:rPr>
              <w:t>7,516,810</w:t>
            </w:r>
          </w:p>
        </w:tc>
        <w:tc>
          <w:tcPr>
            <w:tcW w:w="1797" w:type="dxa"/>
          </w:tcPr>
          <w:p w14:paraId="5C5BB4DE" w14:textId="77777777" w:rsidR="006A362F" w:rsidRPr="00A03B7C" w:rsidRDefault="006A362F" w:rsidP="0084275E">
            <w:pPr>
              <w:pStyle w:val="08-Tabelageral"/>
              <w:rPr>
                <w:rFonts w:cs="Arial"/>
                <w:color w:val="000000"/>
                <w:szCs w:val="14"/>
                <w:highlight w:val="yellow"/>
              </w:rPr>
            </w:pPr>
            <w:r>
              <w:rPr>
                <w:lang w:eastAsia="en-US"/>
              </w:rPr>
              <w:t xml:space="preserve"> 432,070 </w:t>
            </w:r>
          </w:p>
        </w:tc>
        <w:tc>
          <w:tcPr>
            <w:tcW w:w="1797" w:type="dxa"/>
          </w:tcPr>
          <w:p w14:paraId="45368B1B" w14:textId="77777777" w:rsidR="006A362F" w:rsidRPr="007E33FB" w:rsidRDefault="006A362F" w:rsidP="0084275E">
            <w:pPr>
              <w:pStyle w:val="08-Tabelageral"/>
              <w:rPr>
                <w:rFonts w:cs="Arial"/>
                <w:color w:val="000000"/>
                <w:szCs w:val="14"/>
              </w:rPr>
            </w:pPr>
            <w:r>
              <w:rPr>
                <w:lang w:eastAsia="en-US"/>
              </w:rPr>
              <w:t>7,948,880</w:t>
            </w:r>
          </w:p>
        </w:tc>
      </w:tr>
      <w:tr w:rsidR="006A362F" w:rsidRPr="0068399F" w14:paraId="696EA837" w14:textId="77777777" w:rsidTr="00046C1E">
        <w:trPr>
          <w:trHeight w:val="238"/>
          <w:jc w:val="center"/>
        </w:trPr>
        <w:tc>
          <w:tcPr>
            <w:tcW w:w="4519" w:type="dxa"/>
            <w:vAlign w:val="center"/>
          </w:tcPr>
          <w:p w14:paraId="41DBDB72" w14:textId="77777777" w:rsidR="006A362F" w:rsidRPr="001346BC" w:rsidRDefault="006A362F" w:rsidP="0084275E">
            <w:pPr>
              <w:pStyle w:val="08-Tabelageral"/>
              <w:ind w:left="113"/>
              <w:jc w:val="left"/>
              <w:rPr>
                <w:rFonts w:cs="Arial"/>
                <w:szCs w:val="14"/>
              </w:rPr>
            </w:pPr>
            <w:r w:rsidRPr="00DC0B01">
              <w:rPr>
                <w:rFonts w:cs="Arial"/>
                <w:szCs w:val="14"/>
              </w:rPr>
              <w:t>Intangible</w:t>
            </w:r>
          </w:p>
        </w:tc>
        <w:tc>
          <w:tcPr>
            <w:tcW w:w="1526" w:type="dxa"/>
            <w:vAlign w:val="center"/>
          </w:tcPr>
          <w:p w14:paraId="2A7E775C" w14:textId="77777777" w:rsidR="006A362F" w:rsidRDefault="006A362F" w:rsidP="0084275E">
            <w:pPr>
              <w:pStyle w:val="08-Tabelageral"/>
              <w:rPr>
                <w:rFonts w:cs="Arial"/>
                <w:color w:val="000000"/>
                <w:szCs w:val="14"/>
              </w:rPr>
            </w:pPr>
            <w:r>
              <w:rPr>
                <w:rFonts w:cs="Arial"/>
                <w:szCs w:val="14"/>
                <w:lang w:eastAsia="en-US"/>
              </w:rPr>
              <w:t>4,021</w:t>
            </w:r>
          </w:p>
        </w:tc>
        <w:tc>
          <w:tcPr>
            <w:tcW w:w="1797" w:type="dxa"/>
          </w:tcPr>
          <w:p w14:paraId="50B5E12F"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6C8C9CF7" w14:textId="77777777" w:rsidR="006A362F" w:rsidRPr="007E33FB" w:rsidRDefault="006A362F" w:rsidP="0084275E">
            <w:pPr>
              <w:pStyle w:val="08-Tabelageral"/>
              <w:rPr>
                <w:rFonts w:cs="Arial"/>
                <w:color w:val="000000"/>
                <w:szCs w:val="14"/>
              </w:rPr>
            </w:pPr>
            <w:r>
              <w:rPr>
                <w:lang w:eastAsia="en-US"/>
              </w:rPr>
              <w:t>4,021</w:t>
            </w:r>
          </w:p>
        </w:tc>
      </w:tr>
      <w:tr w:rsidR="006A362F" w:rsidRPr="0068399F" w14:paraId="64556DE7" w14:textId="77777777" w:rsidTr="00046C1E">
        <w:trPr>
          <w:trHeight w:val="238"/>
          <w:jc w:val="center"/>
        </w:trPr>
        <w:tc>
          <w:tcPr>
            <w:tcW w:w="4519" w:type="dxa"/>
            <w:vAlign w:val="center"/>
          </w:tcPr>
          <w:p w14:paraId="553822D1" w14:textId="77777777" w:rsidR="006A362F" w:rsidRPr="001346BC" w:rsidRDefault="006A362F" w:rsidP="0084275E">
            <w:pPr>
              <w:pStyle w:val="08-Tabelageral"/>
              <w:ind w:left="113"/>
              <w:jc w:val="left"/>
              <w:rPr>
                <w:rFonts w:cs="Arial"/>
                <w:szCs w:val="14"/>
              </w:rPr>
            </w:pPr>
            <w:r w:rsidRPr="00C27294">
              <w:rPr>
                <w:rFonts w:cs="Arial"/>
                <w:szCs w:val="14"/>
              </w:rPr>
              <w:t>Other assets</w:t>
            </w:r>
          </w:p>
        </w:tc>
        <w:tc>
          <w:tcPr>
            <w:tcW w:w="1526" w:type="dxa"/>
            <w:vAlign w:val="center"/>
          </w:tcPr>
          <w:p w14:paraId="659C87C9" w14:textId="77777777" w:rsidR="006A362F" w:rsidRDefault="006A362F" w:rsidP="0084275E">
            <w:pPr>
              <w:pStyle w:val="08-Tabelageral"/>
              <w:rPr>
                <w:rFonts w:cs="Arial"/>
                <w:color w:val="000000"/>
                <w:szCs w:val="14"/>
              </w:rPr>
            </w:pPr>
            <w:r>
              <w:rPr>
                <w:rFonts w:cs="Arial"/>
                <w:szCs w:val="14"/>
                <w:lang w:eastAsia="en-US"/>
              </w:rPr>
              <w:t>221,882</w:t>
            </w:r>
          </w:p>
        </w:tc>
        <w:tc>
          <w:tcPr>
            <w:tcW w:w="1797" w:type="dxa"/>
          </w:tcPr>
          <w:p w14:paraId="41121E62"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6F2472CF" w14:textId="77777777" w:rsidR="006A362F" w:rsidRPr="007E33FB" w:rsidRDefault="006A362F" w:rsidP="0084275E">
            <w:pPr>
              <w:pStyle w:val="08-Tabelageral"/>
              <w:rPr>
                <w:rFonts w:cs="Arial"/>
                <w:color w:val="000000"/>
                <w:szCs w:val="14"/>
              </w:rPr>
            </w:pPr>
            <w:r>
              <w:rPr>
                <w:lang w:eastAsia="en-US"/>
              </w:rPr>
              <w:t>221,882</w:t>
            </w:r>
          </w:p>
        </w:tc>
      </w:tr>
      <w:tr w:rsidR="006A362F" w:rsidRPr="00A03B7C" w14:paraId="3BE9589A" w14:textId="77777777" w:rsidTr="00F6555D">
        <w:trPr>
          <w:trHeight w:val="238"/>
          <w:jc w:val="center"/>
        </w:trPr>
        <w:tc>
          <w:tcPr>
            <w:tcW w:w="4519" w:type="dxa"/>
            <w:vAlign w:val="center"/>
          </w:tcPr>
          <w:p w14:paraId="3C6616C0" w14:textId="77777777" w:rsidR="006A362F" w:rsidRPr="00A03B7C" w:rsidRDefault="006A362F" w:rsidP="0084275E">
            <w:pPr>
              <w:pStyle w:val="08-Tabelageral"/>
              <w:jc w:val="left"/>
              <w:rPr>
                <w:rFonts w:cs="Arial"/>
                <w:b/>
                <w:bCs/>
                <w:szCs w:val="14"/>
                <w:highlight w:val="yellow"/>
              </w:rPr>
            </w:pPr>
            <w:r w:rsidRPr="000A4B1A">
              <w:rPr>
                <w:rFonts w:cs="Arial"/>
                <w:b/>
                <w:bCs/>
                <w:szCs w:val="14"/>
              </w:rPr>
              <w:t>Total Assets</w:t>
            </w:r>
          </w:p>
        </w:tc>
        <w:tc>
          <w:tcPr>
            <w:tcW w:w="1526" w:type="dxa"/>
          </w:tcPr>
          <w:p w14:paraId="3383A9CE" w14:textId="77777777" w:rsidR="006A362F" w:rsidRPr="00A03B7C" w:rsidRDefault="006A362F" w:rsidP="0084275E">
            <w:pPr>
              <w:pStyle w:val="08-Tabelageral"/>
              <w:rPr>
                <w:rFonts w:cs="Arial"/>
                <w:color w:val="000000"/>
                <w:szCs w:val="14"/>
                <w:highlight w:val="yellow"/>
              </w:rPr>
            </w:pPr>
            <w:r>
              <w:rPr>
                <w:rFonts w:cs="Arial"/>
                <w:b/>
                <w:bCs/>
                <w:szCs w:val="14"/>
                <w:lang w:eastAsia="en-US"/>
              </w:rPr>
              <w:t>16,129,832</w:t>
            </w:r>
          </w:p>
        </w:tc>
        <w:tc>
          <w:tcPr>
            <w:tcW w:w="1797" w:type="dxa"/>
          </w:tcPr>
          <w:p w14:paraId="5D160672" w14:textId="77777777" w:rsidR="006A362F" w:rsidRPr="00A03B7C" w:rsidRDefault="006A362F" w:rsidP="0084275E">
            <w:pPr>
              <w:pStyle w:val="08-Tabelageral"/>
              <w:rPr>
                <w:rFonts w:cs="Arial"/>
                <w:b/>
                <w:bCs/>
                <w:color w:val="000000"/>
                <w:szCs w:val="14"/>
                <w:highlight w:val="yellow"/>
              </w:rPr>
            </w:pPr>
            <w:r>
              <w:rPr>
                <w:b/>
                <w:bCs/>
                <w:lang w:eastAsia="en-US"/>
              </w:rPr>
              <w:t xml:space="preserve"> 432,070 </w:t>
            </w:r>
          </w:p>
        </w:tc>
        <w:tc>
          <w:tcPr>
            <w:tcW w:w="1797" w:type="dxa"/>
          </w:tcPr>
          <w:p w14:paraId="31022F9D" w14:textId="77777777" w:rsidR="006A362F" w:rsidRPr="00A03B7C" w:rsidRDefault="006A362F" w:rsidP="0084275E">
            <w:pPr>
              <w:pStyle w:val="08-Tabelageral"/>
              <w:rPr>
                <w:rFonts w:cs="Arial"/>
                <w:color w:val="000000"/>
                <w:szCs w:val="14"/>
                <w:highlight w:val="yellow"/>
              </w:rPr>
            </w:pPr>
            <w:r>
              <w:rPr>
                <w:b/>
                <w:bCs/>
                <w:lang w:eastAsia="en-US"/>
              </w:rPr>
              <w:t>16,561,902</w:t>
            </w:r>
          </w:p>
        </w:tc>
      </w:tr>
      <w:tr w:rsidR="006A362F" w:rsidRPr="0068399F" w14:paraId="79E011BB" w14:textId="77777777" w:rsidTr="00F6555D">
        <w:trPr>
          <w:trHeight w:val="238"/>
          <w:jc w:val="center"/>
        </w:trPr>
        <w:tc>
          <w:tcPr>
            <w:tcW w:w="4519" w:type="dxa"/>
            <w:vAlign w:val="center"/>
          </w:tcPr>
          <w:p w14:paraId="01F8D920" w14:textId="77777777" w:rsidR="006A362F" w:rsidRPr="008E5AE4" w:rsidRDefault="006A362F" w:rsidP="0084275E">
            <w:pPr>
              <w:pStyle w:val="08-Tabelageral"/>
              <w:jc w:val="left"/>
              <w:rPr>
                <w:rFonts w:cs="Arial"/>
                <w:b/>
                <w:bCs/>
                <w:szCs w:val="14"/>
              </w:rPr>
            </w:pPr>
          </w:p>
        </w:tc>
        <w:tc>
          <w:tcPr>
            <w:tcW w:w="1526" w:type="dxa"/>
          </w:tcPr>
          <w:p w14:paraId="42AE578C" w14:textId="77777777" w:rsidR="006A362F" w:rsidRPr="00D501B4" w:rsidRDefault="006A362F" w:rsidP="0084275E">
            <w:pPr>
              <w:pStyle w:val="08-Tabelageral"/>
              <w:rPr>
                <w:rFonts w:cs="Arial"/>
                <w:b/>
                <w:bCs/>
                <w:szCs w:val="14"/>
              </w:rPr>
            </w:pPr>
          </w:p>
        </w:tc>
        <w:tc>
          <w:tcPr>
            <w:tcW w:w="1797" w:type="dxa"/>
          </w:tcPr>
          <w:p w14:paraId="3561752C" w14:textId="77777777" w:rsidR="006A362F" w:rsidRPr="007E33FB" w:rsidRDefault="006A362F" w:rsidP="0084275E">
            <w:pPr>
              <w:pStyle w:val="08-Tabelageral"/>
              <w:rPr>
                <w:rFonts w:cs="Arial"/>
                <w:b/>
                <w:bCs/>
                <w:color w:val="000000"/>
                <w:szCs w:val="14"/>
              </w:rPr>
            </w:pPr>
            <w:r>
              <w:rPr>
                <w:lang w:eastAsia="en-US"/>
              </w:rPr>
              <w:t xml:space="preserve"> --   </w:t>
            </w:r>
          </w:p>
        </w:tc>
        <w:tc>
          <w:tcPr>
            <w:tcW w:w="1797" w:type="dxa"/>
          </w:tcPr>
          <w:p w14:paraId="76D8E542" w14:textId="77777777" w:rsidR="006A362F" w:rsidRPr="007E33FB" w:rsidRDefault="006A362F" w:rsidP="0084275E">
            <w:pPr>
              <w:pStyle w:val="08-Tabelageral"/>
              <w:rPr>
                <w:rFonts w:cs="Arial"/>
                <w:b/>
                <w:bCs/>
                <w:color w:val="000000"/>
                <w:szCs w:val="14"/>
              </w:rPr>
            </w:pPr>
          </w:p>
        </w:tc>
      </w:tr>
      <w:tr w:rsidR="006A362F" w:rsidRPr="0068399F" w14:paraId="5C2E7A77" w14:textId="77777777" w:rsidTr="00F6555D">
        <w:trPr>
          <w:trHeight w:val="238"/>
          <w:jc w:val="center"/>
        </w:trPr>
        <w:tc>
          <w:tcPr>
            <w:tcW w:w="4519" w:type="dxa"/>
            <w:vAlign w:val="center"/>
          </w:tcPr>
          <w:p w14:paraId="24151D69" w14:textId="77777777" w:rsidR="006A362F" w:rsidRPr="00C43B29" w:rsidRDefault="006A362F" w:rsidP="0084275E">
            <w:pPr>
              <w:pStyle w:val="08-Tabelageral"/>
              <w:jc w:val="left"/>
              <w:rPr>
                <w:rFonts w:cs="Arial"/>
                <w:b/>
                <w:bCs/>
                <w:szCs w:val="14"/>
              </w:rPr>
            </w:pPr>
            <w:r w:rsidRPr="002F06CE">
              <w:rPr>
                <w:b/>
                <w:bCs/>
              </w:rPr>
              <w:t>Current Liabilities</w:t>
            </w:r>
          </w:p>
        </w:tc>
        <w:tc>
          <w:tcPr>
            <w:tcW w:w="1526" w:type="dxa"/>
          </w:tcPr>
          <w:p w14:paraId="5915FCF7" w14:textId="77777777" w:rsidR="006A362F" w:rsidRDefault="006A362F" w:rsidP="0084275E">
            <w:pPr>
              <w:pStyle w:val="08-Tabelageral"/>
              <w:rPr>
                <w:rFonts w:cs="Arial"/>
                <w:color w:val="000000"/>
                <w:szCs w:val="14"/>
              </w:rPr>
            </w:pPr>
            <w:r>
              <w:rPr>
                <w:rFonts w:cs="Arial"/>
                <w:b/>
                <w:bCs/>
                <w:szCs w:val="14"/>
                <w:lang w:eastAsia="en-US"/>
              </w:rPr>
              <w:t>6,508,168</w:t>
            </w:r>
          </w:p>
        </w:tc>
        <w:tc>
          <w:tcPr>
            <w:tcW w:w="1797" w:type="dxa"/>
          </w:tcPr>
          <w:p w14:paraId="3B9675EF" w14:textId="77777777" w:rsidR="006A362F" w:rsidRPr="007E33FB" w:rsidRDefault="006A362F" w:rsidP="0084275E">
            <w:pPr>
              <w:pStyle w:val="08-Tabelageral"/>
              <w:rPr>
                <w:rFonts w:cs="Arial"/>
                <w:b/>
                <w:bCs/>
                <w:color w:val="000000"/>
                <w:szCs w:val="14"/>
              </w:rPr>
            </w:pPr>
            <w:r>
              <w:rPr>
                <w:b/>
                <w:bCs/>
                <w:lang w:eastAsia="en-US"/>
              </w:rPr>
              <w:t xml:space="preserve"> --   </w:t>
            </w:r>
          </w:p>
        </w:tc>
        <w:tc>
          <w:tcPr>
            <w:tcW w:w="1797" w:type="dxa"/>
          </w:tcPr>
          <w:p w14:paraId="16372260" w14:textId="77777777" w:rsidR="006A362F" w:rsidRPr="007E33FB" w:rsidRDefault="006A362F" w:rsidP="0084275E">
            <w:pPr>
              <w:pStyle w:val="08-Tabelageral"/>
              <w:rPr>
                <w:rFonts w:cs="Arial"/>
                <w:color w:val="000000"/>
                <w:szCs w:val="14"/>
              </w:rPr>
            </w:pPr>
            <w:r>
              <w:rPr>
                <w:b/>
                <w:bCs/>
                <w:lang w:eastAsia="en-US"/>
              </w:rPr>
              <w:t>6,508,168</w:t>
            </w:r>
          </w:p>
        </w:tc>
      </w:tr>
      <w:tr w:rsidR="006A362F" w:rsidRPr="0068399F" w14:paraId="33F558D8" w14:textId="77777777" w:rsidTr="00F6555D">
        <w:trPr>
          <w:trHeight w:val="238"/>
          <w:jc w:val="center"/>
        </w:trPr>
        <w:tc>
          <w:tcPr>
            <w:tcW w:w="4519" w:type="dxa"/>
            <w:vAlign w:val="center"/>
          </w:tcPr>
          <w:p w14:paraId="7E1D0CE8" w14:textId="77777777" w:rsidR="006A362F" w:rsidRPr="00C43B29" w:rsidRDefault="006A362F" w:rsidP="0084275E">
            <w:pPr>
              <w:pStyle w:val="08-Tabelageral"/>
              <w:jc w:val="left"/>
              <w:rPr>
                <w:rFonts w:cs="Arial"/>
                <w:b/>
                <w:bCs/>
                <w:szCs w:val="14"/>
              </w:rPr>
            </w:pPr>
            <w:r w:rsidRPr="002F06CE">
              <w:rPr>
                <w:b/>
                <w:bCs/>
              </w:rPr>
              <w:t>Non-Current Liabilities</w:t>
            </w:r>
          </w:p>
        </w:tc>
        <w:tc>
          <w:tcPr>
            <w:tcW w:w="1526" w:type="dxa"/>
          </w:tcPr>
          <w:p w14:paraId="3B850CC7" w14:textId="77777777" w:rsidR="006A362F" w:rsidRDefault="006A362F" w:rsidP="0084275E">
            <w:pPr>
              <w:pStyle w:val="08-Tabelageral"/>
              <w:rPr>
                <w:rFonts w:cs="Arial"/>
                <w:color w:val="000000"/>
                <w:szCs w:val="14"/>
              </w:rPr>
            </w:pPr>
            <w:r>
              <w:rPr>
                <w:rFonts w:cs="Arial"/>
                <w:b/>
                <w:bCs/>
                <w:szCs w:val="14"/>
                <w:lang w:eastAsia="en-US"/>
              </w:rPr>
              <w:t>2,025,563</w:t>
            </w:r>
          </w:p>
        </w:tc>
        <w:tc>
          <w:tcPr>
            <w:tcW w:w="1797" w:type="dxa"/>
          </w:tcPr>
          <w:p w14:paraId="7A4808BA" w14:textId="77777777" w:rsidR="006A362F" w:rsidRPr="007E33FB" w:rsidRDefault="006A362F" w:rsidP="0084275E">
            <w:pPr>
              <w:pStyle w:val="08-Tabelageral"/>
              <w:rPr>
                <w:rFonts w:cs="Arial"/>
                <w:b/>
                <w:bCs/>
                <w:color w:val="000000"/>
                <w:szCs w:val="14"/>
              </w:rPr>
            </w:pPr>
            <w:r>
              <w:rPr>
                <w:b/>
                <w:bCs/>
                <w:lang w:eastAsia="en-US"/>
              </w:rPr>
              <w:t xml:space="preserve"> --   </w:t>
            </w:r>
          </w:p>
        </w:tc>
        <w:tc>
          <w:tcPr>
            <w:tcW w:w="1797" w:type="dxa"/>
          </w:tcPr>
          <w:p w14:paraId="3883D0FD" w14:textId="77777777" w:rsidR="006A362F" w:rsidRPr="007E33FB" w:rsidRDefault="006A362F" w:rsidP="0084275E">
            <w:pPr>
              <w:pStyle w:val="08-Tabelageral"/>
              <w:rPr>
                <w:rFonts w:cs="Arial"/>
                <w:color w:val="000000"/>
                <w:szCs w:val="14"/>
              </w:rPr>
            </w:pPr>
            <w:r>
              <w:rPr>
                <w:b/>
                <w:bCs/>
                <w:lang w:eastAsia="en-US"/>
              </w:rPr>
              <w:t>2,025,563</w:t>
            </w:r>
          </w:p>
        </w:tc>
      </w:tr>
      <w:tr w:rsidR="006A362F" w:rsidRPr="0068399F" w14:paraId="08A54379" w14:textId="77777777" w:rsidTr="00F6555D">
        <w:trPr>
          <w:trHeight w:val="238"/>
          <w:jc w:val="center"/>
        </w:trPr>
        <w:tc>
          <w:tcPr>
            <w:tcW w:w="4519" w:type="dxa"/>
            <w:vAlign w:val="center"/>
          </w:tcPr>
          <w:p w14:paraId="665E35A0" w14:textId="77777777" w:rsidR="006A362F" w:rsidRPr="00C43B29" w:rsidRDefault="006A362F" w:rsidP="0084275E">
            <w:pPr>
              <w:pStyle w:val="08-Tabelageral"/>
              <w:jc w:val="left"/>
              <w:rPr>
                <w:rFonts w:cs="Arial"/>
                <w:b/>
                <w:bCs/>
                <w:szCs w:val="14"/>
              </w:rPr>
            </w:pPr>
            <w:r w:rsidRPr="002F06CE">
              <w:rPr>
                <w:b/>
                <w:bCs/>
              </w:rPr>
              <w:t>Total Liabilities</w:t>
            </w:r>
          </w:p>
        </w:tc>
        <w:tc>
          <w:tcPr>
            <w:tcW w:w="1526" w:type="dxa"/>
          </w:tcPr>
          <w:p w14:paraId="473C2F30" w14:textId="77777777" w:rsidR="006A362F" w:rsidRPr="00191FE2" w:rsidRDefault="006A362F" w:rsidP="0084275E">
            <w:pPr>
              <w:pStyle w:val="08-Tabelageral"/>
              <w:rPr>
                <w:rFonts w:cs="Arial"/>
                <w:b/>
                <w:bCs/>
                <w:szCs w:val="14"/>
              </w:rPr>
            </w:pPr>
            <w:r>
              <w:rPr>
                <w:rFonts w:cs="Arial"/>
                <w:b/>
                <w:bCs/>
                <w:szCs w:val="14"/>
                <w:lang w:eastAsia="en-US"/>
              </w:rPr>
              <w:t>8,533,731</w:t>
            </w:r>
          </w:p>
        </w:tc>
        <w:tc>
          <w:tcPr>
            <w:tcW w:w="1797" w:type="dxa"/>
          </w:tcPr>
          <w:p w14:paraId="6AEB2C23" w14:textId="77777777" w:rsidR="006A362F" w:rsidRPr="007E33FB" w:rsidRDefault="006A362F" w:rsidP="0084275E">
            <w:pPr>
              <w:pStyle w:val="08-Tabelageral"/>
              <w:rPr>
                <w:rFonts w:cs="Arial"/>
                <w:b/>
                <w:bCs/>
                <w:color w:val="000000"/>
                <w:szCs w:val="14"/>
              </w:rPr>
            </w:pPr>
            <w:r>
              <w:rPr>
                <w:b/>
                <w:bCs/>
                <w:lang w:eastAsia="en-US"/>
              </w:rPr>
              <w:t xml:space="preserve"> --   </w:t>
            </w:r>
          </w:p>
        </w:tc>
        <w:tc>
          <w:tcPr>
            <w:tcW w:w="1797" w:type="dxa"/>
          </w:tcPr>
          <w:p w14:paraId="5B09238A" w14:textId="77777777" w:rsidR="006A362F" w:rsidRPr="007E33FB" w:rsidRDefault="006A362F" w:rsidP="0084275E">
            <w:pPr>
              <w:pStyle w:val="08-Tabelageral"/>
              <w:rPr>
                <w:rFonts w:cs="Arial"/>
                <w:b/>
                <w:bCs/>
                <w:szCs w:val="14"/>
              </w:rPr>
            </w:pPr>
            <w:r>
              <w:rPr>
                <w:b/>
                <w:bCs/>
                <w:lang w:eastAsia="en-US"/>
              </w:rPr>
              <w:t>8,533,731</w:t>
            </w:r>
          </w:p>
        </w:tc>
      </w:tr>
      <w:tr w:rsidR="006A362F" w:rsidRPr="00A03B7C" w14:paraId="36CBCBFD" w14:textId="77777777" w:rsidTr="00046C1E">
        <w:trPr>
          <w:trHeight w:val="238"/>
          <w:jc w:val="center"/>
        </w:trPr>
        <w:tc>
          <w:tcPr>
            <w:tcW w:w="4519" w:type="dxa"/>
            <w:vAlign w:val="center"/>
          </w:tcPr>
          <w:p w14:paraId="471A205F" w14:textId="77777777" w:rsidR="006A362F" w:rsidRPr="00A03B7C" w:rsidRDefault="006A362F" w:rsidP="0084275E">
            <w:pPr>
              <w:pStyle w:val="08-Tabelageral"/>
              <w:jc w:val="left"/>
              <w:rPr>
                <w:rFonts w:cs="Arial"/>
                <w:b/>
                <w:bCs/>
                <w:szCs w:val="14"/>
                <w:highlight w:val="yellow"/>
              </w:rPr>
            </w:pPr>
            <w:r w:rsidRPr="002F06CE">
              <w:rPr>
                <w:b/>
                <w:bCs/>
              </w:rPr>
              <w:t>Equity</w:t>
            </w:r>
          </w:p>
        </w:tc>
        <w:tc>
          <w:tcPr>
            <w:tcW w:w="1526" w:type="dxa"/>
            <w:vAlign w:val="center"/>
          </w:tcPr>
          <w:p w14:paraId="5058A4D1" w14:textId="77777777" w:rsidR="006A362F" w:rsidRPr="00A03B7C" w:rsidRDefault="006A362F" w:rsidP="0084275E">
            <w:pPr>
              <w:pStyle w:val="08-Tabelageral"/>
              <w:rPr>
                <w:rFonts w:cs="Arial"/>
                <w:color w:val="000000"/>
                <w:szCs w:val="14"/>
                <w:highlight w:val="yellow"/>
              </w:rPr>
            </w:pPr>
            <w:r>
              <w:rPr>
                <w:rFonts w:cs="Arial"/>
                <w:b/>
                <w:bCs/>
                <w:szCs w:val="14"/>
                <w:lang w:eastAsia="en-US"/>
              </w:rPr>
              <w:t>7,596,101</w:t>
            </w:r>
          </w:p>
        </w:tc>
        <w:tc>
          <w:tcPr>
            <w:tcW w:w="1797" w:type="dxa"/>
          </w:tcPr>
          <w:p w14:paraId="73B7CAA0" w14:textId="77777777" w:rsidR="006A362F" w:rsidRPr="00A03B7C" w:rsidRDefault="006A362F" w:rsidP="0084275E">
            <w:pPr>
              <w:pStyle w:val="08-Tabelageral"/>
              <w:rPr>
                <w:rFonts w:cs="Arial"/>
                <w:b/>
                <w:bCs/>
                <w:color w:val="000000"/>
                <w:szCs w:val="14"/>
                <w:highlight w:val="yellow"/>
              </w:rPr>
            </w:pPr>
            <w:r>
              <w:rPr>
                <w:b/>
                <w:bCs/>
                <w:lang w:eastAsia="en-US"/>
              </w:rPr>
              <w:t xml:space="preserve"> 432,070 </w:t>
            </w:r>
          </w:p>
        </w:tc>
        <w:tc>
          <w:tcPr>
            <w:tcW w:w="1797" w:type="dxa"/>
          </w:tcPr>
          <w:p w14:paraId="6CE5611F" w14:textId="77777777" w:rsidR="006A362F" w:rsidRPr="00A03B7C" w:rsidRDefault="006A362F" w:rsidP="0084275E">
            <w:pPr>
              <w:pStyle w:val="08-Tabelageral"/>
              <w:rPr>
                <w:rFonts w:cs="Arial"/>
                <w:color w:val="000000"/>
                <w:szCs w:val="14"/>
                <w:highlight w:val="yellow"/>
              </w:rPr>
            </w:pPr>
            <w:r>
              <w:rPr>
                <w:b/>
                <w:bCs/>
                <w:lang w:eastAsia="en-US"/>
              </w:rPr>
              <w:t>8,028,171</w:t>
            </w:r>
          </w:p>
        </w:tc>
      </w:tr>
      <w:tr w:rsidR="006A362F" w:rsidRPr="0068399F" w14:paraId="251B508F" w14:textId="77777777" w:rsidTr="00046C1E">
        <w:trPr>
          <w:trHeight w:val="238"/>
          <w:jc w:val="center"/>
        </w:trPr>
        <w:tc>
          <w:tcPr>
            <w:tcW w:w="4519" w:type="dxa"/>
            <w:vAlign w:val="center"/>
          </w:tcPr>
          <w:p w14:paraId="435D67C6" w14:textId="77777777" w:rsidR="006A362F" w:rsidRPr="001346BC" w:rsidRDefault="006A362F" w:rsidP="0084275E">
            <w:pPr>
              <w:pStyle w:val="08-Tabelageral"/>
              <w:ind w:left="113"/>
              <w:jc w:val="left"/>
              <w:rPr>
                <w:rFonts w:cs="Arial"/>
                <w:szCs w:val="14"/>
              </w:rPr>
            </w:pPr>
            <w:r w:rsidRPr="00C27294">
              <w:t>Capital</w:t>
            </w:r>
          </w:p>
        </w:tc>
        <w:tc>
          <w:tcPr>
            <w:tcW w:w="1526" w:type="dxa"/>
            <w:vAlign w:val="center"/>
          </w:tcPr>
          <w:p w14:paraId="7162FFFA" w14:textId="77777777" w:rsidR="006A362F" w:rsidRDefault="006A362F" w:rsidP="0084275E">
            <w:pPr>
              <w:pStyle w:val="08-Tabelageral"/>
              <w:rPr>
                <w:rFonts w:cs="Arial"/>
                <w:color w:val="000000"/>
                <w:szCs w:val="14"/>
              </w:rPr>
            </w:pPr>
            <w:r>
              <w:rPr>
                <w:rFonts w:cs="Arial"/>
                <w:szCs w:val="14"/>
                <w:lang w:eastAsia="en-US"/>
              </w:rPr>
              <w:t>6,269,692</w:t>
            </w:r>
          </w:p>
        </w:tc>
        <w:tc>
          <w:tcPr>
            <w:tcW w:w="1797" w:type="dxa"/>
          </w:tcPr>
          <w:p w14:paraId="7E030CFB"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5616006E" w14:textId="77777777" w:rsidR="006A362F" w:rsidRPr="007E33FB" w:rsidRDefault="006A362F" w:rsidP="0084275E">
            <w:pPr>
              <w:pStyle w:val="08-Tabelageral"/>
              <w:rPr>
                <w:rFonts w:cs="Arial"/>
                <w:color w:val="000000"/>
                <w:szCs w:val="14"/>
              </w:rPr>
            </w:pPr>
            <w:r>
              <w:rPr>
                <w:lang w:eastAsia="en-US"/>
              </w:rPr>
              <w:t>6,269,692</w:t>
            </w:r>
          </w:p>
        </w:tc>
      </w:tr>
      <w:tr w:rsidR="006A362F" w:rsidRPr="0068399F" w14:paraId="5D0CA456" w14:textId="77777777" w:rsidTr="00046C1E">
        <w:trPr>
          <w:trHeight w:val="238"/>
          <w:jc w:val="center"/>
        </w:trPr>
        <w:tc>
          <w:tcPr>
            <w:tcW w:w="4519" w:type="dxa"/>
            <w:vAlign w:val="center"/>
          </w:tcPr>
          <w:p w14:paraId="23EE3433" w14:textId="77777777" w:rsidR="006A362F" w:rsidRPr="001346BC" w:rsidRDefault="006A362F" w:rsidP="0084275E">
            <w:pPr>
              <w:pStyle w:val="08-Tabelageral"/>
              <w:ind w:left="113"/>
              <w:jc w:val="left"/>
              <w:rPr>
                <w:rFonts w:cs="Arial"/>
                <w:szCs w:val="14"/>
              </w:rPr>
            </w:pPr>
            <w:r w:rsidRPr="00C27294">
              <w:t>Capital reserves</w:t>
            </w:r>
          </w:p>
        </w:tc>
        <w:tc>
          <w:tcPr>
            <w:tcW w:w="1526" w:type="dxa"/>
            <w:vAlign w:val="center"/>
          </w:tcPr>
          <w:p w14:paraId="04554F7D" w14:textId="77777777" w:rsidR="006A362F" w:rsidRDefault="006A362F" w:rsidP="0084275E">
            <w:pPr>
              <w:pStyle w:val="08-Tabelageral"/>
              <w:rPr>
                <w:rFonts w:cs="Arial"/>
                <w:color w:val="000000"/>
                <w:szCs w:val="14"/>
              </w:rPr>
            </w:pPr>
            <w:r>
              <w:rPr>
                <w:rFonts w:cs="Arial"/>
                <w:szCs w:val="14"/>
                <w:lang w:eastAsia="en-US"/>
              </w:rPr>
              <w:t>1,571</w:t>
            </w:r>
          </w:p>
        </w:tc>
        <w:tc>
          <w:tcPr>
            <w:tcW w:w="1797" w:type="dxa"/>
          </w:tcPr>
          <w:p w14:paraId="57D72269"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734FF23B" w14:textId="77777777" w:rsidR="006A362F" w:rsidRPr="007E33FB" w:rsidRDefault="006A362F" w:rsidP="0084275E">
            <w:pPr>
              <w:pStyle w:val="08-Tabelageral"/>
              <w:rPr>
                <w:rFonts w:cs="Arial"/>
                <w:color w:val="000000"/>
                <w:szCs w:val="14"/>
              </w:rPr>
            </w:pPr>
            <w:r>
              <w:rPr>
                <w:lang w:eastAsia="en-US"/>
              </w:rPr>
              <w:t>1,571</w:t>
            </w:r>
          </w:p>
        </w:tc>
      </w:tr>
      <w:tr w:rsidR="006A362F" w:rsidRPr="0068399F" w14:paraId="4BF8BC7D" w14:textId="77777777" w:rsidTr="00046C1E">
        <w:trPr>
          <w:trHeight w:val="238"/>
          <w:jc w:val="center"/>
        </w:trPr>
        <w:tc>
          <w:tcPr>
            <w:tcW w:w="4519" w:type="dxa"/>
            <w:vAlign w:val="center"/>
          </w:tcPr>
          <w:p w14:paraId="49096E74" w14:textId="77777777" w:rsidR="006A362F" w:rsidRPr="001346BC" w:rsidRDefault="006A362F" w:rsidP="0084275E">
            <w:pPr>
              <w:pStyle w:val="08-Tabelageral"/>
              <w:ind w:left="113"/>
              <w:jc w:val="left"/>
              <w:rPr>
                <w:rFonts w:cs="Arial"/>
                <w:szCs w:val="14"/>
              </w:rPr>
            </w:pPr>
            <w:r w:rsidRPr="00C27294">
              <w:t>Income reserves</w:t>
            </w:r>
          </w:p>
        </w:tc>
        <w:tc>
          <w:tcPr>
            <w:tcW w:w="1526" w:type="dxa"/>
            <w:vAlign w:val="center"/>
          </w:tcPr>
          <w:p w14:paraId="09DF319C" w14:textId="77777777" w:rsidR="006A362F" w:rsidRDefault="006A362F" w:rsidP="0084275E">
            <w:pPr>
              <w:pStyle w:val="08-Tabelageral"/>
              <w:rPr>
                <w:rFonts w:cs="Arial"/>
                <w:color w:val="000000"/>
                <w:szCs w:val="14"/>
              </w:rPr>
            </w:pPr>
            <w:r>
              <w:rPr>
                <w:rFonts w:cs="Arial"/>
                <w:szCs w:val="14"/>
                <w:lang w:eastAsia="en-US"/>
              </w:rPr>
              <w:t>1,552,229</w:t>
            </w:r>
          </w:p>
        </w:tc>
        <w:tc>
          <w:tcPr>
            <w:tcW w:w="1797" w:type="dxa"/>
          </w:tcPr>
          <w:p w14:paraId="527EDC80"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67DE087E" w14:textId="77777777" w:rsidR="006A362F" w:rsidRPr="007E33FB" w:rsidRDefault="006A362F" w:rsidP="0084275E">
            <w:pPr>
              <w:pStyle w:val="08-Tabelageral"/>
              <w:rPr>
                <w:rFonts w:cs="Arial"/>
                <w:color w:val="000000"/>
                <w:szCs w:val="14"/>
              </w:rPr>
            </w:pPr>
            <w:r>
              <w:rPr>
                <w:lang w:eastAsia="en-US"/>
              </w:rPr>
              <w:t>1,552,229</w:t>
            </w:r>
          </w:p>
        </w:tc>
      </w:tr>
      <w:tr w:rsidR="006A362F" w:rsidRPr="0068399F" w14:paraId="41077E4A" w14:textId="77777777" w:rsidTr="00046C1E">
        <w:trPr>
          <w:trHeight w:val="238"/>
          <w:jc w:val="center"/>
        </w:trPr>
        <w:tc>
          <w:tcPr>
            <w:tcW w:w="4519" w:type="dxa"/>
            <w:vAlign w:val="center"/>
          </w:tcPr>
          <w:p w14:paraId="2063E4C6" w14:textId="77777777" w:rsidR="006A362F" w:rsidRPr="001346BC" w:rsidRDefault="006A362F" w:rsidP="0084275E">
            <w:pPr>
              <w:pStyle w:val="08-Tabelageral"/>
              <w:ind w:left="113"/>
              <w:jc w:val="left"/>
              <w:rPr>
                <w:rFonts w:cs="Arial"/>
                <w:szCs w:val="14"/>
              </w:rPr>
            </w:pPr>
            <w:r w:rsidRPr="00C27294">
              <w:t>Treasury shares</w:t>
            </w:r>
          </w:p>
        </w:tc>
        <w:tc>
          <w:tcPr>
            <w:tcW w:w="1526" w:type="dxa"/>
            <w:vAlign w:val="center"/>
          </w:tcPr>
          <w:p w14:paraId="334C3FD8" w14:textId="77777777" w:rsidR="006A362F" w:rsidRDefault="006A362F" w:rsidP="0084275E">
            <w:pPr>
              <w:pStyle w:val="08-Tabelageral"/>
              <w:rPr>
                <w:rFonts w:cs="Arial"/>
                <w:color w:val="000000"/>
                <w:szCs w:val="14"/>
              </w:rPr>
            </w:pPr>
            <w:r>
              <w:rPr>
                <w:rFonts w:cs="Arial"/>
                <w:szCs w:val="14"/>
                <w:lang w:eastAsia="en-US"/>
              </w:rPr>
              <w:t>(80,344)</w:t>
            </w:r>
          </w:p>
        </w:tc>
        <w:tc>
          <w:tcPr>
            <w:tcW w:w="1797" w:type="dxa"/>
          </w:tcPr>
          <w:p w14:paraId="0F3A18FD" w14:textId="77777777" w:rsidR="006A362F" w:rsidRPr="007E33FB" w:rsidRDefault="006A362F" w:rsidP="0084275E">
            <w:pPr>
              <w:pStyle w:val="08-Tabelageral"/>
              <w:rPr>
                <w:rFonts w:cs="Arial"/>
                <w:color w:val="000000"/>
                <w:szCs w:val="14"/>
              </w:rPr>
            </w:pPr>
            <w:r>
              <w:rPr>
                <w:lang w:eastAsia="en-US"/>
              </w:rPr>
              <w:t xml:space="preserve"> --   </w:t>
            </w:r>
          </w:p>
        </w:tc>
        <w:tc>
          <w:tcPr>
            <w:tcW w:w="1797" w:type="dxa"/>
          </w:tcPr>
          <w:p w14:paraId="42DD5B61" w14:textId="77777777" w:rsidR="006A362F" w:rsidRPr="007E33FB" w:rsidRDefault="006A362F" w:rsidP="0084275E">
            <w:pPr>
              <w:pStyle w:val="08-Tabelageral"/>
              <w:rPr>
                <w:rFonts w:cs="Arial"/>
                <w:color w:val="000000"/>
                <w:szCs w:val="14"/>
              </w:rPr>
            </w:pPr>
            <w:r>
              <w:rPr>
                <w:lang w:eastAsia="en-US"/>
              </w:rPr>
              <w:t>(80,344)</w:t>
            </w:r>
          </w:p>
        </w:tc>
      </w:tr>
      <w:tr w:rsidR="006A362F" w:rsidRPr="00A03B7C" w14:paraId="3FBBDB6C" w14:textId="77777777" w:rsidTr="00046C1E">
        <w:trPr>
          <w:trHeight w:val="238"/>
          <w:jc w:val="center"/>
        </w:trPr>
        <w:tc>
          <w:tcPr>
            <w:tcW w:w="4519" w:type="dxa"/>
            <w:vAlign w:val="center"/>
          </w:tcPr>
          <w:p w14:paraId="5784C5DB" w14:textId="77777777" w:rsidR="006A362F" w:rsidRPr="00A03B7C" w:rsidRDefault="006A362F" w:rsidP="0084275E">
            <w:pPr>
              <w:pStyle w:val="08-Tabelageral"/>
              <w:ind w:left="113"/>
              <w:jc w:val="left"/>
              <w:rPr>
                <w:rFonts w:cs="Arial"/>
                <w:szCs w:val="14"/>
                <w:highlight w:val="yellow"/>
              </w:rPr>
            </w:pPr>
            <w:r w:rsidRPr="00C27294">
              <w:t>Other accumulated comprehensive income</w:t>
            </w:r>
          </w:p>
        </w:tc>
        <w:tc>
          <w:tcPr>
            <w:tcW w:w="1526" w:type="dxa"/>
            <w:vAlign w:val="center"/>
          </w:tcPr>
          <w:p w14:paraId="1BA74EC2" w14:textId="77777777" w:rsidR="006A362F" w:rsidRPr="00A03B7C" w:rsidRDefault="006A362F" w:rsidP="0084275E">
            <w:pPr>
              <w:pStyle w:val="08-Tabelageral"/>
              <w:rPr>
                <w:rFonts w:cs="Arial"/>
                <w:color w:val="000000"/>
                <w:szCs w:val="14"/>
                <w:highlight w:val="yellow"/>
              </w:rPr>
            </w:pPr>
            <w:r>
              <w:rPr>
                <w:lang w:eastAsia="en-US"/>
              </w:rPr>
              <w:t>(147,047)</w:t>
            </w:r>
          </w:p>
        </w:tc>
        <w:tc>
          <w:tcPr>
            <w:tcW w:w="1797" w:type="dxa"/>
          </w:tcPr>
          <w:p w14:paraId="7C85270A" w14:textId="77777777" w:rsidR="006A362F" w:rsidRPr="00A03B7C" w:rsidRDefault="006A362F" w:rsidP="0084275E">
            <w:pPr>
              <w:pStyle w:val="08-Tabelageral"/>
              <w:rPr>
                <w:rFonts w:cs="Arial"/>
                <w:color w:val="000000"/>
                <w:szCs w:val="14"/>
                <w:highlight w:val="yellow"/>
              </w:rPr>
            </w:pPr>
            <w:r>
              <w:rPr>
                <w:lang w:eastAsia="en-US"/>
              </w:rPr>
              <w:t xml:space="preserve"> 165,085 </w:t>
            </w:r>
          </w:p>
        </w:tc>
        <w:tc>
          <w:tcPr>
            <w:tcW w:w="1797" w:type="dxa"/>
          </w:tcPr>
          <w:p w14:paraId="1B379E2D" w14:textId="77777777" w:rsidR="006A362F" w:rsidRPr="00A03B7C" w:rsidRDefault="006A362F" w:rsidP="0084275E">
            <w:pPr>
              <w:pStyle w:val="08-Tabelageral"/>
              <w:rPr>
                <w:rFonts w:cs="Arial"/>
                <w:color w:val="000000"/>
                <w:szCs w:val="14"/>
                <w:highlight w:val="yellow"/>
              </w:rPr>
            </w:pPr>
            <w:r>
              <w:rPr>
                <w:lang w:eastAsia="en-US"/>
              </w:rPr>
              <w:t>18,038</w:t>
            </w:r>
          </w:p>
        </w:tc>
      </w:tr>
      <w:tr w:rsidR="006A362F" w:rsidRPr="00A03B7C" w14:paraId="285842DB" w14:textId="77777777" w:rsidTr="00046C1E">
        <w:trPr>
          <w:trHeight w:val="238"/>
          <w:jc w:val="center"/>
        </w:trPr>
        <w:tc>
          <w:tcPr>
            <w:tcW w:w="4519" w:type="dxa"/>
            <w:vAlign w:val="center"/>
          </w:tcPr>
          <w:p w14:paraId="24DD851E" w14:textId="77777777" w:rsidR="006A362F" w:rsidRPr="00A03B7C" w:rsidRDefault="006A362F" w:rsidP="0084275E">
            <w:pPr>
              <w:pStyle w:val="08-Tabelageral"/>
              <w:ind w:left="113"/>
              <w:jc w:val="left"/>
              <w:rPr>
                <w:rFonts w:cs="Arial"/>
                <w:b/>
                <w:bCs/>
                <w:szCs w:val="14"/>
                <w:highlight w:val="yellow"/>
              </w:rPr>
            </w:pPr>
            <w:r w:rsidRPr="00C34AB2">
              <w:t>Retained earnings</w:t>
            </w:r>
          </w:p>
        </w:tc>
        <w:tc>
          <w:tcPr>
            <w:tcW w:w="1526" w:type="dxa"/>
            <w:vAlign w:val="center"/>
          </w:tcPr>
          <w:p w14:paraId="6148A34B" w14:textId="77777777" w:rsidR="006A362F" w:rsidRPr="00A03B7C" w:rsidRDefault="006A362F" w:rsidP="0084275E">
            <w:pPr>
              <w:pStyle w:val="08-Tabelageral"/>
              <w:rPr>
                <w:rFonts w:cs="Arial"/>
                <w:b/>
                <w:bCs/>
                <w:szCs w:val="14"/>
                <w:highlight w:val="yellow"/>
              </w:rPr>
            </w:pPr>
            <w:r>
              <w:rPr>
                <w:lang w:eastAsia="en-US"/>
              </w:rPr>
              <w:t>--</w:t>
            </w:r>
          </w:p>
        </w:tc>
        <w:tc>
          <w:tcPr>
            <w:tcW w:w="1797" w:type="dxa"/>
          </w:tcPr>
          <w:p w14:paraId="3AAD5474" w14:textId="77777777" w:rsidR="006A362F" w:rsidRPr="00A03B7C" w:rsidRDefault="006A362F" w:rsidP="0084275E">
            <w:pPr>
              <w:pStyle w:val="08-Tabelageral"/>
              <w:rPr>
                <w:rFonts w:cs="Arial"/>
                <w:szCs w:val="14"/>
                <w:highlight w:val="yellow"/>
              </w:rPr>
            </w:pPr>
            <w:r>
              <w:rPr>
                <w:lang w:eastAsia="en-US"/>
              </w:rPr>
              <w:t xml:space="preserve"> 266,985 </w:t>
            </w:r>
          </w:p>
        </w:tc>
        <w:tc>
          <w:tcPr>
            <w:tcW w:w="1797" w:type="dxa"/>
          </w:tcPr>
          <w:p w14:paraId="268DC8AC" w14:textId="77777777" w:rsidR="006A362F" w:rsidRPr="00A03B7C" w:rsidRDefault="006A362F" w:rsidP="0084275E">
            <w:pPr>
              <w:pStyle w:val="08-Tabelageral"/>
              <w:rPr>
                <w:rFonts w:cs="Arial"/>
                <w:b/>
                <w:bCs/>
                <w:szCs w:val="14"/>
                <w:highlight w:val="yellow"/>
              </w:rPr>
            </w:pPr>
            <w:r>
              <w:rPr>
                <w:lang w:eastAsia="en-US"/>
              </w:rPr>
              <w:t>266,985</w:t>
            </w:r>
          </w:p>
        </w:tc>
      </w:tr>
      <w:tr w:rsidR="006A362F" w:rsidRPr="00A03B7C" w14:paraId="2274C9AD" w14:textId="77777777" w:rsidTr="00046C1E">
        <w:trPr>
          <w:trHeight w:val="238"/>
          <w:jc w:val="center"/>
        </w:trPr>
        <w:tc>
          <w:tcPr>
            <w:tcW w:w="4519" w:type="dxa"/>
            <w:vAlign w:val="center"/>
          </w:tcPr>
          <w:p w14:paraId="5D099343" w14:textId="77777777" w:rsidR="006A362F" w:rsidRPr="00A03B7C" w:rsidRDefault="006A362F" w:rsidP="0084275E">
            <w:pPr>
              <w:pStyle w:val="08-Tabelageral"/>
              <w:jc w:val="left"/>
              <w:rPr>
                <w:rFonts w:cs="Arial"/>
                <w:szCs w:val="14"/>
                <w:highlight w:val="yellow"/>
              </w:rPr>
            </w:pPr>
            <w:r w:rsidRPr="002F06CE">
              <w:rPr>
                <w:b/>
                <w:bCs/>
              </w:rPr>
              <w:t>Total Equity</w:t>
            </w:r>
          </w:p>
        </w:tc>
        <w:tc>
          <w:tcPr>
            <w:tcW w:w="1526" w:type="dxa"/>
            <w:vAlign w:val="center"/>
          </w:tcPr>
          <w:p w14:paraId="53636B06" w14:textId="77777777" w:rsidR="006A362F" w:rsidRPr="00A03B7C" w:rsidRDefault="006A362F" w:rsidP="0084275E">
            <w:pPr>
              <w:pStyle w:val="08-Tabelageral"/>
              <w:rPr>
                <w:rFonts w:cs="Arial"/>
                <w:b/>
                <w:bCs/>
                <w:color w:val="000000"/>
                <w:szCs w:val="14"/>
                <w:highlight w:val="yellow"/>
              </w:rPr>
            </w:pPr>
            <w:r>
              <w:rPr>
                <w:b/>
                <w:bCs/>
                <w:lang w:eastAsia="en-US"/>
              </w:rPr>
              <w:t>7,596,101</w:t>
            </w:r>
          </w:p>
        </w:tc>
        <w:tc>
          <w:tcPr>
            <w:tcW w:w="1797" w:type="dxa"/>
          </w:tcPr>
          <w:p w14:paraId="280D9E6C" w14:textId="77777777" w:rsidR="006A362F" w:rsidRPr="00A03B7C" w:rsidRDefault="006A362F" w:rsidP="0084275E">
            <w:pPr>
              <w:pStyle w:val="08-Tabelageral"/>
              <w:rPr>
                <w:rFonts w:cs="Arial"/>
                <w:b/>
                <w:bCs/>
                <w:szCs w:val="14"/>
                <w:highlight w:val="yellow"/>
              </w:rPr>
            </w:pPr>
            <w:r>
              <w:rPr>
                <w:b/>
                <w:bCs/>
                <w:lang w:eastAsia="en-US"/>
              </w:rPr>
              <w:t xml:space="preserve"> 432,070 </w:t>
            </w:r>
          </w:p>
        </w:tc>
        <w:tc>
          <w:tcPr>
            <w:tcW w:w="1797" w:type="dxa"/>
          </w:tcPr>
          <w:p w14:paraId="2D835586" w14:textId="77777777" w:rsidR="006A362F" w:rsidRPr="00A03B7C" w:rsidRDefault="006A362F" w:rsidP="0084275E">
            <w:pPr>
              <w:pStyle w:val="08-Tabelageral"/>
              <w:rPr>
                <w:rFonts w:cs="Arial"/>
                <w:b/>
                <w:bCs/>
                <w:color w:val="000000"/>
                <w:szCs w:val="14"/>
                <w:highlight w:val="yellow"/>
              </w:rPr>
            </w:pPr>
            <w:r>
              <w:rPr>
                <w:b/>
                <w:bCs/>
                <w:lang w:eastAsia="en-US"/>
              </w:rPr>
              <w:t>8,028,171</w:t>
            </w:r>
          </w:p>
        </w:tc>
      </w:tr>
      <w:tr w:rsidR="006A362F" w:rsidRPr="00A03B7C" w14:paraId="3C6CA631" w14:textId="77777777" w:rsidTr="00F6555D">
        <w:trPr>
          <w:trHeight w:val="238"/>
          <w:jc w:val="center"/>
        </w:trPr>
        <w:tc>
          <w:tcPr>
            <w:tcW w:w="4519" w:type="dxa"/>
            <w:tcBorders>
              <w:bottom w:val="single" w:sz="2" w:space="0" w:color="1F4E79" w:themeColor="accent1" w:themeShade="80"/>
            </w:tcBorders>
            <w:vAlign w:val="center"/>
          </w:tcPr>
          <w:p w14:paraId="7569BD13" w14:textId="77777777" w:rsidR="006A362F" w:rsidRPr="00A03B7C" w:rsidRDefault="006A362F" w:rsidP="0084275E">
            <w:pPr>
              <w:pStyle w:val="08-Tabelageral"/>
              <w:jc w:val="left"/>
              <w:rPr>
                <w:rFonts w:cs="Arial"/>
                <w:b/>
                <w:bCs/>
                <w:szCs w:val="14"/>
                <w:highlight w:val="yellow"/>
              </w:rPr>
            </w:pPr>
            <w:r w:rsidRPr="002F06CE">
              <w:rPr>
                <w:b/>
                <w:bCs/>
              </w:rPr>
              <w:t>Total Liabilities and Equity</w:t>
            </w:r>
          </w:p>
        </w:tc>
        <w:tc>
          <w:tcPr>
            <w:tcW w:w="1526" w:type="dxa"/>
            <w:tcBorders>
              <w:bottom w:val="single" w:sz="2" w:space="0" w:color="1F4E79" w:themeColor="accent1" w:themeShade="80"/>
            </w:tcBorders>
          </w:tcPr>
          <w:p w14:paraId="748769D3" w14:textId="77777777" w:rsidR="006A362F" w:rsidRPr="00A03B7C" w:rsidRDefault="006A362F" w:rsidP="0084275E">
            <w:pPr>
              <w:pStyle w:val="08-Tabelageral"/>
              <w:rPr>
                <w:rFonts w:cs="Arial"/>
                <w:b/>
                <w:bCs/>
                <w:color w:val="000000"/>
                <w:szCs w:val="14"/>
                <w:highlight w:val="yellow"/>
              </w:rPr>
            </w:pPr>
            <w:r>
              <w:rPr>
                <w:rFonts w:cs="Arial"/>
                <w:b/>
                <w:bCs/>
                <w:szCs w:val="14"/>
                <w:lang w:eastAsia="en-US"/>
              </w:rPr>
              <w:t>16,129,832</w:t>
            </w:r>
          </w:p>
        </w:tc>
        <w:tc>
          <w:tcPr>
            <w:tcW w:w="1797" w:type="dxa"/>
            <w:tcBorders>
              <w:bottom w:val="single" w:sz="2" w:space="0" w:color="1F4E79" w:themeColor="accent1" w:themeShade="80"/>
            </w:tcBorders>
          </w:tcPr>
          <w:p w14:paraId="09F3C176" w14:textId="77777777" w:rsidR="006A362F" w:rsidRPr="00A03B7C" w:rsidRDefault="006A362F" w:rsidP="0084275E">
            <w:pPr>
              <w:pStyle w:val="08-Tabelageral"/>
              <w:rPr>
                <w:rFonts w:cs="Arial"/>
                <w:b/>
                <w:bCs/>
                <w:szCs w:val="14"/>
                <w:highlight w:val="yellow"/>
              </w:rPr>
            </w:pPr>
            <w:r>
              <w:rPr>
                <w:b/>
                <w:bCs/>
                <w:lang w:eastAsia="en-US"/>
              </w:rPr>
              <w:t xml:space="preserve"> 432,070 </w:t>
            </w:r>
          </w:p>
        </w:tc>
        <w:tc>
          <w:tcPr>
            <w:tcW w:w="1797" w:type="dxa"/>
            <w:tcBorders>
              <w:bottom w:val="single" w:sz="2" w:space="0" w:color="1F4E79" w:themeColor="accent1" w:themeShade="80"/>
            </w:tcBorders>
          </w:tcPr>
          <w:p w14:paraId="67517E71" w14:textId="77777777" w:rsidR="006A362F" w:rsidRPr="00A03B7C" w:rsidRDefault="006A362F" w:rsidP="0084275E">
            <w:pPr>
              <w:pStyle w:val="08-Tabelageral"/>
              <w:rPr>
                <w:rFonts w:cs="Arial"/>
                <w:b/>
                <w:bCs/>
                <w:color w:val="000000"/>
                <w:szCs w:val="14"/>
                <w:highlight w:val="yellow"/>
              </w:rPr>
            </w:pPr>
            <w:r>
              <w:rPr>
                <w:b/>
                <w:bCs/>
                <w:lang w:eastAsia="en-US"/>
              </w:rPr>
              <w:t>16,561,902</w:t>
            </w:r>
          </w:p>
        </w:tc>
      </w:tr>
    </w:tbl>
    <w:p w14:paraId="2F308A48" w14:textId="77777777" w:rsidR="006A362F" w:rsidRDefault="006A362F" w:rsidP="0043117D">
      <w:pPr>
        <w:rPr>
          <w:lang w:eastAsia="pt-BR"/>
        </w:rPr>
      </w:pPr>
    </w:p>
    <w:p w14:paraId="7435B5E2" w14:textId="77777777" w:rsidR="006A362F" w:rsidRPr="00525928" w:rsidRDefault="006A362F" w:rsidP="0043117D">
      <w:pPr>
        <w:rPr>
          <w:lang w:eastAsia="pt-BR"/>
        </w:rPr>
      </w:pPr>
    </w:p>
    <w:p w14:paraId="4B8F951D" w14:textId="77777777" w:rsidR="006A362F" w:rsidRDefault="006A362F" w:rsidP="0043117D">
      <w:pPr>
        <w:pStyle w:val="03-SubttulodeNota"/>
        <w:keepNext/>
        <w:rPr>
          <w:color w:val="1F4E79" w:themeColor="accent1" w:themeShade="80"/>
        </w:rPr>
      </w:pPr>
    </w:p>
    <w:p w14:paraId="5E5856AB" w14:textId="77777777" w:rsidR="006A362F" w:rsidRDefault="006A362F" w:rsidP="0043117D">
      <w:pPr>
        <w:pStyle w:val="03-SubttulodeNota"/>
        <w:keepNext/>
        <w:rPr>
          <w:color w:val="1F4E79" w:themeColor="accent1" w:themeShade="80"/>
        </w:rPr>
      </w:pPr>
      <w:r w:rsidRPr="00F62FB1">
        <w:rPr>
          <w:color w:val="1F4E79" w:themeColor="accent1" w:themeShade="80"/>
        </w:rPr>
        <w:t xml:space="preserve">Statement </w:t>
      </w:r>
      <w:r>
        <w:rPr>
          <w:color w:val="1F4E79" w:themeColor="accent1" w:themeShade="80"/>
        </w:rPr>
        <w:t>o</w:t>
      </w:r>
      <w:r w:rsidRPr="00F62FB1">
        <w:rPr>
          <w:color w:val="1F4E79" w:themeColor="accent1" w:themeShade="80"/>
        </w:rPr>
        <w:t>f Income</w:t>
      </w:r>
    </w:p>
    <w:p w14:paraId="7E01D5DA" w14:textId="77777777" w:rsidR="006A362F" w:rsidRPr="00D44604" w:rsidRDefault="006A362F" w:rsidP="001D4E06">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6A362F" w:rsidRPr="00E00C9B" w14:paraId="21EE83B2"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27761671" w14:textId="77777777" w:rsidR="006A362F" w:rsidRPr="008F5C2C"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7847A578" w14:textId="77777777" w:rsidR="006A362F" w:rsidRPr="008F5C2C" w:rsidRDefault="006A362F" w:rsidP="002803B5">
            <w:pPr>
              <w:pStyle w:val="08-Tabelageral"/>
              <w:rPr>
                <w:rFonts w:cs="Arial"/>
                <w:b/>
                <w:bCs/>
                <w:szCs w:val="14"/>
              </w:rPr>
            </w:pPr>
          </w:p>
        </w:tc>
        <w:tc>
          <w:tcPr>
            <w:tcW w:w="1831" w:type="dxa"/>
            <w:tcBorders>
              <w:top w:val="single" w:sz="2" w:space="0" w:color="1F4E79" w:themeColor="accent1" w:themeShade="80"/>
            </w:tcBorders>
            <w:shd w:val="clear" w:color="auto" w:fill="auto"/>
          </w:tcPr>
          <w:p w14:paraId="6FA3E42D" w14:textId="77777777" w:rsidR="006A362F" w:rsidRPr="008F5C2C" w:rsidRDefault="006A362F" w:rsidP="002803B5">
            <w:pPr>
              <w:pStyle w:val="08-Tabelageral"/>
              <w:rPr>
                <w:rFonts w:cs="Arial"/>
                <w:b/>
                <w:bCs/>
                <w:szCs w:val="14"/>
              </w:rPr>
            </w:pPr>
            <w:r>
              <w:rPr>
                <w:rFonts w:cs="Arial"/>
                <w:b/>
                <w:bCs/>
                <w:szCs w:val="14"/>
              </w:rPr>
              <w:t>Parent</w:t>
            </w:r>
          </w:p>
        </w:tc>
        <w:tc>
          <w:tcPr>
            <w:tcW w:w="1831" w:type="dxa"/>
            <w:tcBorders>
              <w:top w:val="single" w:sz="2" w:space="0" w:color="1F4E79" w:themeColor="accent1" w:themeShade="80"/>
            </w:tcBorders>
            <w:shd w:val="clear" w:color="auto" w:fill="auto"/>
          </w:tcPr>
          <w:p w14:paraId="7D758EA6" w14:textId="77777777" w:rsidR="006A362F" w:rsidRPr="008F5C2C" w:rsidRDefault="006A362F" w:rsidP="002803B5">
            <w:pPr>
              <w:pStyle w:val="08-Tabelageral"/>
              <w:rPr>
                <w:rFonts w:cs="Arial"/>
                <w:b/>
                <w:bCs/>
                <w:szCs w:val="14"/>
              </w:rPr>
            </w:pPr>
          </w:p>
        </w:tc>
      </w:tr>
      <w:tr w:rsidR="006A362F" w:rsidRPr="00E00C9B" w14:paraId="4171FA42"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563F1436" w14:textId="77777777" w:rsidR="006A362F" w:rsidRPr="008F5C2C"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4CF73F92" w14:textId="77777777" w:rsidR="006A362F" w:rsidRPr="008F5C2C" w:rsidRDefault="006A362F" w:rsidP="002803B5">
            <w:pPr>
              <w:pStyle w:val="08-Tabelageral"/>
              <w:rPr>
                <w:rFonts w:cs="Arial"/>
                <w:b/>
                <w:bCs/>
                <w:szCs w:val="14"/>
              </w:rPr>
            </w:pPr>
          </w:p>
        </w:tc>
        <w:tc>
          <w:tcPr>
            <w:tcW w:w="1831" w:type="dxa"/>
            <w:tcBorders>
              <w:top w:val="single" w:sz="2" w:space="0" w:color="1F4E79" w:themeColor="accent1" w:themeShade="80"/>
            </w:tcBorders>
            <w:shd w:val="clear" w:color="auto" w:fill="auto"/>
          </w:tcPr>
          <w:p w14:paraId="444EA9B8" w14:textId="77777777" w:rsidR="006A362F" w:rsidRPr="008F5C2C" w:rsidRDefault="006A362F" w:rsidP="002803B5">
            <w:pPr>
              <w:pStyle w:val="08-Tabelageral"/>
              <w:rPr>
                <w:rFonts w:cs="Arial"/>
                <w:b/>
                <w:bCs/>
                <w:szCs w:val="14"/>
              </w:rPr>
            </w:pPr>
            <w:r w:rsidRPr="00345AB3">
              <w:rPr>
                <w:rFonts w:cs="Arial"/>
                <w:b/>
                <w:bCs/>
                <w:szCs w:val="14"/>
              </w:rPr>
              <w:t>1</w:t>
            </w:r>
            <w:r w:rsidRPr="00345AB3">
              <w:rPr>
                <w:rFonts w:cs="Arial"/>
                <w:b/>
                <w:bCs/>
                <w:szCs w:val="14"/>
                <w:vertAlign w:val="superscript"/>
              </w:rPr>
              <w:t xml:space="preserve">st </w:t>
            </w:r>
            <w:r>
              <w:rPr>
                <w:rFonts w:cs="Arial"/>
                <w:b/>
                <w:bCs/>
                <w:szCs w:val="14"/>
              </w:rPr>
              <w:t>Quarter</w:t>
            </w:r>
            <w:r w:rsidRPr="00345AB3">
              <w:rPr>
                <w:rFonts w:cs="Arial"/>
                <w:b/>
                <w:bCs/>
                <w:szCs w:val="14"/>
              </w:rPr>
              <w:t xml:space="preserve"> 2022</w:t>
            </w:r>
          </w:p>
        </w:tc>
        <w:tc>
          <w:tcPr>
            <w:tcW w:w="1831" w:type="dxa"/>
            <w:tcBorders>
              <w:top w:val="single" w:sz="2" w:space="0" w:color="1F4E79" w:themeColor="accent1" w:themeShade="80"/>
            </w:tcBorders>
            <w:shd w:val="clear" w:color="auto" w:fill="auto"/>
          </w:tcPr>
          <w:p w14:paraId="18D1BDFB" w14:textId="77777777" w:rsidR="006A362F" w:rsidRPr="008F5C2C" w:rsidRDefault="006A362F" w:rsidP="002803B5">
            <w:pPr>
              <w:pStyle w:val="08-Tabelageral"/>
              <w:rPr>
                <w:rFonts w:cs="Arial"/>
                <w:b/>
                <w:bCs/>
                <w:szCs w:val="14"/>
              </w:rPr>
            </w:pPr>
          </w:p>
        </w:tc>
      </w:tr>
      <w:tr w:rsidR="006A362F" w:rsidRPr="00E00C9B" w14:paraId="044849CB"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4C9A9908" w14:textId="77777777" w:rsidR="006A362F" w:rsidRPr="008F5C2C"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61EDA6B0" w14:textId="77777777" w:rsidR="006A362F" w:rsidRPr="008F5C2C" w:rsidRDefault="006A362F" w:rsidP="002803B5">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shd w:val="clear" w:color="auto" w:fill="auto"/>
          </w:tcPr>
          <w:p w14:paraId="7520A585" w14:textId="77777777" w:rsidR="006A362F" w:rsidRPr="008F5C2C" w:rsidRDefault="006A362F" w:rsidP="002803B5">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shd w:val="clear" w:color="auto" w:fill="auto"/>
          </w:tcPr>
          <w:p w14:paraId="007ADBA0" w14:textId="77777777" w:rsidR="006A362F" w:rsidRPr="008F5C2C" w:rsidRDefault="006A362F" w:rsidP="002803B5">
            <w:pPr>
              <w:pStyle w:val="08-Tabelageral"/>
              <w:rPr>
                <w:rFonts w:cs="Arial"/>
                <w:b/>
                <w:bCs/>
                <w:szCs w:val="14"/>
              </w:rPr>
            </w:pPr>
            <w:r>
              <w:rPr>
                <w:rFonts w:cs="Arial"/>
                <w:b/>
                <w:bCs/>
                <w:szCs w:val="14"/>
              </w:rPr>
              <w:t>Restated balances</w:t>
            </w:r>
          </w:p>
        </w:tc>
      </w:tr>
      <w:tr w:rsidR="006A362F" w:rsidRPr="004A53AE" w14:paraId="663A7A4F" w14:textId="77777777" w:rsidTr="00F44C6D">
        <w:trPr>
          <w:trHeight w:val="238"/>
          <w:jc w:val="center"/>
        </w:trPr>
        <w:tc>
          <w:tcPr>
            <w:tcW w:w="4361" w:type="dxa"/>
            <w:tcBorders>
              <w:top w:val="single" w:sz="2" w:space="0" w:color="1F4E79" w:themeColor="accent1" w:themeShade="80"/>
            </w:tcBorders>
            <w:shd w:val="clear" w:color="auto" w:fill="auto"/>
            <w:vAlign w:val="center"/>
          </w:tcPr>
          <w:p w14:paraId="64439ADB" w14:textId="77777777" w:rsidR="006A362F" w:rsidRPr="004A53AE" w:rsidRDefault="006A362F" w:rsidP="004A53AE">
            <w:pPr>
              <w:pStyle w:val="08-Tabelageral"/>
              <w:jc w:val="left"/>
              <w:rPr>
                <w:rFonts w:cs="Arial"/>
                <w:b/>
                <w:bCs/>
                <w:szCs w:val="14"/>
              </w:rPr>
            </w:pPr>
            <w:r w:rsidRPr="004A53AE">
              <w:rPr>
                <w:rFonts w:cs="Arial"/>
                <w:b/>
                <w:bCs/>
                <w:szCs w:val="14"/>
              </w:rPr>
              <w:t>Operating Income</w:t>
            </w:r>
          </w:p>
        </w:tc>
        <w:tc>
          <w:tcPr>
            <w:tcW w:w="1831" w:type="dxa"/>
            <w:tcBorders>
              <w:top w:val="single" w:sz="2" w:space="0" w:color="1F4E79" w:themeColor="accent1" w:themeShade="80"/>
            </w:tcBorders>
            <w:shd w:val="clear" w:color="auto" w:fill="auto"/>
          </w:tcPr>
          <w:p w14:paraId="1098AC0B"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179</w:t>
            </w:r>
            <w:r>
              <w:rPr>
                <w:b/>
                <w:bCs/>
                <w:lang w:eastAsia="en-US"/>
              </w:rPr>
              <w:t>,</w:t>
            </w:r>
            <w:r w:rsidRPr="004A53AE">
              <w:rPr>
                <w:b/>
                <w:bCs/>
                <w:lang w:eastAsia="en-US"/>
              </w:rPr>
              <w:t>084</w:t>
            </w:r>
          </w:p>
        </w:tc>
        <w:tc>
          <w:tcPr>
            <w:tcW w:w="1831" w:type="dxa"/>
            <w:tcBorders>
              <w:top w:val="single" w:sz="2" w:space="0" w:color="1F4E79" w:themeColor="accent1" w:themeShade="80"/>
            </w:tcBorders>
          </w:tcPr>
          <w:p w14:paraId="4C0CEC79" w14:textId="77777777" w:rsidR="006A362F" w:rsidRPr="004A53AE" w:rsidRDefault="006A362F" w:rsidP="004A53AE">
            <w:pPr>
              <w:pStyle w:val="08-Tabelageral"/>
              <w:rPr>
                <w:rFonts w:cs="Arial"/>
                <w:b/>
                <w:bCs/>
                <w:szCs w:val="14"/>
              </w:rPr>
            </w:pPr>
            <w:r w:rsidRPr="004A53AE">
              <w:rPr>
                <w:b/>
                <w:bCs/>
                <w:lang w:eastAsia="en-US"/>
              </w:rPr>
              <w:t>30</w:t>
            </w:r>
            <w:r>
              <w:rPr>
                <w:b/>
                <w:bCs/>
                <w:lang w:eastAsia="en-US"/>
              </w:rPr>
              <w:t>,</w:t>
            </w:r>
            <w:r w:rsidRPr="004A53AE">
              <w:rPr>
                <w:b/>
                <w:bCs/>
                <w:lang w:eastAsia="en-US"/>
              </w:rPr>
              <w:t>086</w:t>
            </w:r>
          </w:p>
        </w:tc>
        <w:tc>
          <w:tcPr>
            <w:tcW w:w="1831" w:type="dxa"/>
            <w:tcBorders>
              <w:top w:val="single" w:sz="2" w:space="0" w:color="1F4E79" w:themeColor="accent1" w:themeShade="80"/>
            </w:tcBorders>
          </w:tcPr>
          <w:p w14:paraId="26D8CCED"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209</w:t>
            </w:r>
            <w:r>
              <w:rPr>
                <w:b/>
                <w:bCs/>
                <w:lang w:eastAsia="en-US"/>
              </w:rPr>
              <w:t>,</w:t>
            </w:r>
            <w:r w:rsidRPr="004A53AE">
              <w:rPr>
                <w:b/>
                <w:bCs/>
                <w:lang w:eastAsia="en-US"/>
              </w:rPr>
              <w:t>170</w:t>
            </w:r>
          </w:p>
        </w:tc>
      </w:tr>
      <w:tr w:rsidR="006A362F" w:rsidRPr="004A53AE" w14:paraId="0AB73A82" w14:textId="77777777" w:rsidTr="00F44C6D">
        <w:trPr>
          <w:trHeight w:val="238"/>
          <w:jc w:val="center"/>
        </w:trPr>
        <w:tc>
          <w:tcPr>
            <w:tcW w:w="4361" w:type="dxa"/>
            <w:shd w:val="clear" w:color="auto" w:fill="auto"/>
            <w:vAlign w:val="center"/>
          </w:tcPr>
          <w:p w14:paraId="6C731D36" w14:textId="77777777" w:rsidR="006A362F" w:rsidRPr="004A53AE" w:rsidRDefault="006A362F" w:rsidP="004A53AE">
            <w:pPr>
              <w:pStyle w:val="08-Tabelageral"/>
              <w:jc w:val="left"/>
              <w:rPr>
                <w:rFonts w:cs="Arial"/>
                <w:b/>
                <w:bCs/>
                <w:szCs w:val="14"/>
              </w:rPr>
            </w:pPr>
            <w:r w:rsidRPr="004A53AE">
              <w:rPr>
                <w:rFonts w:cs="Arial"/>
                <w:szCs w:val="14"/>
              </w:rPr>
              <w:t>Equity income</w:t>
            </w:r>
          </w:p>
        </w:tc>
        <w:tc>
          <w:tcPr>
            <w:tcW w:w="1831" w:type="dxa"/>
            <w:shd w:val="clear" w:color="auto" w:fill="auto"/>
          </w:tcPr>
          <w:p w14:paraId="17348BC4" w14:textId="77777777" w:rsidR="006A362F" w:rsidRPr="004A53AE" w:rsidRDefault="006A362F" w:rsidP="004A53AE">
            <w:pPr>
              <w:pStyle w:val="08-Tabelageral"/>
              <w:rPr>
                <w:rFonts w:cs="Arial"/>
                <w:b/>
                <w:bCs/>
                <w:szCs w:val="14"/>
              </w:rPr>
            </w:pPr>
            <w:r w:rsidRPr="004A53AE">
              <w:rPr>
                <w:lang w:eastAsia="en-US"/>
              </w:rPr>
              <w:t>1</w:t>
            </w:r>
            <w:r>
              <w:rPr>
                <w:lang w:eastAsia="en-US"/>
              </w:rPr>
              <w:t>,</w:t>
            </w:r>
            <w:r w:rsidRPr="004A53AE">
              <w:rPr>
                <w:lang w:eastAsia="en-US"/>
              </w:rPr>
              <w:t>179</w:t>
            </w:r>
            <w:r>
              <w:rPr>
                <w:lang w:eastAsia="en-US"/>
              </w:rPr>
              <w:t>,</w:t>
            </w:r>
            <w:r w:rsidRPr="004A53AE">
              <w:rPr>
                <w:lang w:eastAsia="en-US"/>
              </w:rPr>
              <w:t>084</w:t>
            </w:r>
          </w:p>
        </w:tc>
        <w:tc>
          <w:tcPr>
            <w:tcW w:w="1831" w:type="dxa"/>
          </w:tcPr>
          <w:p w14:paraId="55E2AE73" w14:textId="77777777" w:rsidR="006A362F" w:rsidRPr="004A53AE" w:rsidRDefault="006A362F" w:rsidP="004A53AE">
            <w:pPr>
              <w:pStyle w:val="08-Tabelageral"/>
              <w:rPr>
                <w:rFonts w:cs="Arial"/>
                <w:b/>
                <w:bCs/>
                <w:szCs w:val="14"/>
              </w:rPr>
            </w:pPr>
            <w:r w:rsidRPr="004A53AE">
              <w:rPr>
                <w:lang w:eastAsia="en-US"/>
              </w:rPr>
              <w:t>30</w:t>
            </w:r>
            <w:r>
              <w:rPr>
                <w:lang w:eastAsia="en-US"/>
              </w:rPr>
              <w:t>,</w:t>
            </w:r>
            <w:r w:rsidRPr="004A53AE">
              <w:rPr>
                <w:lang w:eastAsia="en-US"/>
              </w:rPr>
              <w:t>086</w:t>
            </w:r>
          </w:p>
        </w:tc>
        <w:tc>
          <w:tcPr>
            <w:tcW w:w="1831" w:type="dxa"/>
          </w:tcPr>
          <w:p w14:paraId="744B6038" w14:textId="77777777" w:rsidR="006A362F" w:rsidRPr="004A53AE" w:rsidRDefault="006A362F" w:rsidP="004A53AE">
            <w:pPr>
              <w:pStyle w:val="08-Tabelageral"/>
              <w:rPr>
                <w:rFonts w:cs="Arial"/>
                <w:b/>
                <w:bCs/>
                <w:szCs w:val="14"/>
              </w:rPr>
            </w:pPr>
            <w:r w:rsidRPr="004A53AE">
              <w:rPr>
                <w:lang w:eastAsia="en-US"/>
              </w:rPr>
              <w:t>1</w:t>
            </w:r>
            <w:r>
              <w:rPr>
                <w:lang w:eastAsia="en-US"/>
              </w:rPr>
              <w:t>,</w:t>
            </w:r>
            <w:r w:rsidRPr="004A53AE">
              <w:rPr>
                <w:lang w:eastAsia="en-US"/>
              </w:rPr>
              <w:t>209</w:t>
            </w:r>
            <w:r>
              <w:rPr>
                <w:lang w:eastAsia="en-US"/>
              </w:rPr>
              <w:t>,</w:t>
            </w:r>
            <w:r w:rsidRPr="004A53AE">
              <w:rPr>
                <w:lang w:eastAsia="en-US"/>
              </w:rPr>
              <w:t>170</w:t>
            </w:r>
          </w:p>
        </w:tc>
      </w:tr>
      <w:tr w:rsidR="006A362F" w:rsidRPr="004A53AE" w14:paraId="239F0CAC" w14:textId="77777777" w:rsidTr="00F44C6D">
        <w:trPr>
          <w:trHeight w:val="238"/>
          <w:jc w:val="center"/>
        </w:trPr>
        <w:tc>
          <w:tcPr>
            <w:tcW w:w="4361" w:type="dxa"/>
            <w:shd w:val="clear" w:color="auto" w:fill="auto"/>
            <w:vAlign w:val="center"/>
          </w:tcPr>
          <w:p w14:paraId="324C51F0" w14:textId="77777777" w:rsidR="006A362F" w:rsidRPr="004A53AE" w:rsidRDefault="006A362F" w:rsidP="004A53AE">
            <w:pPr>
              <w:pStyle w:val="08-Tabelageral"/>
              <w:jc w:val="left"/>
              <w:rPr>
                <w:rFonts w:cs="Arial"/>
                <w:b/>
                <w:bCs/>
                <w:szCs w:val="14"/>
              </w:rPr>
            </w:pPr>
            <w:r w:rsidRPr="004A53AE">
              <w:rPr>
                <w:rFonts w:cs="Arial"/>
                <w:b/>
                <w:bCs/>
                <w:szCs w:val="14"/>
              </w:rPr>
              <w:t>Gross Profit</w:t>
            </w:r>
          </w:p>
        </w:tc>
        <w:tc>
          <w:tcPr>
            <w:tcW w:w="1831" w:type="dxa"/>
            <w:shd w:val="clear" w:color="auto" w:fill="auto"/>
          </w:tcPr>
          <w:p w14:paraId="34F02D52"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179</w:t>
            </w:r>
            <w:r>
              <w:rPr>
                <w:b/>
                <w:bCs/>
                <w:lang w:eastAsia="en-US"/>
              </w:rPr>
              <w:t>,</w:t>
            </w:r>
            <w:r w:rsidRPr="004A53AE">
              <w:rPr>
                <w:b/>
                <w:bCs/>
                <w:lang w:eastAsia="en-US"/>
              </w:rPr>
              <w:t>084</w:t>
            </w:r>
          </w:p>
        </w:tc>
        <w:tc>
          <w:tcPr>
            <w:tcW w:w="1831" w:type="dxa"/>
          </w:tcPr>
          <w:p w14:paraId="7D07610D" w14:textId="77777777" w:rsidR="006A362F" w:rsidRPr="004A53AE" w:rsidRDefault="006A362F" w:rsidP="004A53AE">
            <w:pPr>
              <w:pStyle w:val="08-Tabelageral"/>
              <w:rPr>
                <w:rFonts w:cs="Arial"/>
                <w:b/>
                <w:bCs/>
                <w:szCs w:val="14"/>
              </w:rPr>
            </w:pPr>
            <w:r w:rsidRPr="004A53AE">
              <w:rPr>
                <w:b/>
                <w:bCs/>
                <w:lang w:eastAsia="en-US"/>
              </w:rPr>
              <w:t>30</w:t>
            </w:r>
            <w:r>
              <w:rPr>
                <w:b/>
                <w:bCs/>
                <w:lang w:eastAsia="en-US"/>
              </w:rPr>
              <w:t>,</w:t>
            </w:r>
            <w:r w:rsidRPr="004A53AE">
              <w:rPr>
                <w:b/>
                <w:bCs/>
                <w:lang w:eastAsia="en-US"/>
              </w:rPr>
              <w:t>086</w:t>
            </w:r>
          </w:p>
        </w:tc>
        <w:tc>
          <w:tcPr>
            <w:tcW w:w="1831" w:type="dxa"/>
          </w:tcPr>
          <w:p w14:paraId="1F232DC1"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209</w:t>
            </w:r>
            <w:r>
              <w:rPr>
                <w:b/>
                <w:bCs/>
                <w:lang w:eastAsia="en-US"/>
              </w:rPr>
              <w:t>,</w:t>
            </w:r>
            <w:r w:rsidRPr="004A53AE">
              <w:rPr>
                <w:b/>
                <w:bCs/>
                <w:lang w:eastAsia="en-US"/>
              </w:rPr>
              <w:t>170</w:t>
            </w:r>
          </w:p>
        </w:tc>
      </w:tr>
      <w:tr w:rsidR="006A362F" w:rsidRPr="004A53AE" w14:paraId="2EC707BA" w14:textId="77777777" w:rsidTr="00F44C6D">
        <w:trPr>
          <w:trHeight w:val="238"/>
          <w:jc w:val="center"/>
        </w:trPr>
        <w:tc>
          <w:tcPr>
            <w:tcW w:w="4361" w:type="dxa"/>
            <w:shd w:val="clear" w:color="auto" w:fill="auto"/>
            <w:vAlign w:val="center"/>
          </w:tcPr>
          <w:p w14:paraId="27B5E7DF" w14:textId="77777777" w:rsidR="006A362F" w:rsidRPr="004A53AE" w:rsidRDefault="006A362F" w:rsidP="004A53AE">
            <w:pPr>
              <w:pStyle w:val="08-Tabelageral"/>
              <w:jc w:val="left"/>
              <w:rPr>
                <w:rFonts w:cs="Arial"/>
                <w:b/>
                <w:bCs/>
                <w:szCs w:val="14"/>
              </w:rPr>
            </w:pPr>
            <w:r w:rsidRPr="004A53AE">
              <w:rPr>
                <w:rFonts w:cs="Arial"/>
                <w:szCs w:val="14"/>
              </w:rPr>
              <w:t>Other Income and Expenses</w:t>
            </w:r>
          </w:p>
        </w:tc>
        <w:tc>
          <w:tcPr>
            <w:tcW w:w="1831" w:type="dxa"/>
            <w:shd w:val="clear" w:color="auto" w:fill="auto"/>
          </w:tcPr>
          <w:p w14:paraId="088D1122" w14:textId="77777777" w:rsidR="006A362F" w:rsidRPr="004A53AE" w:rsidRDefault="006A362F" w:rsidP="004A53AE">
            <w:pPr>
              <w:pStyle w:val="08-Tabelageral"/>
              <w:rPr>
                <w:rFonts w:cs="Arial"/>
                <w:b/>
                <w:bCs/>
                <w:szCs w:val="14"/>
              </w:rPr>
            </w:pPr>
            <w:r w:rsidRPr="004A53AE">
              <w:rPr>
                <w:b/>
                <w:bCs/>
                <w:lang w:eastAsia="en-US"/>
              </w:rPr>
              <w:t>(3</w:t>
            </w:r>
            <w:r>
              <w:rPr>
                <w:b/>
                <w:bCs/>
                <w:lang w:eastAsia="en-US"/>
              </w:rPr>
              <w:t>,</w:t>
            </w:r>
            <w:r w:rsidRPr="004A53AE">
              <w:rPr>
                <w:b/>
                <w:bCs/>
                <w:lang w:eastAsia="en-US"/>
              </w:rPr>
              <w:t>109)</w:t>
            </w:r>
          </w:p>
        </w:tc>
        <w:tc>
          <w:tcPr>
            <w:tcW w:w="1831" w:type="dxa"/>
          </w:tcPr>
          <w:p w14:paraId="26D704E5" w14:textId="77777777" w:rsidR="006A362F" w:rsidRPr="004A53AE" w:rsidRDefault="006A362F" w:rsidP="004A53AE">
            <w:pPr>
              <w:pStyle w:val="08-Tabelageral"/>
              <w:rPr>
                <w:rFonts w:cs="Arial"/>
                <w:b/>
                <w:bCs/>
                <w:szCs w:val="14"/>
              </w:rPr>
            </w:pPr>
            <w:r w:rsidRPr="004A53AE">
              <w:rPr>
                <w:b/>
                <w:bCs/>
                <w:lang w:eastAsia="en-US"/>
              </w:rPr>
              <w:t xml:space="preserve"> --   </w:t>
            </w:r>
          </w:p>
        </w:tc>
        <w:tc>
          <w:tcPr>
            <w:tcW w:w="1831" w:type="dxa"/>
          </w:tcPr>
          <w:p w14:paraId="21E379DE" w14:textId="77777777" w:rsidR="006A362F" w:rsidRPr="004A53AE" w:rsidRDefault="006A362F" w:rsidP="004A53AE">
            <w:pPr>
              <w:pStyle w:val="08-Tabelageral"/>
              <w:rPr>
                <w:rFonts w:cs="Arial"/>
                <w:b/>
                <w:bCs/>
                <w:szCs w:val="14"/>
              </w:rPr>
            </w:pPr>
            <w:r w:rsidRPr="004A53AE">
              <w:rPr>
                <w:b/>
                <w:bCs/>
                <w:lang w:eastAsia="en-US"/>
              </w:rPr>
              <w:t>(3</w:t>
            </w:r>
            <w:r>
              <w:rPr>
                <w:b/>
                <w:bCs/>
                <w:lang w:eastAsia="en-US"/>
              </w:rPr>
              <w:t>,</w:t>
            </w:r>
            <w:r w:rsidRPr="004A53AE">
              <w:rPr>
                <w:b/>
                <w:bCs/>
                <w:lang w:eastAsia="en-US"/>
              </w:rPr>
              <w:t>109)</w:t>
            </w:r>
          </w:p>
        </w:tc>
      </w:tr>
      <w:tr w:rsidR="006A362F" w:rsidRPr="004A53AE" w14:paraId="7337C36A" w14:textId="77777777" w:rsidTr="00F44C6D">
        <w:trPr>
          <w:trHeight w:val="238"/>
          <w:jc w:val="center"/>
        </w:trPr>
        <w:tc>
          <w:tcPr>
            <w:tcW w:w="4361" w:type="dxa"/>
            <w:shd w:val="clear" w:color="auto" w:fill="auto"/>
            <w:vAlign w:val="center"/>
          </w:tcPr>
          <w:p w14:paraId="24802863" w14:textId="77777777" w:rsidR="006A362F" w:rsidRPr="004A53AE" w:rsidRDefault="006A362F" w:rsidP="004A53AE">
            <w:pPr>
              <w:pStyle w:val="08-Tabelageral"/>
              <w:jc w:val="left"/>
              <w:rPr>
                <w:rFonts w:cs="Arial"/>
                <w:b/>
                <w:bCs/>
                <w:szCs w:val="14"/>
                <w:lang w:val="en-US"/>
              </w:rPr>
            </w:pPr>
            <w:r w:rsidRPr="004A53AE">
              <w:rPr>
                <w:rFonts w:cs="Arial"/>
                <w:b/>
                <w:bCs/>
                <w:szCs w:val="14"/>
                <w:lang w:val="en-US"/>
              </w:rPr>
              <w:t>Income Before Financial Revenue and Expenses</w:t>
            </w:r>
          </w:p>
        </w:tc>
        <w:tc>
          <w:tcPr>
            <w:tcW w:w="1831" w:type="dxa"/>
            <w:shd w:val="clear" w:color="auto" w:fill="auto"/>
          </w:tcPr>
          <w:p w14:paraId="639A322F"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175</w:t>
            </w:r>
            <w:r>
              <w:rPr>
                <w:b/>
                <w:bCs/>
                <w:lang w:eastAsia="en-US"/>
              </w:rPr>
              <w:t>,</w:t>
            </w:r>
            <w:r w:rsidRPr="004A53AE">
              <w:rPr>
                <w:b/>
                <w:bCs/>
                <w:lang w:eastAsia="en-US"/>
              </w:rPr>
              <w:t>975</w:t>
            </w:r>
          </w:p>
        </w:tc>
        <w:tc>
          <w:tcPr>
            <w:tcW w:w="1831" w:type="dxa"/>
          </w:tcPr>
          <w:p w14:paraId="2D841535" w14:textId="77777777" w:rsidR="006A362F" w:rsidRPr="004A53AE" w:rsidRDefault="006A362F" w:rsidP="004A53AE">
            <w:pPr>
              <w:pStyle w:val="08-Tabelageral"/>
              <w:rPr>
                <w:rFonts w:cs="Arial"/>
                <w:b/>
                <w:bCs/>
                <w:szCs w:val="14"/>
              </w:rPr>
            </w:pPr>
            <w:r w:rsidRPr="004A53AE">
              <w:rPr>
                <w:b/>
                <w:bCs/>
                <w:lang w:eastAsia="en-US"/>
              </w:rPr>
              <w:t>30</w:t>
            </w:r>
            <w:r>
              <w:rPr>
                <w:b/>
                <w:bCs/>
                <w:lang w:eastAsia="en-US"/>
              </w:rPr>
              <w:t>,</w:t>
            </w:r>
            <w:r w:rsidRPr="004A53AE">
              <w:rPr>
                <w:b/>
                <w:bCs/>
                <w:lang w:eastAsia="en-US"/>
              </w:rPr>
              <w:t>086</w:t>
            </w:r>
          </w:p>
        </w:tc>
        <w:tc>
          <w:tcPr>
            <w:tcW w:w="1831" w:type="dxa"/>
          </w:tcPr>
          <w:p w14:paraId="3F2E6DD1"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206</w:t>
            </w:r>
            <w:r>
              <w:rPr>
                <w:b/>
                <w:bCs/>
                <w:lang w:eastAsia="en-US"/>
              </w:rPr>
              <w:t>,</w:t>
            </w:r>
            <w:r w:rsidRPr="004A53AE">
              <w:rPr>
                <w:b/>
                <w:bCs/>
                <w:lang w:eastAsia="en-US"/>
              </w:rPr>
              <w:t>061</w:t>
            </w:r>
          </w:p>
        </w:tc>
      </w:tr>
      <w:tr w:rsidR="006A362F" w:rsidRPr="004A53AE" w14:paraId="66845A24" w14:textId="77777777" w:rsidTr="00F44C6D">
        <w:trPr>
          <w:trHeight w:val="238"/>
          <w:jc w:val="center"/>
        </w:trPr>
        <w:tc>
          <w:tcPr>
            <w:tcW w:w="4361" w:type="dxa"/>
            <w:shd w:val="clear" w:color="auto" w:fill="auto"/>
            <w:vAlign w:val="center"/>
          </w:tcPr>
          <w:p w14:paraId="3D50A734" w14:textId="77777777" w:rsidR="006A362F" w:rsidRPr="004A53AE" w:rsidRDefault="006A362F" w:rsidP="004A53AE">
            <w:pPr>
              <w:pStyle w:val="08-Tabelageral"/>
              <w:jc w:val="left"/>
              <w:rPr>
                <w:rFonts w:cs="Arial"/>
                <w:b/>
                <w:bCs/>
                <w:szCs w:val="14"/>
              </w:rPr>
            </w:pPr>
            <w:r w:rsidRPr="004A53AE">
              <w:rPr>
                <w:rFonts w:cs="Arial"/>
                <w:b/>
                <w:bCs/>
                <w:szCs w:val="14"/>
              </w:rPr>
              <w:t>Financial Result</w:t>
            </w:r>
          </w:p>
        </w:tc>
        <w:tc>
          <w:tcPr>
            <w:tcW w:w="1831" w:type="dxa"/>
            <w:shd w:val="clear" w:color="auto" w:fill="auto"/>
          </w:tcPr>
          <w:p w14:paraId="5A2B4CBB" w14:textId="77777777" w:rsidR="006A362F" w:rsidRPr="004A53AE" w:rsidRDefault="006A362F" w:rsidP="004A53AE">
            <w:pPr>
              <w:pStyle w:val="08-Tabelageral"/>
              <w:rPr>
                <w:rFonts w:cs="Arial"/>
                <w:b/>
                <w:bCs/>
                <w:szCs w:val="14"/>
              </w:rPr>
            </w:pPr>
            <w:r w:rsidRPr="004A53AE">
              <w:rPr>
                <w:b/>
                <w:bCs/>
                <w:lang w:eastAsia="en-US"/>
              </w:rPr>
              <w:t>3</w:t>
            </w:r>
            <w:r>
              <w:rPr>
                <w:b/>
                <w:bCs/>
                <w:lang w:eastAsia="en-US"/>
              </w:rPr>
              <w:t>,</w:t>
            </w:r>
            <w:r w:rsidRPr="004A53AE">
              <w:rPr>
                <w:b/>
                <w:bCs/>
                <w:lang w:eastAsia="en-US"/>
              </w:rPr>
              <w:t>642</w:t>
            </w:r>
          </w:p>
        </w:tc>
        <w:tc>
          <w:tcPr>
            <w:tcW w:w="1831" w:type="dxa"/>
          </w:tcPr>
          <w:p w14:paraId="4A2B8FC7" w14:textId="77777777" w:rsidR="006A362F" w:rsidRPr="004A53AE" w:rsidRDefault="006A362F" w:rsidP="004A53AE">
            <w:pPr>
              <w:pStyle w:val="08-Tabelageral"/>
              <w:rPr>
                <w:rFonts w:cs="Arial"/>
                <w:b/>
                <w:bCs/>
                <w:szCs w:val="14"/>
              </w:rPr>
            </w:pPr>
            <w:r w:rsidRPr="004A53AE">
              <w:rPr>
                <w:b/>
                <w:bCs/>
                <w:lang w:eastAsia="en-US"/>
              </w:rPr>
              <w:t xml:space="preserve"> --   </w:t>
            </w:r>
          </w:p>
        </w:tc>
        <w:tc>
          <w:tcPr>
            <w:tcW w:w="1831" w:type="dxa"/>
          </w:tcPr>
          <w:p w14:paraId="0437AA13" w14:textId="77777777" w:rsidR="006A362F" w:rsidRPr="004A53AE" w:rsidRDefault="006A362F" w:rsidP="004A53AE">
            <w:pPr>
              <w:pStyle w:val="08-Tabelageral"/>
              <w:rPr>
                <w:rFonts w:cs="Arial"/>
                <w:b/>
                <w:bCs/>
                <w:szCs w:val="14"/>
              </w:rPr>
            </w:pPr>
            <w:r w:rsidRPr="004A53AE">
              <w:rPr>
                <w:b/>
                <w:bCs/>
                <w:lang w:eastAsia="en-US"/>
              </w:rPr>
              <w:t>3</w:t>
            </w:r>
            <w:r>
              <w:rPr>
                <w:b/>
                <w:bCs/>
                <w:lang w:eastAsia="en-US"/>
              </w:rPr>
              <w:t>,</w:t>
            </w:r>
            <w:r w:rsidRPr="004A53AE">
              <w:rPr>
                <w:b/>
                <w:bCs/>
                <w:lang w:eastAsia="en-US"/>
              </w:rPr>
              <w:t>642</w:t>
            </w:r>
          </w:p>
        </w:tc>
      </w:tr>
      <w:tr w:rsidR="006A362F" w:rsidRPr="004A53AE" w14:paraId="1999B3E7" w14:textId="77777777" w:rsidTr="00F44C6D">
        <w:trPr>
          <w:trHeight w:val="238"/>
          <w:jc w:val="center"/>
        </w:trPr>
        <w:tc>
          <w:tcPr>
            <w:tcW w:w="4361" w:type="dxa"/>
            <w:shd w:val="clear" w:color="auto" w:fill="auto"/>
            <w:vAlign w:val="center"/>
          </w:tcPr>
          <w:p w14:paraId="7E82FC9A" w14:textId="77777777" w:rsidR="006A362F" w:rsidRPr="004A53AE" w:rsidRDefault="006A362F" w:rsidP="004A53AE">
            <w:pPr>
              <w:pStyle w:val="08-Tabelageral"/>
              <w:jc w:val="left"/>
              <w:rPr>
                <w:rFonts w:cs="Arial"/>
                <w:b/>
                <w:bCs/>
                <w:szCs w:val="14"/>
              </w:rPr>
            </w:pPr>
            <w:r w:rsidRPr="004A53AE">
              <w:rPr>
                <w:rFonts w:cs="Arial"/>
                <w:b/>
                <w:bCs/>
                <w:szCs w:val="14"/>
              </w:rPr>
              <w:t>Resultado Antes do Imposto de Renda e Contribuição Social</w:t>
            </w:r>
          </w:p>
        </w:tc>
        <w:tc>
          <w:tcPr>
            <w:tcW w:w="1831" w:type="dxa"/>
            <w:shd w:val="clear" w:color="auto" w:fill="auto"/>
          </w:tcPr>
          <w:p w14:paraId="0221A4DF"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179</w:t>
            </w:r>
            <w:r>
              <w:rPr>
                <w:b/>
                <w:bCs/>
                <w:lang w:eastAsia="en-US"/>
              </w:rPr>
              <w:t>,</w:t>
            </w:r>
            <w:r w:rsidRPr="004A53AE">
              <w:rPr>
                <w:b/>
                <w:bCs/>
                <w:lang w:eastAsia="en-US"/>
              </w:rPr>
              <w:t>617</w:t>
            </w:r>
          </w:p>
        </w:tc>
        <w:tc>
          <w:tcPr>
            <w:tcW w:w="1831" w:type="dxa"/>
          </w:tcPr>
          <w:p w14:paraId="5FBEBB7A" w14:textId="77777777" w:rsidR="006A362F" w:rsidRPr="004A53AE" w:rsidRDefault="006A362F" w:rsidP="004A53AE">
            <w:pPr>
              <w:pStyle w:val="08-Tabelageral"/>
              <w:rPr>
                <w:rFonts w:cs="Arial"/>
                <w:b/>
                <w:bCs/>
                <w:szCs w:val="14"/>
              </w:rPr>
            </w:pPr>
            <w:r w:rsidRPr="004A53AE">
              <w:rPr>
                <w:b/>
                <w:bCs/>
                <w:lang w:eastAsia="en-US"/>
              </w:rPr>
              <w:t>30</w:t>
            </w:r>
            <w:r>
              <w:rPr>
                <w:b/>
                <w:bCs/>
                <w:lang w:eastAsia="en-US"/>
              </w:rPr>
              <w:t>,</w:t>
            </w:r>
            <w:r w:rsidRPr="004A53AE">
              <w:rPr>
                <w:b/>
                <w:bCs/>
                <w:lang w:eastAsia="en-US"/>
              </w:rPr>
              <w:t>086</w:t>
            </w:r>
          </w:p>
        </w:tc>
        <w:tc>
          <w:tcPr>
            <w:tcW w:w="1831" w:type="dxa"/>
          </w:tcPr>
          <w:p w14:paraId="332B2791"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209</w:t>
            </w:r>
            <w:r>
              <w:rPr>
                <w:b/>
                <w:bCs/>
                <w:lang w:eastAsia="en-US"/>
              </w:rPr>
              <w:t>,</w:t>
            </w:r>
            <w:r w:rsidRPr="004A53AE">
              <w:rPr>
                <w:b/>
                <w:bCs/>
                <w:lang w:eastAsia="en-US"/>
              </w:rPr>
              <w:t>703</w:t>
            </w:r>
          </w:p>
        </w:tc>
      </w:tr>
      <w:tr w:rsidR="006A362F" w:rsidRPr="004A53AE" w14:paraId="5324AFB5" w14:textId="77777777" w:rsidTr="00F44C6D">
        <w:trPr>
          <w:trHeight w:val="238"/>
          <w:jc w:val="center"/>
        </w:trPr>
        <w:tc>
          <w:tcPr>
            <w:tcW w:w="4361" w:type="dxa"/>
            <w:shd w:val="clear" w:color="auto" w:fill="auto"/>
            <w:vAlign w:val="center"/>
          </w:tcPr>
          <w:p w14:paraId="389770AC" w14:textId="77777777" w:rsidR="006A362F" w:rsidRPr="004A53AE" w:rsidRDefault="006A362F" w:rsidP="004A53AE">
            <w:pPr>
              <w:pStyle w:val="08-Tabelageral"/>
              <w:jc w:val="left"/>
              <w:rPr>
                <w:rFonts w:cs="Arial"/>
                <w:szCs w:val="14"/>
                <w:lang w:val="en-US"/>
              </w:rPr>
            </w:pPr>
            <w:r w:rsidRPr="004A53AE">
              <w:rPr>
                <w:rFonts w:cs="Arial"/>
                <w:szCs w:val="14"/>
                <w:lang w:val="en-US"/>
              </w:rPr>
              <w:t>Income Before Taxes and Equities</w:t>
            </w:r>
          </w:p>
        </w:tc>
        <w:tc>
          <w:tcPr>
            <w:tcW w:w="1831" w:type="dxa"/>
            <w:shd w:val="clear" w:color="auto" w:fill="auto"/>
          </w:tcPr>
          <w:p w14:paraId="24CA4277" w14:textId="77777777" w:rsidR="006A362F" w:rsidRPr="004A53AE" w:rsidRDefault="006A362F" w:rsidP="004A53AE">
            <w:pPr>
              <w:pStyle w:val="08-Tabelageral"/>
              <w:rPr>
                <w:rFonts w:cs="Arial"/>
                <w:szCs w:val="14"/>
              </w:rPr>
            </w:pPr>
            <w:r w:rsidRPr="004A53AE">
              <w:rPr>
                <w:lang w:eastAsia="en-US"/>
              </w:rPr>
              <w:t>(186)</w:t>
            </w:r>
          </w:p>
        </w:tc>
        <w:tc>
          <w:tcPr>
            <w:tcW w:w="1831" w:type="dxa"/>
          </w:tcPr>
          <w:p w14:paraId="7E6489BF" w14:textId="77777777" w:rsidR="006A362F" w:rsidRPr="004A53AE" w:rsidRDefault="006A362F" w:rsidP="004A53AE">
            <w:pPr>
              <w:pStyle w:val="08-Tabelageral"/>
              <w:rPr>
                <w:rFonts w:cs="Arial"/>
                <w:szCs w:val="14"/>
              </w:rPr>
            </w:pPr>
            <w:r w:rsidRPr="004A53AE">
              <w:rPr>
                <w:lang w:eastAsia="en-US"/>
              </w:rPr>
              <w:t xml:space="preserve"> --   </w:t>
            </w:r>
          </w:p>
        </w:tc>
        <w:tc>
          <w:tcPr>
            <w:tcW w:w="1831" w:type="dxa"/>
          </w:tcPr>
          <w:p w14:paraId="72055F44" w14:textId="77777777" w:rsidR="006A362F" w:rsidRPr="004A53AE" w:rsidRDefault="006A362F" w:rsidP="004A53AE">
            <w:pPr>
              <w:pStyle w:val="08-Tabelageral"/>
              <w:rPr>
                <w:rFonts w:cs="Arial"/>
                <w:szCs w:val="14"/>
              </w:rPr>
            </w:pPr>
            <w:r w:rsidRPr="004A53AE">
              <w:rPr>
                <w:lang w:eastAsia="en-US"/>
              </w:rPr>
              <w:t>(186)</w:t>
            </w:r>
          </w:p>
        </w:tc>
      </w:tr>
      <w:tr w:rsidR="006A362F" w:rsidRPr="00345AB3" w14:paraId="2A671766" w14:textId="77777777" w:rsidTr="00F44C6D">
        <w:trPr>
          <w:trHeight w:val="238"/>
          <w:jc w:val="center"/>
        </w:trPr>
        <w:tc>
          <w:tcPr>
            <w:tcW w:w="4361" w:type="dxa"/>
            <w:shd w:val="clear" w:color="auto" w:fill="auto"/>
            <w:vAlign w:val="center"/>
          </w:tcPr>
          <w:p w14:paraId="4175A445" w14:textId="77777777" w:rsidR="006A362F" w:rsidRPr="004A53AE" w:rsidRDefault="006A362F" w:rsidP="004A53AE">
            <w:pPr>
              <w:pStyle w:val="08-Tabelageral"/>
              <w:jc w:val="left"/>
              <w:rPr>
                <w:rFonts w:cs="Arial"/>
                <w:b/>
                <w:bCs/>
                <w:szCs w:val="14"/>
              </w:rPr>
            </w:pPr>
            <w:r w:rsidRPr="004A53AE">
              <w:rPr>
                <w:rFonts w:cs="Arial"/>
                <w:b/>
                <w:bCs/>
                <w:szCs w:val="14"/>
              </w:rPr>
              <w:t>Net Income</w:t>
            </w:r>
          </w:p>
        </w:tc>
        <w:tc>
          <w:tcPr>
            <w:tcW w:w="1831" w:type="dxa"/>
            <w:shd w:val="clear" w:color="auto" w:fill="auto"/>
          </w:tcPr>
          <w:p w14:paraId="592BCC06"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179</w:t>
            </w:r>
            <w:r>
              <w:rPr>
                <w:b/>
                <w:bCs/>
                <w:lang w:eastAsia="en-US"/>
              </w:rPr>
              <w:t>,</w:t>
            </w:r>
            <w:r w:rsidRPr="004A53AE">
              <w:rPr>
                <w:b/>
                <w:bCs/>
                <w:lang w:eastAsia="en-US"/>
              </w:rPr>
              <w:t>431</w:t>
            </w:r>
          </w:p>
        </w:tc>
        <w:tc>
          <w:tcPr>
            <w:tcW w:w="1831" w:type="dxa"/>
          </w:tcPr>
          <w:p w14:paraId="003EDDAC" w14:textId="77777777" w:rsidR="006A362F" w:rsidRPr="004A53AE" w:rsidRDefault="006A362F" w:rsidP="004A53AE">
            <w:pPr>
              <w:pStyle w:val="08-Tabelageral"/>
              <w:rPr>
                <w:rFonts w:cs="Arial"/>
                <w:b/>
                <w:bCs/>
                <w:szCs w:val="14"/>
              </w:rPr>
            </w:pPr>
            <w:r w:rsidRPr="004A53AE">
              <w:rPr>
                <w:b/>
                <w:bCs/>
                <w:lang w:eastAsia="en-US"/>
              </w:rPr>
              <w:t>30</w:t>
            </w:r>
            <w:r>
              <w:rPr>
                <w:b/>
                <w:bCs/>
                <w:lang w:eastAsia="en-US"/>
              </w:rPr>
              <w:t>,</w:t>
            </w:r>
            <w:r w:rsidRPr="004A53AE">
              <w:rPr>
                <w:b/>
                <w:bCs/>
                <w:lang w:eastAsia="en-US"/>
              </w:rPr>
              <w:t>086</w:t>
            </w:r>
          </w:p>
        </w:tc>
        <w:tc>
          <w:tcPr>
            <w:tcW w:w="1831" w:type="dxa"/>
          </w:tcPr>
          <w:p w14:paraId="06CABAA6" w14:textId="77777777" w:rsidR="006A362F" w:rsidRPr="004A53AE" w:rsidRDefault="006A362F" w:rsidP="004A53AE">
            <w:pPr>
              <w:pStyle w:val="08-Tabelageral"/>
              <w:rPr>
                <w:rFonts w:cs="Arial"/>
                <w:b/>
                <w:bCs/>
                <w:szCs w:val="14"/>
              </w:rPr>
            </w:pPr>
            <w:r w:rsidRPr="004A53AE">
              <w:rPr>
                <w:b/>
                <w:bCs/>
                <w:lang w:eastAsia="en-US"/>
              </w:rPr>
              <w:t>1</w:t>
            </w:r>
            <w:r>
              <w:rPr>
                <w:b/>
                <w:bCs/>
                <w:lang w:eastAsia="en-US"/>
              </w:rPr>
              <w:t>,</w:t>
            </w:r>
            <w:r w:rsidRPr="004A53AE">
              <w:rPr>
                <w:b/>
                <w:bCs/>
                <w:lang w:eastAsia="en-US"/>
              </w:rPr>
              <w:t>209</w:t>
            </w:r>
            <w:r>
              <w:rPr>
                <w:b/>
                <w:bCs/>
                <w:lang w:eastAsia="en-US"/>
              </w:rPr>
              <w:t>,</w:t>
            </w:r>
            <w:r w:rsidRPr="004A53AE">
              <w:rPr>
                <w:b/>
                <w:bCs/>
                <w:lang w:eastAsia="en-US"/>
              </w:rPr>
              <w:t>517</w:t>
            </w:r>
          </w:p>
        </w:tc>
      </w:tr>
    </w:tbl>
    <w:p w14:paraId="4FF96289" w14:textId="77777777" w:rsidR="006A362F" w:rsidRDefault="006A362F" w:rsidP="0043117D">
      <w:pPr>
        <w:spacing w:after="0"/>
        <w:jc w:val="right"/>
        <w:rPr>
          <w:rFonts w:cs="Arial"/>
          <w:b/>
          <w:bCs/>
          <w:sz w:val="14"/>
          <w:szCs w:val="14"/>
          <w:lang w:eastAsia="pt-BR"/>
        </w:rPr>
      </w:pPr>
    </w:p>
    <w:p w14:paraId="2D45FF18" w14:textId="77777777" w:rsidR="006A362F" w:rsidRPr="00D44604" w:rsidRDefault="006A362F" w:rsidP="001D4E06">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6A362F" w:rsidRPr="00E00C9B" w14:paraId="5D7D99C8"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71580B4A" w14:textId="77777777" w:rsidR="006A362F" w:rsidRPr="00E00C9B"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59B61256" w14:textId="77777777" w:rsidR="006A362F" w:rsidRPr="008F5C2C" w:rsidRDefault="006A362F" w:rsidP="002803B5">
            <w:pPr>
              <w:pStyle w:val="08-Tabelageral"/>
              <w:rPr>
                <w:rFonts w:cs="Arial"/>
                <w:b/>
                <w:bCs/>
                <w:szCs w:val="14"/>
              </w:rPr>
            </w:pPr>
          </w:p>
        </w:tc>
        <w:tc>
          <w:tcPr>
            <w:tcW w:w="1831" w:type="dxa"/>
            <w:tcBorders>
              <w:top w:val="single" w:sz="2" w:space="0" w:color="1F4E79" w:themeColor="accent1" w:themeShade="80"/>
            </w:tcBorders>
          </w:tcPr>
          <w:p w14:paraId="38EA6235" w14:textId="77777777" w:rsidR="006A362F" w:rsidRPr="008F5C2C" w:rsidRDefault="006A362F" w:rsidP="002803B5">
            <w:pPr>
              <w:pStyle w:val="08-Tabelageral"/>
              <w:rPr>
                <w:rFonts w:cs="Arial"/>
                <w:b/>
                <w:bCs/>
                <w:szCs w:val="14"/>
              </w:rPr>
            </w:pPr>
            <w:r>
              <w:rPr>
                <w:rFonts w:cs="Arial"/>
                <w:b/>
                <w:bCs/>
                <w:szCs w:val="14"/>
              </w:rPr>
              <w:t>Consolidated</w:t>
            </w:r>
          </w:p>
        </w:tc>
        <w:tc>
          <w:tcPr>
            <w:tcW w:w="1831" w:type="dxa"/>
            <w:tcBorders>
              <w:top w:val="single" w:sz="2" w:space="0" w:color="1F4E79" w:themeColor="accent1" w:themeShade="80"/>
            </w:tcBorders>
          </w:tcPr>
          <w:p w14:paraId="12C6537D" w14:textId="77777777" w:rsidR="006A362F" w:rsidRPr="008F5C2C" w:rsidRDefault="006A362F" w:rsidP="002803B5">
            <w:pPr>
              <w:pStyle w:val="08-Tabelageral"/>
              <w:rPr>
                <w:rFonts w:cs="Arial"/>
                <w:b/>
                <w:bCs/>
                <w:szCs w:val="14"/>
              </w:rPr>
            </w:pPr>
          </w:p>
        </w:tc>
      </w:tr>
      <w:tr w:rsidR="006A362F" w:rsidRPr="00E00C9B" w14:paraId="5CC2034A"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3681706A" w14:textId="77777777" w:rsidR="006A362F" w:rsidRPr="00E00C9B"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1EC2556C" w14:textId="77777777" w:rsidR="006A362F" w:rsidRPr="008F5C2C" w:rsidRDefault="006A362F" w:rsidP="002803B5">
            <w:pPr>
              <w:pStyle w:val="08-Tabelageral"/>
              <w:rPr>
                <w:rFonts w:cs="Arial"/>
                <w:b/>
                <w:bCs/>
                <w:szCs w:val="14"/>
              </w:rPr>
            </w:pPr>
          </w:p>
        </w:tc>
        <w:tc>
          <w:tcPr>
            <w:tcW w:w="1831" w:type="dxa"/>
            <w:tcBorders>
              <w:top w:val="single" w:sz="2" w:space="0" w:color="1F4E79" w:themeColor="accent1" w:themeShade="80"/>
            </w:tcBorders>
          </w:tcPr>
          <w:p w14:paraId="2053CB94" w14:textId="77777777" w:rsidR="006A362F" w:rsidRPr="008F5C2C" w:rsidRDefault="006A362F" w:rsidP="002803B5">
            <w:pPr>
              <w:pStyle w:val="08-Tabelageral"/>
              <w:rPr>
                <w:rFonts w:cs="Arial"/>
                <w:b/>
                <w:bCs/>
                <w:szCs w:val="14"/>
              </w:rPr>
            </w:pPr>
            <w:r w:rsidRPr="00345AB3">
              <w:rPr>
                <w:rFonts w:cs="Arial"/>
                <w:b/>
                <w:bCs/>
                <w:szCs w:val="14"/>
              </w:rPr>
              <w:t>1</w:t>
            </w:r>
            <w:r w:rsidRPr="00345AB3">
              <w:rPr>
                <w:rFonts w:cs="Arial"/>
                <w:b/>
                <w:bCs/>
                <w:szCs w:val="14"/>
                <w:vertAlign w:val="superscript"/>
              </w:rPr>
              <w:t xml:space="preserve">st </w:t>
            </w:r>
            <w:r>
              <w:rPr>
                <w:rFonts w:cs="Arial"/>
                <w:b/>
                <w:bCs/>
                <w:szCs w:val="14"/>
              </w:rPr>
              <w:t>Quarter</w:t>
            </w:r>
            <w:r w:rsidRPr="00345AB3">
              <w:rPr>
                <w:rFonts w:cs="Arial"/>
                <w:b/>
                <w:bCs/>
                <w:szCs w:val="14"/>
              </w:rPr>
              <w:t xml:space="preserve"> 2022</w:t>
            </w:r>
          </w:p>
        </w:tc>
        <w:tc>
          <w:tcPr>
            <w:tcW w:w="1831" w:type="dxa"/>
            <w:tcBorders>
              <w:top w:val="single" w:sz="2" w:space="0" w:color="1F4E79" w:themeColor="accent1" w:themeShade="80"/>
            </w:tcBorders>
          </w:tcPr>
          <w:p w14:paraId="49B5C136" w14:textId="77777777" w:rsidR="006A362F" w:rsidRPr="008F5C2C" w:rsidRDefault="006A362F" w:rsidP="002803B5">
            <w:pPr>
              <w:pStyle w:val="08-Tabelageral"/>
              <w:rPr>
                <w:rFonts w:cs="Arial"/>
                <w:b/>
                <w:bCs/>
                <w:szCs w:val="14"/>
              </w:rPr>
            </w:pPr>
          </w:p>
        </w:tc>
      </w:tr>
      <w:tr w:rsidR="006A362F" w:rsidRPr="00E00C9B" w14:paraId="24A25243"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1A052373" w14:textId="77777777" w:rsidR="006A362F" w:rsidRPr="00E00C9B"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522DA607" w14:textId="77777777" w:rsidR="006A362F" w:rsidRPr="008F5C2C" w:rsidRDefault="006A362F" w:rsidP="002803B5">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tcPr>
          <w:p w14:paraId="3C473DAC" w14:textId="77777777" w:rsidR="006A362F" w:rsidRPr="008F5C2C" w:rsidRDefault="006A362F" w:rsidP="002803B5">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tcPr>
          <w:p w14:paraId="1415D53D" w14:textId="77777777" w:rsidR="006A362F" w:rsidRPr="008F5C2C" w:rsidRDefault="006A362F" w:rsidP="002803B5">
            <w:pPr>
              <w:pStyle w:val="08-Tabelageral"/>
              <w:rPr>
                <w:rFonts w:cs="Arial"/>
                <w:b/>
                <w:bCs/>
                <w:szCs w:val="14"/>
              </w:rPr>
            </w:pPr>
            <w:r>
              <w:rPr>
                <w:rFonts w:cs="Arial"/>
                <w:b/>
                <w:bCs/>
                <w:szCs w:val="14"/>
              </w:rPr>
              <w:t>Restated balances</w:t>
            </w:r>
          </w:p>
        </w:tc>
      </w:tr>
      <w:tr w:rsidR="006A362F" w:rsidRPr="004A53AE" w14:paraId="06FBF236" w14:textId="77777777" w:rsidTr="00801E01">
        <w:trPr>
          <w:trHeight w:val="238"/>
          <w:jc w:val="center"/>
        </w:trPr>
        <w:tc>
          <w:tcPr>
            <w:tcW w:w="4361" w:type="dxa"/>
            <w:tcBorders>
              <w:top w:val="single" w:sz="2" w:space="0" w:color="1F4E79" w:themeColor="accent1" w:themeShade="80"/>
            </w:tcBorders>
            <w:shd w:val="clear" w:color="auto" w:fill="auto"/>
            <w:vAlign w:val="center"/>
          </w:tcPr>
          <w:p w14:paraId="023AAAA9" w14:textId="77777777" w:rsidR="006A362F" w:rsidRPr="004A53AE" w:rsidRDefault="006A362F" w:rsidP="004A53AE">
            <w:pPr>
              <w:pStyle w:val="08-Tabelageral"/>
              <w:jc w:val="left"/>
              <w:rPr>
                <w:rFonts w:cs="Arial"/>
                <w:b/>
                <w:bCs/>
                <w:szCs w:val="14"/>
              </w:rPr>
            </w:pPr>
            <w:r w:rsidRPr="004A53AE">
              <w:rPr>
                <w:rFonts w:cs="Arial"/>
                <w:b/>
                <w:bCs/>
                <w:szCs w:val="14"/>
              </w:rPr>
              <w:t>Operating Income</w:t>
            </w:r>
          </w:p>
        </w:tc>
        <w:tc>
          <w:tcPr>
            <w:tcW w:w="1831" w:type="dxa"/>
            <w:tcBorders>
              <w:top w:val="single" w:sz="2" w:space="0" w:color="1F4E79" w:themeColor="accent1" w:themeShade="80"/>
            </w:tcBorders>
            <w:shd w:val="clear" w:color="auto" w:fill="auto"/>
            <w:vAlign w:val="center"/>
          </w:tcPr>
          <w:p w14:paraId="1FB1D277"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1,511,309</w:t>
            </w:r>
          </w:p>
        </w:tc>
        <w:tc>
          <w:tcPr>
            <w:tcW w:w="1831" w:type="dxa"/>
            <w:tcBorders>
              <w:top w:val="single" w:sz="2" w:space="0" w:color="1F4E79" w:themeColor="accent1" w:themeShade="80"/>
            </w:tcBorders>
            <w:vAlign w:val="center"/>
          </w:tcPr>
          <w:p w14:paraId="03E3D423"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30,086 </w:t>
            </w:r>
          </w:p>
        </w:tc>
        <w:tc>
          <w:tcPr>
            <w:tcW w:w="1831" w:type="dxa"/>
            <w:tcBorders>
              <w:top w:val="single" w:sz="2" w:space="0" w:color="1F4E79" w:themeColor="accent1" w:themeShade="80"/>
            </w:tcBorders>
            <w:vAlign w:val="center"/>
          </w:tcPr>
          <w:p w14:paraId="564DEFF8"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1,541,395</w:t>
            </w:r>
          </w:p>
        </w:tc>
      </w:tr>
      <w:tr w:rsidR="006A362F" w:rsidRPr="004A53AE" w14:paraId="7D329635" w14:textId="77777777" w:rsidTr="00801E01">
        <w:trPr>
          <w:trHeight w:val="238"/>
          <w:jc w:val="center"/>
        </w:trPr>
        <w:tc>
          <w:tcPr>
            <w:tcW w:w="4361" w:type="dxa"/>
            <w:shd w:val="clear" w:color="auto" w:fill="auto"/>
            <w:vAlign w:val="center"/>
          </w:tcPr>
          <w:p w14:paraId="0A87B16D" w14:textId="77777777" w:rsidR="006A362F" w:rsidRPr="004A53AE" w:rsidRDefault="006A362F" w:rsidP="004A53AE">
            <w:pPr>
              <w:pStyle w:val="08-Tabelageral"/>
              <w:jc w:val="left"/>
              <w:rPr>
                <w:rFonts w:cs="Arial"/>
                <w:b/>
                <w:bCs/>
                <w:szCs w:val="14"/>
              </w:rPr>
            </w:pPr>
            <w:r w:rsidRPr="004A53AE">
              <w:rPr>
                <w:rFonts w:cs="Arial"/>
                <w:szCs w:val="14"/>
              </w:rPr>
              <w:t>Equity income</w:t>
            </w:r>
          </w:p>
        </w:tc>
        <w:tc>
          <w:tcPr>
            <w:tcW w:w="1831" w:type="dxa"/>
            <w:shd w:val="clear" w:color="auto" w:fill="auto"/>
            <w:vAlign w:val="center"/>
          </w:tcPr>
          <w:p w14:paraId="12AE51BB" w14:textId="77777777" w:rsidR="006A362F" w:rsidRPr="004A53AE" w:rsidRDefault="006A362F" w:rsidP="004A53AE">
            <w:pPr>
              <w:pStyle w:val="08-Tabelageral"/>
              <w:rPr>
                <w:rFonts w:cs="Arial"/>
                <w:b/>
                <w:bCs/>
                <w:szCs w:val="14"/>
              </w:rPr>
            </w:pPr>
            <w:r w:rsidRPr="004A53AE">
              <w:rPr>
                <w:rFonts w:cs="Arial"/>
                <w:color w:val="000000"/>
                <w:szCs w:val="14"/>
                <w:lang w:eastAsia="en-US"/>
              </w:rPr>
              <w:t>605,284</w:t>
            </w:r>
          </w:p>
        </w:tc>
        <w:tc>
          <w:tcPr>
            <w:tcW w:w="1831" w:type="dxa"/>
            <w:vAlign w:val="center"/>
          </w:tcPr>
          <w:p w14:paraId="44823013" w14:textId="77777777" w:rsidR="006A362F" w:rsidRPr="004A53AE" w:rsidRDefault="006A362F" w:rsidP="004A53AE">
            <w:pPr>
              <w:pStyle w:val="08-Tabelageral"/>
              <w:rPr>
                <w:rFonts w:cs="Arial"/>
                <w:b/>
                <w:bCs/>
                <w:szCs w:val="14"/>
              </w:rPr>
            </w:pPr>
            <w:r w:rsidRPr="004A53AE">
              <w:rPr>
                <w:rFonts w:cs="Arial"/>
                <w:color w:val="000000"/>
                <w:szCs w:val="14"/>
                <w:lang w:eastAsia="en-US"/>
              </w:rPr>
              <w:t xml:space="preserve">          30,086 </w:t>
            </w:r>
          </w:p>
        </w:tc>
        <w:tc>
          <w:tcPr>
            <w:tcW w:w="1831" w:type="dxa"/>
            <w:vAlign w:val="center"/>
          </w:tcPr>
          <w:p w14:paraId="517B2B22" w14:textId="77777777" w:rsidR="006A362F" w:rsidRPr="004A53AE" w:rsidRDefault="006A362F" w:rsidP="004A53AE">
            <w:pPr>
              <w:pStyle w:val="08-Tabelageral"/>
              <w:rPr>
                <w:rFonts w:cs="Arial"/>
                <w:b/>
                <w:bCs/>
                <w:szCs w:val="14"/>
              </w:rPr>
            </w:pPr>
            <w:r w:rsidRPr="004A53AE">
              <w:rPr>
                <w:rFonts w:cs="Arial"/>
                <w:color w:val="000000"/>
                <w:szCs w:val="14"/>
                <w:lang w:eastAsia="en-US"/>
              </w:rPr>
              <w:t>635,370</w:t>
            </w:r>
          </w:p>
        </w:tc>
      </w:tr>
      <w:tr w:rsidR="006A362F" w:rsidRPr="004A53AE" w14:paraId="7E2A2E4C" w14:textId="77777777" w:rsidTr="00801E01">
        <w:trPr>
          <w:trHeight w:val="238"/>
          <w:jc w:val="center"/>
        </w:trPr>
        <w:tc>
          <w:tcPr>
            <w:tcW w:w="4361" w:type="dxa"/>
            <w:shd w:val="clear" w:color="auto" w:fill="auto"/>
            <w:vAlign w:val="center"/>
          </w:tcPr>
          <w:p w14:paraId="18B96DCF" w14:textId="77777777" w:rsidR="006A362F" w:rsidRPr="004A53AE" w:rsidRDefault="006A362F" w:rsidP="004A53AE">
            <w:pPr>
              <w:pStyle w:val="08-Tabelageral"/>
              <w:jc w:val="left"/>
              <w:rPr>
                <w:rFonts w:cs="Arial"/>
                <w:b/>
                <w:bCs/>
                <w:szCs w:val="14"/>
              </w:rPr>
            </w:pPr>
            <w:r w:rsidRPr="004A53AE">
              <w:rPr>
                <w:rFonts w:cs="Arial"/>
                <w:szCs w:val="14"/>
              </w:rPr>
              <w:t>Net commissions income</w:t>
            </w:r>
          </w:p>
        </w:tc>
        <w:tc>
          <w:tcPr>
            <w:tcW w:w="1831" w:type="dxa"/>
            <w:shd w:val="clear" w:color="auto" w:fill="auto"/>
            <w:vAlign w:val="center"/>
          </w:tcPr>
          <w:p w14:paraId="1CB67019" w14:textId="77777777" w:rsidR="006A362F" w:rsidRPr="004A53AE" w:rsidRDefault="006A362F" w:rsidP="004A53AE">
            <w:pPr>
              <w:pStyle w:val="08-Tabelageral"/>
              <w:rPr>
                <w:rFonts w:cs="Arial"/>
                <w:b/>
                <w:bCs/>
                <w:szCs w:val="14"/>
              </w:rPr>
            </w:pPr>
            <w:r w:rsidRPr="004A53AE">
              <w:rPr>
                <w:rFonts w:cs="Arial"/>
                <w:color w:val="000000"/>
                <w:szCs w:val="14"/>
                <w:lang w:eastAsia="en-US"/>
              </w:rPr>
              <w:t>906,025</w:t>
            </w:r>
          </w:p>
        </w:tc>
        <w:tc>
          <w:tcPr>
            <w:tcW w:w="1831" w:type="dxa"/>
            <w:vAlign w:val="center"/>
          </w:tcPr>
          <w:p w14:paraId="1DF73704" w14:textId="77777777" w:rsidR="006A362F" w:rsidRPr="004A53AE" w:rsidRDefault="006A362F" w:rsidP="004A53AE">
            <w:pPr>
              <w:pStyle w:val="08-Tabelageral"/>
              <w:rPr>
                <w:rFonts w:cs="Arial"/>
                <w:b/>
                <w:bCs/>
                <w:szCs w:val="14"/>
              </w:rPr>
            </w:pPr>
            <w:r w:rsidRPr="004A53AE">
              <w:rPr>
                <w:rFonts w:cs="Arial"/>
                <w:color w:val="000000"/>
                <w:szCs w:val="14"/>
                <w:lang w:eastAsia="en-US"/>
              </w:rPr>
              <w:t xml:space="preserve">                   -   </w:t>
            </w:r>
          </w:p>
        </w:tc>
        <w:tc>
          <w:tcPr>
            <w:tcW w:w="1831" w:type="dxa"/>
            <w:vAlign w:val="center"/>
          </w:tcPr>
          <w:p w14:paraId="30065651" w14:textId="77777777" w:rsidR="006A362F" w:rsidRPr="004A53AE" w:rsidRDefault="006A362F" w:rsidP="004A53AE">
            <w:pPr>
              <w:pStyle w:val="08-Tabelageral"/>
              <w:rPr>
                <w:rFonts w:cs="Arial"/>
                <w:b/>
                <w:bCs/>
                <w:szCs w:val="14"/>
              </w:rPr>
            </w:pPr>
            <w:r w:rsidRPr="004A53AE">
              <w:rPr>
                <w:rFonts w:cs="Arial"/>
                <w:color w:val="000000"/>
                <w:szCs w:val="14"/>
                <w:lang w:eastAsia="en-US"/>
              </w:rPr>
              <w:t>906,025</w:t>
            </w:r>
          </w:p>
        </w:tc>
      </w:tr>
      <w:tr w:rsidR="006A362F" w:rsidRPr="004A53AE" w14:paraId="5063DC58" w14:textId="77777777" w:rsidTr="00801E01">
        <w:trPr>
          <w:trHeight w:val="238"/>
          <w:jc w:val="center"/>
        </w:trPr>
        <w:tc>
          <w:tcPr>
            <w:tcW w:w="4361" w:type="dxa"/>
            <w:shd w:val="clear" w:color="auto" w:fill="auto"/>
            <w:vAlign w:val="center"/>
          </w:tcPr>
          <w:p w14:paraId="333F27C0" w14:textId="77777777" w:rsidR="006A362F" w:rsidRPr="004A53AE" w:rsidRDefault="006A362F" w:rsidP="004A53AE">
            <w:pPr>
              <w:pStyle w:val="08-Tabelageral"/>
              <w:jc w:val="left"/>
              <w:rPr>
                <w:rFonts w:cs="Arial"/>
                <w:b/>
                <w:bCs/>
                <w:szCs w:val="14"/>
              </w:rPr>
            </w:pPr>
            <w:r w:rsidRPr="004A53AE">
              <w:rPr>
                <w:rFonts w:cs="Arial"/>
                <w:b/>
                <w:bCs/>
                <w:szCs w:val="14"/>
              </w:rPr>
              <w:t>Cost of Services Provided</w:t>
            </w:r>
          </w:p>
        </w:tc>
        <w:tc>
          <w:tcPr>
            <w:tcW w:w="1831" w:type="dxa"/>
            <w:shd w:val="clear" w:color="auto" w:fill="auto"/>
            <w:vAlign w:val="center"/>
          </w:tcPr>
          <w:p w14:paraId="18E4BA42"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(48,037)</w:t>
            </w:r>
          </w:p>
        </w:tc>
        <w:tc>
          <w:tcPr>
            <w:tcW w:w="1831" w:type="dxa"/>
            <w:vAlign w:val="center"/>
          </w:tcPr>
          <w:p w14:paraId="19CA30B9"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   </w:t>
            </w:r>
          </w:p>
        </w:tc>
        <w:tc>
          <w:tcPr>
            <w:tcW w:w="1831" w:type="dxa"/>
            <w:vAlign w:val="center"/>
          </w:tcPr>
          <w:p w14:paraId="7CBBEC44"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(48,037)</w:t>
            </w:r>
          </w:p>
        </w:tc>
      </w:tr>
      <w:tr w:rsidR="006A362F" w:rsidRPr="004A53AE" w14:paraId="26829434" w14:textId="77777777" w:rsidTr="00801E01">
        <w:trPr>
          <w:trHeight w:val="238"/>
          <w:jc w:val="center"/>
        </w:trPr>
        <w:tc>
          <w:tcPr>
            <w:tcW w:w="4361" w:type="dxa"/>
            <w:shd w:val="clear" w:color="auto" w:fill="auto"/>
            <w:vAlign w:val="center"/>
          </w:tcPr>
          <w:p w14:paraId="22090EB0" w14:textId="77777777" w:rsidR="006A362F" w:rsidRPr="004A53AE" w:rsidRDefault="006A362F" w:rsidP="004A53AE">
            <w:pPr>
              <w:pStyle w:val="08-Tabelageral"/>
              <w:jc w:val="left"/>
              <w:rPr>
                <w:rFonts w:cs="Arial"/>
                <w:b/>
                <w:bCs/>
                <w:szCs w:val="14"/>
              </w:rPr>
            </w:pPr>
            <w:r w:rsidRPr="004A53AE">
              <w:rPr>
                <w:rFonts w:cs="Arial"/>
                <w:b/>
                <w:bCs/>
                <w:szCs w:val="14"/>
              </w:rPr>
              <w:t>Gross Profit</w:t>
            </w:r>
          </w:p>
        </w:tc>
        <w:tc>
          <w:tcPr>
            <w:tcW w:w="1831" w:type="dxa"/>
            <w:shd w:val="clear" w:color="auto" w:fill="auto"/>
            <w:vAlign w:val="center"/>
          </w:tcPr>
          <w:p w14:paraId="50852CEF"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1,463,272</w:t>
            </w:r>
          </w:p>
        </w:tc>
        <w:tc>
          <w:tcPr>
            <w:tcW w:w="1831" w:type="dxa"/>
            <w:vAlign w:val="center"/>
          </w:tcPr>
          <w:p w14:paraId="2019B31B"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30,086 </w:t>
            </w:r>
          </w:p>
        </w:tc>
        <w:tc>
          <w:tcPr>
            <w:tcW w:w="1831" w:type="dxa"/>
            <w:vAlign w:val="center"/>
          </w:tcPr>
          <w:p w14:paraId="14F8C3F7"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1,493,358</w:t>
            </w:r>
          </w:p>
        </w:tc>
      </w:tr>
      <w:tr w:rsidR="006A362F" w:rsidRPr="004A53AE" w14:paraId="0FE9DA7B" w14:textId="77777777" w:rsidTr="00801E01">
        <w:trPr>
          <w:trHeight w:val="238"/>
          <w:jc w:val="center"/>
        </w:trPr>
        <w:tc>
          <w:tcPr>
            <w:tcW w:w="4361" w:type="dxa"/>
            <w:shd w:val="clear" w:color="auto" w:fill="auto"/>
            <w:vAlign w:val="center"/>
          </w:tcPr>
          <w:p w14:paraId="7A7C4E94" w14:textId="77777777" w:rsidR="006A362F" w:rsidRPr="004A53AE" w:rsidRDefault="006A362F" w:rsidP="004A53AE">
            <w:pPr>
              <w:pStyle w:val="08-Tabelageral"/>
              <w:jc w:val="left"/>
              <w:rPr>
                <w:rFonts w:cs="Arial"/>
                <w:b/>
                <w:bCs/>
                <w:szCs w:val="14"/>
              </w:rPr>
            </w:pPr>
            <w:r w:rsidRPr="004A53AE">
              <w:rPr>
                <w:rFonts w:cs="Arial"/>
                <w:szCs w:val="14"/>
              </w:rPr>
              <w:t>Other Income and Expenses</w:t>
            </w:r>
          </w:p>
        </w:tc>
        <w:tc>
          <w:tcPr>
            <w:tcW w:w="1831" w:type="dxa"/>
            <w:shd w:val="clear" w:color="auto" w:fill="auto"/>
            <w:vAlign w:val="center"/>
          </w:tcPr>
          <w:p w14:paraId="0DDF6CBE"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(42,663)</w:t>
            </w:r>
          </w:p>
        </w:tc>
        <w:tc>
          <w:tcPr>
            <w:tcW w:w="1831" w:type="dxa"/>
            <w:vAlign w:val="center"/>
          </w:tcPr>
          <w:p w14:paraId="4F5B7AEE"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   </w:t>
            </w:r>
          </w:p>
        </w:tc>
        <w:tc>
          <w:tcPr>
            <w:tcW w:w="1831" w:type="dxa"/>
            <w:vAlign w:val="center"/>
          </w:tcPr>
          <w:p w14:paraId="0387E85D"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(42,663)</w:t>
            </w:r>
          </w:p>
        </w:tc>
      </w:tr>
      <w:tr w:rsidR="006A362F" w:rsidRPr="004A53AE" w14:paraId="72BF6AFD" w14:textId="77777777" w:rsidTr="00801E01">
        <w:trPr>
          <w:trHeight w:val="238"/>
          <w:jc w:val="center"/>
        </w:trPr>
        <w:tc>
          <w:tcPr>
            <w:tcW w:w="4361" w:type="dxa"/>
            <w:shd w:val="clear" w:color="auto" w:fill="auto"/>
            <w:vAlign w:val="center"/>
          </w:tcPr>
          <w:p w14:paraId="196F57FC" w14:textId="77777777" w:rsidR="006A362F" w:rsidRPr="004A53AE" w:rsidRDefault="006A362F" w:rsidP="004A53AE">
            <w:pPr>
              <w:pStyle w:val="08-Tabelageral"/>
              <w:jc w:val="left"/>
              <w:rPr>
                <w:rFonts w:cs="Arial"/>
                <w:b/>
                <w:bCs/>
                <w:szCs w:val="14"/>
                <w:lang w:val="en-US"/>
              </w:rPr>
            </w:pPr>
            <w:r w:rsidRPr="004A53AE">
              <w:rPr>
                <w:rFonts w:cs="Arial"/>
                <w:b/>
                <w:bCs/>
                <w:szCs w:val="14"/>
                <w:lang w:val="en-US"/>
              </w:rPr>
              <w:t>Income Before Financial Revenue and Expenses</w:t>
            </w:r>
          </w:p>
        </w:tc>
        <w:tc>
          <w:tcPr>
            <w:tcW w:w="1831" w:type="dxa"/>
            <w:shd w:val="clear" w:color="auto" w:fill="auto"/>
            <w:vAlign w:val="center"/>
          </w:tcPr>
          <w:p w14:paraId="5F8F13F8"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1,420,609</w:t>
            </w:r>
          </w:p>
        </w:tc>
        <w:tc>
          <w:tcPr>
            <w:tcW w:w="1831" w:type="dxa"/>
            <w:vAlign w:val="center"/>
          </w:tcPr>
          <w:p w14:paraId="0EFDFE7E"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30,086 </w:t>
            </w:r>
          </w:p>
        </w:tc>
        <w:tc>
          <w:tcPr>
            <w:tcW w:w="1831" w:type="dxa"/>
            <w:vAlign w:val="center"/>
          </w:tcPr>
          <w:p w14:paraId="4118E2BE"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1,450,695</w:t>
            </w:r>
          </w:p>
        </w:tc>
      </w:tr>
      <w:tr w:rsidR="006A362F" w:rsidRPr="004A53AE" w14:paraId="390BD125" w14:textId="77777777" w:rsidTr="00801E01">
        <w:trPr>
          <w:trHeight w:val="238"/>
          <w:jc w:val="center"/>
        </w:trPr>
        <w:tc>
          <w:tcPr>
            <w:tcW w:w="4361" w:type="dxa"/>
            <w:shd w:val="clear" w:color="auto" w:fill="auto"/>
            <w:vAlign w:val="center"/>
          </w:tcPr>
          <w:p w14:paraId="34784F31" w14:textId="77777777" w:rsidR="006A362F" w:rsidRPr="004A53AE" w:rsidRDefault="006A362F" w:rsidP="004A53AE">
            <w:pPr>
              <w:pStyle w:val="08-Tabelageral"/>
              <w:jc w:val="left"/>
              <w:rPr>
                <w:rFonts w:cs="Arial"/>
                <w:b/>
                <w:bCs/>
                <w:szCs w:val="14"/>
              </w:rPr>
            </w:pPr>
            <w:r w:rsidRPr="004A53AE">
              <w:rPr>
                <w:rFonts w:cs="Arial"/>
                <w:b/>
                <w:bCs/>
                <w:szCs w:val="14"/>
              </w:rPr>
              <w:t>Financial Result</w:t>
            </w:r>
          </w:p>
        </w:tc>
        <w:tc>
          <w:tcPr>
            <w:tcW w:w="1831" w:type="dxa"/>
            <w:shd w:val="clear" w:color="auto" w:fill="auto"/>
            <w:vAlign w:val="center"/>
          </w:tcPr>
          <w:p w14:paraId="0682D835"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58,142</w:t>
            </w:r>
          </w:p>
        </w:tc>
        <w:tc>
          <w:tcPr>
            <w:tcW w:w="1831" w:type="dxa"/>
            <w:vAlign w:val="center"/>
          </w:tcPr>
          <w:p w14:paraId="64AD0EB7"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   </w:t>
            </w:r>
          </w:p>
        </w:tc>
        <w:tc>
          <w:tcPr>
            <w:tcW w:w="1831" w:type="dxa"/>
            <w:vAlign w:val="center"/>
          </w:tcPr>
          <w:p w14:paraId="5E1A7BCA"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58,142</w:t>
            </w:r>
          </w:p>
        </w:tc>
      </w:tr>
      <w:tr w:rsidR="006A362F" w:rsidRPr="004A53AE" w14:paraId="040DED21" w14:textId="77777777" w:rsidTr="00801E01">
        <w:trPr>
          <w:trHeight w:val="238"/>
          <w:jc w:val="center"/>
        </w:trPr>
        <w:tc>
          <w:tcPr>
            <w:tcW w:w="4361" w:type="dxa"/>
            <w:shd w:val="clear" w:color="auto" w:fill="auto"/>
            <w:vAlign w:val="center"/>
          </w:tcPr>
          <w:p w14:paraId="15634D57" w14:textId="77777777" w:rsidR="006A362F" w:rsidRPr="004A53AE" w:rsidRDefault="006A362F" w:rsidP="004A53AE">
            <w:pPr>
              <w:pStyle w:val="08-Tabelageral"/>
              <w:jc w:val="left"/>
              <w:rPr>
                <w:rFonts w:cs="Arial"/>
                <w:b/>
                <w:bCs/>
                <w:szCs w:val="14"/>
              </w:rPr>
            </w:pPr>
            <w:r w:rsidRPr="004A53AE">
              <w:rPr>
                <w:rFonts w:cs="Arial"/>
                <w:b/>
                <w:bCs/>
                <w:szCs w:val="14"/>
              </w:rPr>
              <w:t>Resultado Antes do Imposto de Renda e Contribuição Social</w:t>
            </w:r>
          </w:p>
        </w:tc>
        <w:tc>
          <w:tcPr>
            <w:tcW w:w="1831" w:type="dxa"/>
            <w:shd w:val="clear" w:color="auto" w:fill="auto"/>
            <w:vAlign w:val="center"/>
          </w:tcPr>
          <w:p w14:paraId="1D9AAE5E"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1,478,751</w:t>
            </w:r>
          </w:p>
        </w:tc>
        <w:tc>
          <w:tcPr>
            <w:tcW w:w="1831" w:type="dxa"/>
            <w:vAlign w:val="center"/>
          </w:tcPr>
          <w:p w14:paraId="5220029F"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30,086 </w:t>
            </w:r>
          </w:p>
        </w:tc>
        <w:tc>
          <w:tcPr>
            <w:tcW w:w="1831" w:type="dxa"/>
            <w:vAlign w:val="center"/>
          </w:tcPr>
          <w:p w14:paraId="311169A0"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1,508,837</w:t>
            </w:r>
          </w:p>
        </w:tc>
      </w:tr>
      <w:tr w:rsidR="006A362F" w:rsidRPr="004A53AE" w14:paraId="20E58A75" w14:textId="77777777" w:rsidTr="00801E01">
        <w:trPr>
          <w:trHeight w:val="238"/>
          <w:jc w:val="center"/>
        </w:trPr>
        <w:tc>
          <w:tcPr>
            <w:tcW w:w="4361" w:type="dxa"/>
            <w:shd w:val="clear" w:color="auto" w:fill="auto"/>
            <w:vAlign w:val="center"/>
          </w:tcPr>
          <w:p w14:paraId="254EC1D6" w14:textId="77777777" w:rsidR="006A362F" w:rsidRPr="004A53AE" w:rsidRDefault="006A362F" w:rsidP="004A53AE">
            <w:pPr>
              <w:pStyle w:val="08-Tabelageral"/>
              <w:jc w:val="left"/>
              <w:rPr>
                <w:rFonts w:cs="Arial"/>
                <w:szCs w:val="14"/>
                <w:lang w:val="en-US"/>
              </w:rPr>
            </w:pPr>
            <w:r w:rsidRPr="004A53AE">
              <w:rPr>
                <w:rFonts w:cs="Arial"/>
                <w:szCs w:val="14"/>
                <w:lang w:val="en-US"/>
              </w:rPr>
              <w:t>Income Before Taxes and Equities</w:t>
            </w:r>
          </w:p>
        </w:tc>
        <w:tc>
          <w:tcPr>
            <w:tcW w:w="1831" w:type="dxa"/>
            <w:shd w:val="clear" w:color="auto" w:fill="auto"/>
            <w:vAlign w:val="center"/>
          </w:tcPr>
          <w:p w14:paraId="596F0715" w14:textId="77777777" w:rsidR="006A362F" w:rsidRPr="004A53AE" w:rsidRDefault="006A362F" w:rsidP="004A53AE">
            <w:pPr>
              <w:pStyle w:val="08-Tabelageral"/>
              <w:rPr>
                <w:rFonts w:cs="Arial"/>
                <w:szCs w:val="14"/>
              </w:rPr>
            </w:pPr>
            <w:r w:rsidRPr="004A53AE">
              <w:rPr>
                <w:rFonts w:cs="Arial"/>
                <w:color w:val="000000"/>
                <w:szCs w:val="14"/>
                <w:lang w:eastAsia="en-US"/>
              </w:rPr>
              <w:t>(299,320)</w:t>
            </w:r>
          </w:p>
        </w:tc>
        <w:tc>
          <w:tcPr>
            <w:tcW w:w="1831" w:type="dxa"/>
            <w:vAlign w:val="center"/>
          </w:tcPr>
          <w:p w14:paraId="136F9064" w14:textId="77777777" w:rsidR="006A362F" w:rsidRPr="004A53AE" w:rsidRDefault="006A362F" w:rsidP="004A53AE">
            <w:pPr>
              <w:pStyle w:val="08-Tabelageral"/>
              <w:rPr>
                <w:rFonts w:cs="Arial"/>
                <w:szCs w:val="14"/>
              </w:rPr>
            </w:pPr>
            <w:r w:rsidRPr="004A53AE">
              <w:rPr>
                <w:rFonts w:cs="Arial"/>
                <w:color w:val="000000"/>
                <w:szCs w:val="14"/>
                <w:lang w:eastAsia="en-US"/>
              </w:rPr>
              <w:t xml:space="preserve">                   -   </w:t>
            </w:r>
          </w:p>
        </w:tc>
        <w:tc>
          <w:tcPr>
            <w:tcW w:w="1831" w:type="dxa"/>
            <w:vAlign w:val="center"/>
          </w:tcPr>
          <w:p w14:paraId="3A03050D" w14:textId="77777777" w:rsidR="006A362F" w:rsidRPr="004A53AE" w:rsidRDefault="006A362F" w:rsidP="004A53AE">
            <w:pPr>
              <w:pStyle w:val="08-Tabelageral"/>
              <w:rPr>
                <w:rFonts w:cs="Arial"/>
                <w:szCs w:val="14"/>
              </w:rPr>
            </w:pPr>
            <w:r w:rsidRPr="004A53AE">
              <w:rPr>
                <w:rFonts w:cs="Arial"/>
                <w:color w:val="000000"/>
                <w:szCs w:val="14"/>
                <w:lang w:eastAsia="en-US"/>
              </w:rPr>
              <w:t>(299,320)</w:t>
            </w:r>
          </w:p>
        </w:tc>
      </w:tr>
      <w:tr w:rsidR="006A362F" w:rsidRPr="00A03B7C" w14:paraId="7BA7EE2C" w14:textId="77777777" w:rsidTr="00801E01">
        <w:trPr>
          <w:trHeight w:val="238"/>
          <w:jc w:val="center"/>
        </w:trPr>
        <w:tc>
          <w:tcPr>
            <w:tcW w:w="4361" w:type="dxa"/>
            <w:shd w:val="clear" w:color="auto" w:fill="auto"/>
            <w:vAlign w:val="center"/>
          </w:tcPr>
          <w:p w14:paraId="20FD6FF7" w14:textId="77777777" w:rsidR="006A362F" w:rsidRPr="004A53AE" w:rsidRDefault="006A362F" w:rsidP="004A53AE">
            <w:pPr>
              <w:pStyle w:val="08-Tabelageral"/>
              <w:jc w:val="left"/>
              <w:rPr>
                <w:rFonts w:cs="Arial"/>
                <w:b/>
                <w:bCs/>
                <w:szCs w:val="14"/>
              </w:rPr>
            </w:pPr>
            <w:r w:rsidRPr="004A53AE">
              <w:rPr>
                <w:rFonts w:cs="Arial"/>
                <w:b/>
                <w:bCs/>
                <w:szCs w:val="14"/>
              </w:rPr>
              <w:t>Net Income</w:t>
            </w:r>
          </w:p>
        </w:tc>
        <w:tc>
          <w:tcPr>
            <w:tcW w:w="1831" w:type="dxa"/>
            <w:shd w:val="clear" w:color="auto" w:fill="auto"/>
            <w:vAlign w:val="center"/>
          </w:tcPr>
          <w:p w14:paraId="35BD18D1"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1,179,431</w:t>
            </w:r>
          </w:p>
        </w:tc>
        <w:tc>
          <w:tcPr>
            <w:tcW w:w="1831" w:type="dxa"/>
            <w:vAlign w:val="center"/>
          </w:tcPr>
          <w:p w14:paraId="326DEBB5"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 xml:space="preserve">          30,086 </w:t>
            </w:r>
          </w:p>
        </w:tc>
        <w:tc>
          <w:tcPr>
            <w:tcW w:w="1831" w:type="dxa"/>
            <w:vAlign w:val="center"/>
          </w:tcPr>
          <w:p w14:paraId="3DF85A2B" w14:textId="77777777" w:rsidR="006A362F" w:rsidRPr="004A53AE" w:rsidRDefault="006A362F" w:rsidP="004A53AE">
            <w:pPr>
              <w:pStyle w:val="08-Tabelageral"/>
              <w:rPr>
                <w:rFonts w:cs="Arial"/>
                <w:b/>
                <w:bCs/>
                <w:szCs w:val="14"/>
              </w:rPr>
            </w:pPr>
            <w:r w:rsidRPr="004A53AE">
              <w:rPr>
                <w:rFonts w:cs="Arial"/>
                <w:b/>
                <w:bCs/>
                <w:color w:val="000000" w:themeColor="text1"/>
                <w:szCs w:val="14"/>
                <w:lang w:eastAsia="en-US"/>
              </w:rPr>
              <w:t>1,209,517</w:t>
            </w:r>
          </w:p>
        </w:tc>
      </w:tr>
    </w:tbl>
    <w:p w14:paraId="746903EB" w14:textId="77777777" w:rsidR="006A362F" w:rsidRDefault="006A362F" w:rsidP="0043117D">
      <w:pPr>
        <w:rPr>
          <w:lang w:eastAsia="pt-BR"/>
        </w:rPr>
      </w:pPr>
    </w:p>
    <w:p w14:paraId="7BC84AF9" w14:textId="77777777" w:rsidR="006A362F" w:rsidRPr="00BA4C93" w:rsidRDefault="006A362F" w:rsidP="00311D15">
      <w:pPr>
        <w:pStyle w:val="Ttulo1"/>
        <w:rPr>
          <w:b w:val="0"/>
          <w:bCs w:val="0"/>
        </w:rPr>
      </w:pPr>
      <w:bookmarkStart w:id="21" w:name="_Toc134823567"/>
      <w:r w:rsidRPr="00BA4C93">
        <w:t xml:space="preserve">Statement </w:t>
      </w:r>
      <w:r>
        <w:t>o</w:t>
      </w:r>
      <w:r w:rsidRPr="00BA4C93">
        <w:t>f Comprehensive Income</w:t>
      </w:r>
      <w:bookmarkEnd w:id="21"/>
    </w:p>
    <w:p w14:paraId="4DF1355B" w14:textId="77777777" w:rsidR="006A362F" w:rsidRPr="00D44604" w:rsidRDefault="006A362F" w:rsidP="001D4E06">
      <w:pPr>
        <w:spacing w:after="0" w:line="240" w:lineRule="auto"/>
        <w:jc w:val="right"/>
        <w:rPr>
          <w:rFonts w:cs="Arial"/>
          <w:b/>
          <w:sz w:val="14"/>
          <w:lang w:eastAsia="pt-BR"/>
        </w:rPr>
      </w:pPr>
      <w:r w:rsidRPr="00FC6C4B">
        <w:rPr>
          <w:rFonts w:cs="Arial"/>
          <w:b/>
          <w:sz w:val="14"/>
          <w:lang w:eastAsia="pt-BR"/>
        </w:rPr>
        <w:t>R$ thousand</w:t>
      </w:r>
    </w:p>
    <w:tbl>
      <w:tblPr>
        <w:tblW w:w="9854"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361"/>
        <w:gridCol w:w="1831"/>
        <w:gridCol w:w="1831"/>
        <w:gridCol w:w="1831"/>
      </w:tblGrid>
      <w:tr w:rsidR="006A362F" w:rsidRPr="00E00C9B" w14:paraId="5DC3F217"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3998CA7C" w14:textId="77777777" w:rsidR="006A362F" w:rsidRPr="00E00C9B" w:rsidRDefault="006A362F" w:rsidP="002803B5">
            <w:pPr>
              <w:pStyle w:val="08-Tabelageral"/>
              <w:jc w:val="left"/>
              <w:rPr>
                <w:rFonts w:cs="Arial"/>
                <w:b/>
                <w:bCs/>
                <w:szCs w:val="14"/>
              </w:rPr>
            </w:pPr>
          </w:p>
        </w:tc>
        <w:tc>
          <w:tcPr>
            <w:tcW w:w="5493" w:type="dxa"/>
            <w:gridSpan w:val="3"/>
            <w:tcBorders>
              <w:top w:val="single" w:sz="2" w:space="0" w:color="1F4E79" w:themeColor="accent1" w:themeShade="80"/>
            </w:tcBorders>
            <w:shd w:val="clear" w:color="auto" w:fill="auto"/>
            <w:vAlign w:val="center"/>
          </w:tcPr>
          <w:p w14:paraId="359CDC80" w14:textId="77777777" w:rsidR="006A362F" w:rsidRPr="00C80F9A" w:rsidRDefault="006A362F" w:rsidP="002803B5">
            <w:pPr>
              <w:pStyle w:val="08-Tabelageral"/>
              <w:jc w:val="center"/>
              <w:rPr>
                <w:rFonts w:cs="Arial"/>
                <w:b/>
                <w:bCs/>
                <w:szCs w:val="14"/>
              </w:rPr>
            </w:pPr>
            <w:r>
              <w:rPr>
                <w:rFonts w:cs="Arial"/>
                <w:b/>
                <w:bCs/>
                <w:szCs w:val="14"/>
              </w:rPr>
              <w:t>Parent</w:t>
            </w:r>
            <w:r w:rsidRPr="00C80F9A">
              <w:rPr>
                <w:rFonts w:cs="Arial"/>
                <w:b/>
                <w:bCs/>
                <w:szCs w:val="14"/>
              </w:rPr>
              <w:t xml:space="preserve"> </w:t>
            </w:r>
            <w:r>
              <w:rPr>
                <w:rFonts w:cs="Arial"/>
                <w:b/>
                <w:bCs/>
                <w:szCs w:val="14"/>
              </w:rPr>
              <w:t>and</w:t>
            </w:r>
            <w:r w:rsidRPr="00C80F9A">
              <w:rPr>
                <w:rFonts w:cs="Arial"/>
                <w:b/>
                <w:bCs/>
                <w:szCs w:val="14"/>
              </w:rPr>
              <w:t xml:space="preserve"> </w:t>
            </w:r>
            <w:r>
              <w:rPr>
                <w:rFonts w:cs="Arial"/>
                <w:b/>
                <w:bCs/>
                <w:szCs w:val="14"/>
              </w:rPr>
              <w:t>Consolidated</w:t>
            </w:r>
          </w:p>
        </w:tc>
      </w:tr>
      <w:tr w:rsidR="006A362F" w:rsidRPr="00E00C9B" w14:paraId="415B365B"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412B4328" w14:textId="77777777" w:rsidR="006A362F" w:rsidRPr="00E00C9B"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33BC3777" w14:textId="77777777" w:rsidR="006A362F" w:rsidRPr="00C80F9A" w:rsidRDefault="006A362F" w:rsidP="002803B5">
            <w:pPr>
              <w:pStyle w:val="08-Tabelageral"/>
              <w:rPr>
                <w:rFonts w:cs="Arial"/>
                <w:b/>
                <w:bCs/>
                <w:szCs w:val="14"/>
              </w:rPr>
            </w:pPr>
          </w:p>
        </w:tc>
        <w:tc>
          <w:tcPr>
            <w:tcW w:w="1831" w:type="dxa"/>
            <w:tcBorders>
              <w:top w:val="single" w:sz="2" w:space="0" w:color="1F4E79" w:themeColor="accent1" w:themeShade="80"/>
            </w:tcBorders>
          </w:tcPr>
          <w:p w14:paraId="56A89337" w14:textId="77777777" w:rsidR="006A362F" w:rsidRPr="00C80F9A" w:rsidRDefault="006A362F" w:rsidP="002803B5">
            <w:pPr>
              <w:pStyle w:val="08-Tabelageral"/>
              <w:rPr>
                <w:rFonts w:cs="Arial"/>
                <w:b/>
                <w:bCs/>
                <w:szCs w:val="14"/>
              </w:rPr>
            </w:pPr>
            <w:r w:rsidRPr="00345AB3">
              <w:rPr>
                <w:rFonts w:cs="Arial"/>
                <w:b/>
                <w:bCs/>
                <w:szCs w:val="14"/>
              </w:rPr>
              <w:t>1</w:t>
            </w:r>
            <w:r w:rsidRPr="00345AB3">
              <w:rPr>
                <w:rFonts w:cs="Arial"/>
                <w:b/>
                <w:bCs/>
                <w:szCs w:val="14"/>
                <w:vertAlign w:val="superscript"/>
              </w:rPr>
              <w:t xml:space="preserve">st </w:t>
            </w:r>
            <w:r>
              <w:rPr>
                <w:rFonts w:cs="Arial"/>
                <w:b/>
                <w:bCs/>
                <w:szCs w:val="14"/>
              </w:rPr>
              <w:t>Quarter</w:t>
            </w:r>
            <w:r w:rsidRPr="00345AB3">
              <w:rPr>
                <w:rFonts w:cs="Arial"/>
                <w:b/>
                <w:bCs/>
                <w:szCs w:val="14"/>
              </w:rPr>
              <w:t xml:space="preserve"> 2022</w:t>
            </w:r>
          </w:p>
        </w:tc>
        <w:tc>
          <w:tcPr>
            <w:tcW w:w="1831" w:type="dxa"/>
            <w:tcBorders>
              <w:top w:val="single" w:sz="2" w:space="0" w:color="1F4E79" w:themeColor="accent1" w:themeShade="80"/>
            </w:tcBorders>
          </w:tcPr>
          <w:p w14:paraId="1C248DA8" w14:textId="77777777" w:rsidR="006A362F" w:rsidRPr="00C80F9A" w:rsidRDefault="006A362F" w:rsidP="002803B5">
            <w:pPr>
              <w:pStyle w:val="08-Tabelageral"/>
              <w:rPr>
                <w:rFonts w:cs="Arial"/>
                <w:b/>
                <w:bCs/>
                <w:szCs w:val="14"/>
              </w:rPr>
            </w:pPr>
          </w:p>
        </w:tc>
      </w:tr>
      <w:tr w:rsidR="006A362F" w:rsidRPr="00E00C9B" w14:paraId="7F94A955" w14:textId="77777777" w:rsidTr="002803B5">
        <w:trPr>
          <w:trHeight w:val="238"/>
          <w:jc w:val="center"/>
        </w:trPr>
        <w:tc>
          <w:tcPr>
            <w:tcW w:w="4361" w:type="dxa"/>
            <w:tcBorders>
              <w:top w:val="single" w:sz="2" w:space="0" w:color="1F4E79" w:themeColor="accent1" w:themeShade="80"/>
            </w:tcBorders>
            <w:shd w:val="clear" w:color="auto" w:fill="auto"/>
            <w:vAlign w:val="center"/>
          </w:tcPr>
          <w:p w14:paraId="6341101B" w14:textId="77777777" w:rsidR="006A362F" w:rsidRPr="00E00C9B" w:rsidRDefault="006A362F" w:rsidP="002803B5">
            <w:pPr>
              <w:pStyle w:val="08-Tabelageral"/>
              <w:jc w:val="left"/>
              <w:rPr>
                <w:rFonts w:cs="Arial"/>
                <w:b/>
                <w:bCs/>
                <w:szCs w:val="14"/>
              </w:rPr>
            </w:pPr>
          </w:p>
        </w:tc>
        <w:tc>
          <w:tcPr>
            <w:tcW w:w="1831" w:type="dxa"/>
            <w:tcBorders>
              <w:top w:val="single" w:sz="2" w:space="0" w:color="1F4E79" w:themeColor="accent1" w:themeShade="80"/>
            </w:tcBorders>
            <w:shd w:val="clear" w:color="auto" w:fill="auto"/>
            <w:vAlign w:val="center"/>
          </w:tcPr>
          <w:p w14:paraId="5213CDD9" w14:textId="77777777" w:rsidR="006A362F" w:rsidRPr="00C80F9A" w:rsidRDefault="006A362F" w:rsidP="002803B5">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tcBorders>
          </w:tcPr>
          <w:p w14:paraId="5CCCE934" w14:textId="77777777" w:rsidR="006A362F" w:rsidRPr="00C80F9A" w:rsidRDefault="006A362F" w:rsidP="002803B5">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tcBorders>
          </w:tcPr>
          <w:p w14:paraId="3C1B54E5" w14:textId="77777777" w:rsidR="006A362F" w:rsidRPr="00C80F9A" w:rsidRDefault="006A362F" w:rsidP="002803B5">
            <w:pPr>
              <w:pStyle w:val="08-Tabelageral"/>
              <w:rPr>
                <w:rFonts w:cs="Arial"/>
                <w:b/>
                <w:bCs/>
                <w:szCs w:val="14"/>
              </w:rPr>
            </w:pPr>
            <w:r>
              <w:rPr>
                <w:rFonts w:cs="Arial"/>
                <w:b/>
                <w:bCs/>
                <w:szCs w:val="14"/>
              </w:rPr>
              <w:t>Restated balances</w:t>
            </w:r>
          </w:p>
        </w:tc>
      </w:tr>
      <w:tr w:rsidR="006A362F" w:rsidRPr="00A03B7C" w14:paraId="3238A2EE" w14:textId="77777777" w:rsidTr="004A53AE">
        <w:trPr>
          <w:trHeight w:val="238"/>
          <w:jc w:val="center"/>
        </w:trPr>
        <w:tc>
          <w:tcPr>
            <w:tcW w:w="4361" w:type="dxa"/>
            <w:tcBorders>
              <w:top w:val="single" w:sz="2" w:space="0" w:color="1F4E79" w:themeColor="accent1" w:themeShade="80"/>
            </w:tcBorders>
            <w:shd w:val="clear" w:color="auto" w:fill="auto"/>
            <w:vAlign w:val="center"/>
          </w:tcPr>
          <w:p w14:paraId="05312169" w14:textId="77777777" w:rsidR="006A362F" w:rsidRPr="00A03B7C" w:rsidRDefault="006A362F" w:rsidP="004A53AE">
            <w:pPr>
              <w:pStyle w:val="08-Tabelageral"/>
              <w:jc w:val="left"/>
              <w:rPr>
                <w:rFonts w:cs="Arial"/>
                <w:b/>
                <w:bCs/>
                <w:szCs w:val="14"/>
                <w:highlight w:val="yellow"/>
              </w:rPr>
            </w:pPr>
            <w:r w:rsidRPr="00345AB3">
              <w:rPr>
                <w:rFonts w:cs="Arial"/>
                <w:b/>
                <w:bCs/>
                <w:szCs w:val="14"/>
              </w:rPr>
              <w:t>Net Income</w:t>
            </w:r>
          </w:p>
        </w:tc>
        <w:tc>
          <w:tcPr>
            <w:tcW w:w="1831" w:type="dxa"/>
            <w:tcBorders>
              <w:top w:val="single" w:sz="2" w:space="0" w:color="1F4E79" w:themeColor="accent1" w:themeShade="80"/>
            </w:tcBorders>
            <w:shd w:val="clear" w:color="auto" w:fill="auto"/>
            <w:vAlign w:val="center"/>
          </w:tcPr>
          <w:p w14:paraId="48DB729D" w14:textId="77777777" w:rsidR="006A362F" w:rsidRPr="00A03B7C" w:rsidRDefault="006A362F" w:rsidP="004A53AE">
            <w:pPr>
              <w:pStyle w:val="08-Tabelageral"/>
              <w:rPr>
                <w:rFonts w:cs="Arial"/>
                <w:b/>
                <w:bCs/>
                <w:szCs w:val="14"/>
                <w:highlight w:val="yellow"/>
              </w:rPr>
            </w:pPr>
            <w:r>
              <w:rPr>
                <w:rFonts w:cs="Arial"/>
                <w:b/>
                <w:bCs/>
                <w:color w:val="000000"/>
                <w:szCs w:val="14"/>
                <w:lang w:eastAsia="en-US"/>
              </w:rPr>
              <w:t>1,179,431</w:t>
            </w:r>
          </w:p>
        </w:tc>
        <w:tc>
          <w:tcPr>
            <w:tcW w:w="1831" w:type="dxa"/>
            <w:tcBorders>
              <w:top w:val="single" w:sz="2" w:space="0" w:color="1F4E79" w:themeColor="accent1" w:themeShade="80"/>
            </w:tcBorders>
            <w:vAlign w:val="center"/>
          </w:tcPr>
          <w:p w14:paraId="25C8D717" w14:textId="77777777" w:rsidR="006A362F" w:rsidRPr="00A03B7C" w:rsidRDefault="006A362F" w:rsidP="004A53AE">
            <w:pPr>
              <w:pStyle w:val="08-Tabelageral"/>
              <w:rPr>
                <w:rFonts w:cs="Arial"/>
                <w:b/>
                <w:bCs/>
                <w:szCs w:val="14"/>
                <w:highlight w:val="yellow"/>
              </w:rPr>
            </w:pPr>
            <w:r>
              <w:rPr>
                <w:b/>
                <w:bCs/>
                <w:lang w:eastAsia="en-US"/>
              </w:rPr>
              <w:t xml:space="preserve"> 30,086 </w:t>
            </w:r>
          </w:p>
        </w:tc>
        <w:tc>
          <w:tcPr>
            <w:tcW w:w="1831" w:type="dxa"/>
            <w:tcBorders>
              <w:top w:val="single" w:sz="2" w:space="0" w:color="1F4E79" w:themeColor="accent1" w:themeShade="80"/>
            </w:tcBorders>
            <w:vAlign w:val="center"/>
          </w:tcPr>
          <w:p w14:paraId="24F04FF8" w14:textId="77777777" w:rsidR="006A362F" w:rsidRPr="00A03B7C" w:rsidRDefault="006A362F" w:rsidP="004A53AE">
            <w:pPr>
              <w:pStyle w:val="08-Tabelageral"/>
              <w:rPr>
                <w:rFonts w:cs="Arial"/>
                <w:b/>
                <w:bCs/>
                <w:szCs w:val="14"/>
                <w:highlight w:val="yellow"/>
              </w:rPr>
            </w:pPr>
            <w:r>
              <w:rPr>
                <w:b/>
                <w:bCs/>
                <w:lang w:eastAsia="en-US"/>
              </w:rPr>
              <w:t xml:space="preserve"> 1,209,517 </w:t>
            </w:r>
          </w:p>
        </w:tc>
      </w:tr>
      <w:tr w:rsidR="006A362F" w:rsidRPr="00A03B7C" w14:paraId="04FF0C40" w14:textId="77777777" w:rsidTr="004A53AE">
        <w:trPr>
          <w:trHeight w:val="238"/>
          <w:jc w:val="center"/>
        </w:trPr>
        <w:tc>
          <w:tcPr>
            <w:tcW w:w="4361" w:type="dxa"/>
            <w:shd w:val="clear" w:color="auto" w:fill="auto"/>
            <w:vAlign w:val="center"/>
          </w:tcPr>
          <w:p w14:paraId="41CF4307" w14:textId="77777777" w:rsidR="006A362F" w:rsidRPr="00311D15" w:rsidRDefault="006A362F" w:rsidP="004A53AE">
            <w:pPr>
              <w:pStyle w:val="08-Tabelageral"/>
              <w:ind w:left="113"/>
              <w:jc w:val="left"/>
              <w:rPr>
                <w:rFonts w:cs="Arial"/>
                <w:b/>
                <w:bCs/>
                <w:szCs w:val="14"/>
                <w:highlight w:val="yellow"/>
                <w:lang w:val="en-US"/>
              </w:rPr>
            </w:pPr>
            <w:r>
              <w:rPr>
                <w:rStyle w:val="rynqvb"/>
                <w:lang w:val="en"/>
              </w:rPr>
              <w:t>Participation in the comprehensive income of investments in equity interests</w:t>
            </w:r>
          </w:p>
        </w:tc>
        <w:tc>
          <w:tcPr>
            <w:tcW w:w="1831" w:type="dxa"/>
            <w:shd w:val="clear" w:color="auto" w:fill="auto"/>
            <w:vAlign w:val="center"/>
          </w:tcPr>
          <w:p w14:paraId="474B30B8" w14:textId="77777777" w:rsidR="006A362F" w:rsidRPr="00A03B7C" w:rsidRDefault="006A362F" w:rsidP="004A53AE">
            <w:pPr>
              <w:pStyle w:val="08-Tabelageral"/>
              <w:rPr>
                <w:rFonts w:cs="Arial"/>
                <w:b/>
                <w:bCs/>
                <w:szCs w:val="14"/>
                <w:highlight w:val="yellow"/>
              </w:rPr>
            </w:pPr>
            <w:r>
              <w:rPr>
                <w:rFonts w:cs="Arial"/>
                <w:color w:val="000000"/>
                <w:szCs w:val="14"/>
                <w:lang w:eastAsia="en-US"/>
              </w:rPr>
              <w:t>(15,832)</w:t>
            </w:r>
          </w:p>
        </w:tc>
        <w:tc>
          <w:tcPr>
            <w:tcW w:w="1831" w:type="dxa"/>
            <w:vAlign w:val="center"/>
          </w:tcPr>
          <w:p w14:paraId="2A98E022" w14:textId="77777777" w:rsidR="006A362F" w:rsidRPr="00A03B7C" w:rsidRDefault="006A362F" w:rsidP="004A53AE">
            <w:pPr>
              <w:pStyle w:val="08-Tabelageral"/>
              <w:rPr>
                <w:rFonts w:cs="Arial"/>
                <w:b/>
                <w:bCs/>
                <w:szCs w:val="14"/>
                <w:highlight w:val="yellow"/>
              </w:rPr>
            </w:pPr>
            <w:r>
              <w:rPr>
                <w:lang w:eastAsia="en-US"/>
              </w:rPr>
              <w:t xml:space="preserve">(6,100) </w:t>
            </w:r>
          </w:p>
        </w:tc>
        <w:tc>
          <w:tcPr>
            <w:tcW w:w="1831" w:type="dxa"/>
            <w:vAlign w:val="center"/>
          </w:tcPr>
          <w:p w14:paraId="45DB314C" w14:textId="77777777" w:rsidR="006A362F" w:rsidRPr="00A03B7C" w:rsidRDefault="006A362F" w:rsidP="004A53AE">
            <w:pPr>
              <w:pStyle w:val="08-Tabelageral"/>
              <w:rPr>
                <w:rFonts w:cs="Arial"/>
                <w:b/>
                <w:bCs/>
                <w:szCs w:val="14"/>
                <w:highlight w:val="yellow"/>
              </w:rPr>
            </w:pPr>
            <w:r>
              <w:rPr>
                <w:lang w:eastAsia="en-US"/>
              </w:rPr>
              <w:t xml:space="preserve">(21,932) </w:t>
            </w:r>
          </w:p>
        </w:tc>
      </w:tr>
      <w:tr w:rsidR="006A362F" w:rsidRPr="00A579B7" w14:paraId="5FE55B4C" w14:textId="77777777" w:rsidTr="004A53AE">
        <w:trPr>
          <w:trHeight w:val="238"/>
          <w:jc w:val="center"/>
        </w:trPr>
        <w:tc>
          <w:tcPr>
            <w:tcW w:w="4361" w:type="dxa"/>
            <w:shd w:val="clear" w:color="auto" w:fill="auto"/>
            <w:vAlign w:val="center"/>
          </w:tcPr>
          <w:p w14:paraId="4785AC58" w14:textId="77777777" w:rsidR="006A362F" w:rsidRPr="00311D15" w:rsidRDefault="006A362F" w:rsidP="004A53AE">
            <w:pPr>
              <w:pStyle w:val="08-Tabelageral"/>
              <w:ind w:left="113"/>
              <w:jc w:val="left"/>
              <w:rPr>
                <w:rFonts w:cs="Arial"/>
                <w:b/>
                <w:bCs/>
                <w:szCs w:val="14"/>
                <w:lang w:val="en-US"/>
              </w:rPr>
            </w:pPr>
            <w:r w:rsidRPr="00311D15">
              <w:rPr>
                <w:rFonts w:cs="Arial"/>
                <w:szCs w:val="14"/>
                <w:lang w:val="en-US"/>
              </w:rPr>
              <w:t>Gains/(losses) on financial assets</w:t>
            </w:r>
          </w:p>
        </w:tc>
        <w:tc>
          <w:tcPr>
            <w:tcW w:w="1831" w:type="dxa"/>
            <w:shd w:val="clear" w:color="auto" w:fill="auto"/>
            <w:vAlign w:val="center"/>
          </w:tcPr>
          <w:p w14:paraId="6E31958A" w14:textId="77777777" w:rsidR="006A362F" w:rsidRPr="0068399F" w:rsidRDefault="006A362F" w:rsidP="004A53AE">
            <w:pPr>
              <w:pStyle w:val="08-Tabelageral"/>
              <w:rPr>
                <w:rFonts w:cs="Arial"/>
                <w:b/>
                <w:bCs/>
                <w:szCs w:val="14"/>
                <w:highlight w:val="yellow"/>
              </w:rPr>
            </w:pPr>
            <w:r>
              <w:rPr>
                <w:rFonts w:cs="Arial"/>
                <w:color w:val="000000"/>
                <w:szCs w:val="14"/>
                <w:lang w:eastAsia="en-US"/>
              </w:rPr>
              <w:t>(26,386)</w:t>
            </w:r>
          </w:p>
        </w:tc>
        <w:tc>
          <w:tcPr>
            <w:tcW w:w="1831" w:type="dxa"/>
            <w:vAlign w:val="center"/>
          </w:tcPr>
          <w:p w14:paraId="7F42CCB6" w14:textId="77777777" w:rsidR="006A362F" w:rsidRPr="0068399F" w:rsidRDefault="006A362F" w:rsidP="004A53AE">
            <w:pPr>
              <w:pStyle w:val="08-Tabelageral"/>
              <w:rPr>
                <w:rFonts w:cs="Arial"/>
                <w:b/>
                <w:bCs/>
                <w:szCs w:val="14"/>
                <w:highlight w:val="yellow"/>
              </w:rPr>
            </w:pPr>
            <w:r>
              <w:rPr>
                <w:lang w:eastAsia="en-US"/>
              </w:rPr>
              <w:t xml:space="preserve"> --   </w:t>
            </w:r>
          </w:p>
        </w:tc>
        <w:tc>
          <w:tcPr>
            <w:tcW w:w="1831" w:type="dxa"/>
            <w:vAlign w:val="center"/>
          </w:tcPr>
          <w:p w14:paraId="40B44C71" w14:textId="77777777" w:rsidR="006A362F" w:rsidRPr="0068399F" w:rsidRDefault="006A362F" w:rsidP="004A53AE">
            <w:pPr>
              <w:pStyle w:val="08-Tabelageral"/>
              <w:rPr>
                <w:rFonts w:cs="Arial"/>
                <w:b/>
                <w:bCs/>
                <w:szCs w:val="14"/>
                <w:highlight w:val="yellow"/>
              </w:rPr>
            </w:pPr>
            <w:r>
              <w:rPr>
                <w:lang w:eastAsia="en-US"/>
              </w:rPr>
              <w:t xml:space="preserve">(26,386) </w:t>
            </w:r>
          </w:p>
        </w:tc>
      </w:tr>
      <w:tr w:rsidR="006A362F" w:rsidRPr="00A03B7C" w14:paraId="4CEEC1F3" w14:textId="77777777" w:rsidTr="004A53AE">
        <w:trPr>
          <w:trHeight w:val="238"/>
          <w:jc w:val="center"/>
        </w:trPr>
        <w:tc>
          <w:tcPr>
            <w:tcW w:w="4361" w:type="dxa"/>
            <w:shd w:val="clear" w:color="auto" w:fill="auto"/>
            <w:vAlign w:val="center"/>
          </w:tcPr>
          <w:p w14:paraId="7CEC610D" w14:textId="77777777" w:rsidR="006A362F" w:rsidRPr="00A03B7C" w:rsidRDefault="006A362F" w:rsidP="004A53AE">
            <w:pPr>
              <w:pStyle w:val="08-Tabelageral"/>
              <w:ind w:left="113"/>
              <w:jc w:val="left"/>
              <w:rPr>
                <w:rFonts w:cs="Arial"/>
                <w:szCs w:val="14"/>
                <w:highlight w:val="yellow"/>
              </w:rPr>
            </w:pPr>
            <w:r w:rsidRPr="00311D15">
              <w:rPr>
                <w:rFonts w:cs="Arial"/>
                <w:szCs w:val="14"/>
              </w:rPr>
              <w:t>Other comprehensive results</w:t>
            </w:r>
          </w:p>
        </w:tc>
        <w:tc>
          <w:tcPr>
            <w:tcW w:w="1831" w:type="dxa"/>
            <w:shd w:val="clear" w:color="auto" w:fill="auto"/>
            <w:vAlign w:val="center"/>
          </w:tcPr>
          <w:p w14:paraId="135425E3" w14:textId="77777777" w:rsidR="006A362F" w:rsidRPr="00A03B7C" w:rsidRDefault="006A362F" w:rsidP="004A53AE">
            <w:pPr>
              <w:pStyle w:val="08-Tabelageral"/>
              <w:rPr>
                <w:rFonts w:cs="Arial"/>
                <w:szCs w:val="14"/>
                <w:highlight w:val="yellow"/>
              </w:rPr>
            </w:pPr>
            <w:r>
              <w:rPr>
                <w:rFonts w:cs="Arial"/>
                <w:color w:val="000000"/>
                <w:szCs w:val="14"/>
                <w:lang w:eastAsia="en-US"/>
              </w:rPr>
              <w:t>--</w:t>
            </w:r>
          </w:p>
        </w:tc>
        <w:tc>
          <w:tcPr>
            <w:tcW w:w="1831" w:type="dxa"/>
            <w:vAlign w:val="center"/>
          </w:tcPr>
          <w:p w14:paraId="1E3E3A2D" w14:textId="77777777" w:rsidR="006A362F" w:rsidRPr="00A03B7C" w:rsidRDefault="006A362F" w:rsidP="004A53AE">
            <w:pPr>
              <w:pStyle w:val="08-Tabelageral"/>
              <w:rPr>
                <w:rFonts w:cs="Arial"/>
                <w:szCs w:val="14"/>
                <w:highlight w:val="yellow"/>
              </w:rPr>
            </w:pPr>
            <w:r>
              <w:rPr>
                <w:lang w:eastAsia="en-US"/>
              </w:rPr>
              <w:t xml:space="preserve">(10,167) </w:t>
            </w:r>
          </w:p>
        </w:tc>
        <w:tc>
          <w:tcPr>
            <w:tcW w:w="1831" w:type="dxa"/>
            <w:vAlign w:val="center"/>
          </w:tcPr>
          <w:p w14:paraId="544A997A" w14:textId="77777777" w:rsidR="006A362F" w:rsidRPr="00A03B7C" w:rsidRDefault="006A362F" w:rsidP="004A53AE">
            <w:pPr>
              <w:pStyle w:val="08-Tabelageral"/>
              <w:rPr>
                <w:rFonts w:cs="Arial"/>
                <w:szCs w:val="14"/>
                <w:highlight w:val="yellow"/>
              </w:rPr>
            </w:pPr>
            <w:r>
              <w:rPr>
                <w:lang w:eastAsia="en-US"/>
              </w:rPr>
              <w:t xml:space="preserve">(10,167) </w:t>
            </w:r>
          </w:p>
        </w:tc>
      </w:tr>
      <w:tr w:rsidR="006A362F" w:rsidRPr="00A03B7C" w14:paraId="738A8E3F" w14:textId="77777777" w:rsidTr="004A53AE">
        <w:trPr>
          <w:trHeight w:val="238"/>
          <w:jc w:val="center"/>
        </w:trPr>
        <w:tc>
          <w:tcPr>
            <w:tcW w:w="4361" w:type="dxa"/>
            <w:shd w:val="clear" w:color="auto" w:fill="auto"/>
            <w:vAlign w:val="center"/>
          </w:tcPr>
          <w:p w14:paraId="7E935EF1" w14:textId="77777777" w:rsidR="006A362F" w:rsidRPr="00345AB3" w:rsidRDefault="006A362F" w:rsidP="004A53AE">
            <w:pPr>
              <w:pStyle w:val="08-Tabelageral"/>
              <w:ind w:left="113"/>
              <w:jc w:val="left"/>
              <w:rPr>
                <w:rFonts w:cs="Arial"/>
                <w:b/>
                <w:bCs/>
                <w:szCs w:val="14"/>
                <w:highlight w:val="yellow"/>
              </w:rPr>
            </w:pPr>
            <w:r w:rsidRPr="00345AB3">
              <w:rPr>
                <w:rFonts w:cs="Arial"/>
                <w:b/>
                <w:bCs/>
                <w:szCs w:val="14"/>
              </w:rPr>
              <w:t>Tax effect</w:t>
            </w:r>
          </w:p>
        </w:tc>
        <w:tc>
          <w:tcPr>
            <w:tcW w:w="1831" w:type="dxa"/>
            <w:shd w:val="clear" w:color="auto" w:fill="auto"/>
            <w:vAlign w:val="center"/>
          </w:tcPr>
          <w:p w14:paraId="76AE3151" w14:textId="77777777" w:rsidR="006A362F" w:rsidRPr="00A03B7C" w:rsidRDefault="006A362F" w:rsidP="004A53AE">
            <w:pPr>
              <w:pStyle w:val="08-Tabelageral"/>
              <w:rPr>
                <w:rFonts w:cs="Arial"/>
                <w:szCs w:val="14"/>
                <w:highlight w:val="yellow"/>
              </w:rPr>
            </w:pPr>
            <w:r>
              <w:rPr>
                <w:rFonts w:cs="Arial"/>
                <w:color w:val="000000"/>
                <w:szCs w:val="14"/>
                <w:lang w:eastAsia="en-US"/>
              </w:rPr>
              <w:t>--</w:t>
            </w:r>
          </w:p>
        </w:tc>
        <w:tc>
          <w:tcPr>
            <w:tcW w:w="1831" w:type="dxa"/>
            <w:vAlign w:val="center"/>
          </w:tcPr>
          <w:p w14:paraId="13A6F4AD" w14:textId="77777777" w:rsidR="006A362F" w:rsidRPr="00A03B7C" w:rsidRDefault="006A362F" w:rsidP="004A53AE">
            <w:pPr>
              <w:pStyle w:val="08-Tabelageral"/>
              <w:rPr>
                <w:rFonts w:cs="Arial"/>
                <w:szCs w:val="14"/>
                <w:highlight w:val="yellow"/>
              </w:rPr>
            </w:pPr>
            <w:r>
              <w:rPr>
                <w:lang w:eastAsia="en-US"/>
              </w:rPr>
              <w:t xml:space="preserve"> 14,621 </w:t>
            </w:r>
          </w:p>
        </w:tc>
        <w:tc>
          <w:tcPr>
            <w:tcW w:w="1831" w:type="dxa"/>
            <w:vAlign w:val="center"/>
          </w:tcPr>
          <w:p w14:paraId="07055B41" w14:textId="77777777" w:rsidR="006A362F" w:rsidRPr="00A03B7C" w:rsidRDefault="006A362F" w:rsidP="004A53AE">
            <w:pPr>
              <w:pStyle w:val="08-Tabelageral"/>
              <w:rPr>
                <w:rFonts w:cs="Arial"/>
                <w:szCs w:val="14"/>
                <w:highlight w:val="yellow"/>
              </w:rPr>
            </w:pPr>
            <w:r>
              <w:rPr>
                <w:lang w:eastAsia="en-US"/>
              </w:rPr>
              <w:t xml:space="preserve"> 14,621 </w:t>
            </w:r>
          </w:p>
        </w:tc>
      </w:tr>
      <w:tr w:rsidR="006A362F" w:rsidRPr="00A03B7C" w14:paraId="681323D1" w14:textId="77777777" w:rsidTr="004A53AE">
        <w:trPr>
          <w:trHeight w:val="238"/>
          <w:jc w:val="center"/>
        </w:trPr>
        <w:tc>
          <w:tcPr>
            <w:tcW w:w="4361" w:type="dxa"/>
            <w:shd w:val="clear" w:color="auto" w:fill="auto"/>
            <w:vAlign w:val="center"/>
          </w:tcPr>
          <w:p w14:paraId="25800B96" w14:textId="77777777" w:rsidR="006A362F" w:rsidRPr="00345AB3" w:rsidRDefault="006A362F" w:rsidP="004A53AE">
            <w:pPr>
              <w:pStyle w:val="08-Tabelageral"/>
              <w:jc w:val="left"/>
              <w:rPr>
                <w:rFonts w:cs="Arial"/>
                <w:b/>
                <w:bCs/>
                <w:szCs w:val="14"/>
                <w:highlight w:val="yellow"/>
              </w:rPr>
            </w:pPr>
            <w:r w:rsidRPr="00345AB3">
              <w:rPr>
                <w:rFonts w:cs="Arial"/>
                <w:b/>
                <w:bCs/>
                <w:szCs w:val="14"/>
              </w:rPr>
              <w:t>Total Comprehensive Income</w:t>
            </w:r>
          </w:p>
        </w:tc>
        <w:tc>
          <w:tcPr>
            <w:tcW w:w="1831" w:type="dxa"/>
            <w:shd w:val="clear" w:color="auto" w:fill="auto"/>
            <w:vAlign w:val="center"/>
          </w:tcPr>
          <w:p w14:paraId="3C494758" w14:textId="77777777" w:rsidR="006A362F" w:rsidRPr="00A03B7C" w:rsidRDefault="006A362F" w:rsidP="004A53AE">
            <w:pPr>
              <w:pStyle w:val="08-Tabelageral"/>
              <w:rPr>
                <w:rFonts w:cs="Arial"/>
                <w:b/>
                <w:bCs/>
                <w:szCs w:val="14"/>
                <w:highlight w:val="yellow"/>
              </w:rPr>
            </w:pPr>
            <w:r>
              <w:rPr>
                <w:rFonts w:cs="Arial"/>
                <w:b/>
                <w:bCs/>
                <w:color w:val="000000"/>
                <w:szCs w:val="14"/>
                <w:lang w:eastAsia="en-US"/>
              </w:rPr>
              <w:t>1,163,599</w:t>
            </w:r>
          </w:p>
        </w:tc>
        <w:tc>
          <w:tcPr>
            <w:tcW w:w="1831" w:type="dxa"/>
            <w:vAlign w:val="center"/>
          </w:tcPr>
          <w:p w14:paraId="6242CA3E" w14:textId="77777777" w:rsidR="006A362F" w:rsidRPr="00A03B7C" w:rsidRDefault="006A362F" w:rsidP="004A53AE">
            <w:pPr>
              <w:pStyle w:val="08-Tabelageral"/>
              <w:rPr>
                <w:rFonts w:cs="Arial"/>
                <w:b/>
                <w:bCs/>
                <w:szCs w:val="14"/>
                <w:highlight w:val="yellow"/>
              </w:rPr>
            </w:pPr>
            <w:r>
              <w:rPr>
                <w:b/>
                <w:bCs/>
                <w:lang w:eastAsia="en-US"/>
              </w:rPr>
              <w:t xml:space="preserve"> 23,986 </w:t>
            </w:r>
          </w:p>
        </w:tc>
        <w:tc>
          <w:tcPr>
            <w:tcW w:w="1831" w:type="dxa"/>
            <w:vAlign w:val="center"/>
          </w:tcPr>
          <w:p w14:paraId="37558D1B" w14:textId="77777777" w:rsidR="006A362F" w:rsidRPr="00A03B7C" w:rsidRDefault="006A362F" w:rsidP="004A53AE">
            <w:pPr>
              <w:pStyle w:val="08-Tabelageral"/>
              <w:rPr>
                <w:rFonts w:cs="Arial"/>
                <w:b/>
                <w:bCs/>
                <w:szCs w:val="14"/>
                <w:highlight w:val="yellow"/>
              </w:rPr>
            </w:pPr>
            <w:r>
              <w:rPr>
                <w:b/>
                <w:bCs/>
                <w:lang w:eastAsia="en-US"/>
              </w:rPr>
              <w:t xml:space="preserve"> 1,187,585 </w:t>
            </w:r>
          </w:p>
        </w:tc>
      </w:tr>
    </w:tbl>
    <w:p w14:paraId="4151EF0E" w14:textId="77777777" w:rsidR="006A362F" w:rsidRDefault="006A362F" w:rsidP="0043117D">
      <w:pPr>
        <w:pStyle w:val="03-SubttulodeNota"/>
        <w:rPr>
          <w:bCs/>
          <w:color w:val="1F4E79" w:themeColor="accent1" w:themeShade="80"/>
        </w:rPr>
      </w:pPr>
      <w:r>
        <w:rPr>
          <w:bCs/>
          <w:color w:val="1F4E79" w:themeColor="accent1" w:themeShade="80"/>
        </w:rPr>
        <w:br w:type="page"/>
      </w:r>
    </w:p>
    <w:p w14:paraId="7F4CB5A9" w14:textId="77777777" w:rsidR="006A362F" w:rsidRDefault="006A362F" w:rsidP="0043117D">
      <w:pPr>
        <w:pStyle w:val="03-SubttulodeNota"/>
        <w:keepNext/>
        <w:rPr>
          <w:color w:val="1F4E79" w:themeColor="accent1" w:themeShade="80"/>
        </w:rPr>
      </w:pPr>
      <w:r w:rsidRPr="00311D15">
        <w:rPr>
          <w:color w:val="1F4E79" w:themeColor="accent1" w:themeShade="80"/>
        </w:rPr>
        <w:lastRenderedPageBreak/>
        <w:t xml:space="preserve">Statement </w:t>
      </w:r>
      <w:r>
        <w:rPr>
          <w:color w:val="1F4E79" w:themeColor="accent1" w:themeShade="80"/>
        </w:rPr>
        <w:t>o</w:t>
      </w:r>
      <w:r w:rsidRPr="00311D15">
        <w:rPr>
          <w:color w:val="1F4E79" w:themeColor="accent1" w:themeShade="80"/>
        </w:rPr>
        <w:t>f Cash Flows</w:t>
      </w:r>
    </w:p>
    <w:p w14:paraId="3CE222D5" w14:textId="77777777" w:rsidR="006A362F" w:rsidRPr="00D44604" w:rsidRDefault="006A362F" w:rsidP="001D4E06">
      <w:pPr>
        <w:spacing w:after="0" w:line="240" w:lineRule="auto"/>
        <w:jc w:val="right"/>
        <w:rPr>
          <w:rFonts w:cs="Arial"/>
          <w:b/>
          <w:sz w:val="14"/>
          <w:lang w:eastAsia="pt-BR"/>
        </w:rPr>
      </w:pPr>
      <w:r w:rsidRPr="00FC6C4B">
        <w:rPr>
          <w:rFonts w:cs="Arial"/>
          <w:b/>
          <w:sz w:val="14"/>
          <w:lang w:eastAsia="pt-BR"/>
        </w:rPr>
        <w:t>R$ thousand</w:t>
      </w:r>
    </w:p>
    <w:tbl>
      <w:tblPr>
        <w:tblW w:w="9854" w:type="dxa"/>
        <w:tblLook w:val="04A0" w:firstRow="1" w:lastRow="0" w:firstColumn="1" w:lastColumn="0" w:noHBand="0" w:noVBand="1"/>
      </w:tblPr>
      <w:tblGrid>
        <w:gridCol w:w="4644"/>
        <w:gridCol w:w="1548"/>
        <w:gridCol w:w="1831"/>
        <w:gridCol w:w="1831"/>
      </w:tblGrid>
      <w:tr w:rsidR="006A362F" w:rsidRPr="00E00C9B" w14:paraId="2DB41B02" w14:textId="77777777" w:rsidTr="002803B5">
        <w:trPr>
          <w:trHeight w:val="238"/>
        </w:trPr>
        <w:tc>
          <w:tcPr>
            <w:tcW w:w="4644" w:type="dxa"/>
            <w:tcBorders>
              <w:top w:val="single" w:sz="2" w:space="0" w:color="1F4E79" w:themeColor="accent1" w:themeShade="80"/>
              <w:bottom w:val="single" w:sz="2" w:space="0" w:color="1F4E79" w:themeColor="accent1" w:themeShade="80"/>
            </w:tcBorders>
          </w:tcPr>
          <w:p w14:paraId="4A5F2AC2" w14:textId="77777777" w:rsidR="006A362F" w:rsidRPr="00E00C9B" w:rsidRDefault="006A362F" w:rsidP="002803B5">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3FF8251A" w14:textId="77777777" w:rsidR="006A362F" w:rsidRPr="00C80F9A" w:rsidRDefault="006A362F" w:rsidP="002803B5">
            <w:pPr>
              <w:pStyle w:val="08-Tabelageral"/>
              <w:jc w:val="center"/>
              <w:rPr>
                <w:rFonts w:cs="Arial"/>
                <w:b/>
                <w:bCs/>
                <w:szCs w:val="14"/>
              </w:rPr>
            </w:pPr>
            <w:r>
              <w:rPr>
                <w:rFonts w:cs="Arial"/>
                <w:b/>
                <w:bCs/>
                <w:szCs w:val="14"/>
              </w:rPr>
              <w:t>Parent</w:t>
            </w:r>
          </w:p>
        </w:tc>
      </w:tr>
      <w:tr w:rsidR="006A362F" w:rsidRPr="00E00C9B" w14:paraId="7814750C" w14:textId="77777777" w:rsidTr="002803B5">
        <w:trPr>
          <w:trHeight w:val="238"/>
        </w:trPr>
        <w:tc>
          <w:tcPr>
            <w:tcW w:w="4644" w:type="dxa"/>
            <w:tcBorders>
              <w:top w:val="single" w:sz="2" w:space="0" w:color="1F4E79" w:themeColor="accent1" w:themeShade="80"/>
              <w:bottom w:val="single" w:sz="2" w:space="0" w:color="1F4E79" w:themeColor="accent1" w:themeShade="80"/>
            </w:tcBorders>
          </w:tcPr>
          <w:p w14:paraId="717CD6EB" w14:textId="77777777" w:rsidR="006A362F" w:rsidRPr="00E00C9B" w:rsidRDefault="006A362F" w:rsidP="002803B5">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5D4DE23E" w14:textId="77777777" w:rsidR="006A362F" w:rsidRPr="00C80F9A" w:rsidRDefault="006A362F" w:rsidP="002803B5">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0FED3B85" w14:textId="77777777" w:rsidR="006A362F" w:rsidRPr="00C80F9A" w:rsidRDefault="006A362F" w:rsidP="002803B5">
            <w:pPr>
              <w:pStyle w:val="08-Tabelageral"/>
              <w:rPr>
                <w:rFonts w:cs="Arial"/>
                <w:b/>
                <w:bCs/>
                <w:szCs w:val="14"/>
              </w:rPr>
            </w:pPr>
            <w:r w:rsidRPr="00345AB3">
              <w:rPr>
                <w:rFonts w:cs="Arial"/>
                <w:b/>
                <w:bCs/>
                <w:szCs w:val="14"/>
              </w:rPr>
              <w:t>1</w:t>
            </w:r>
            <w:r w:rsidRPr="00345AB3">
              <w:rPr>
                <w:rFonts w:cs="Arial"/>
                <w:b/>
                <w:bCs/>
                <w:szCs w:val="14"/>
                <w:vertAlign w:val="superscript"/>
              </w:rPr>
              <w:t xml:space="preserve">st </w:t>
            </w:r>
            <w:r>
              <w:rPr>
                <w:rFonts w:cs="Arial"/>
                <w:b/>
                <w:bCs/>
                <w:szCs w:val="14"/>
              </w:rPr>
              <w:t>Quarter</w:t>
            </w:r>
            <w:r w:rsidRPr="00345AB3">
              <w:rPr>
                <w:rFonts w:cs="Arial"/>
                <w:b/>
                <w:bCs/>
                <w:szCs w:val="14"/>
              </w:rPr>
              <w:t xml:space="preserve"> 2022</w:t>
            </w:r>
          </w:p>
        </w:tc>
        <w:tc>
          <w:tcPr>
            <w:tcW w:w="1831" w:type="dxa"/>
            <w:tcBorders>
              <w:top w:val="single" w:sz="2" w:space="0" w:color="1F4E79" w:themeColor="accent1" w:themeShade="80"/>
              <w:bottom w:val="single" w:sz="2" w:space="0" w:color="1F4E79" w:themeColor="accent1" w:themeShade="80"/>
            </w:tcBorders>
          </w:tcPr>
          <w:p w14:paraId="1B110C60" w14:textId="77777777" w:rsidR="006A362F" w:rsidRPr="00C80F9A" w:rsidRDefault="006A362F" w:rsidP="002803B5">
            <w:pPr>
              <w:pStyle w:val="08-Tabelageral"/>
              <w:rPr>
                <w:rFonts w:cs="Arial"/>
                <w:b/>
                <w:bCs/>
                <w:szCs w:val="14"/>
              </w:rPr>
            </w:pPr>
          </w:p>
        </w:tc>
      </w:tr>
      <w:tr w:rsidR="006A362F" w:rsidRPr="00E00C9B" w14:paraId="5469F35D" w14:textId="77777777" w:rsidTr="002803B5">
        <w:trPr>
          <w:trHeight w:val="238"/>
        </w:trPr>
        <w:tc>
          <w:tcPr>
            <w:tcW w:w="4644" w:type="dxa"/>
            <w:tcBorders>
              <w:top w:val="single" w:sz="2" w:space="0" w:color="1F4E79" w:themeColor="accent1" w:themeShade="80"/>
              <w:bottom w:val="single" w:sz="2" w:space="0" w:color="1F4E79" w:themeColor="accent1" w:themeShade="80"/>
            </w:tcBorders>
          </w:tcPr>
          <w:p w14:paraId="43DB33B6" w14:textId="77777777" w:rsidR="006A362F" w:rsidRPr="00E00C9B" w:rsidRDefault="006A362F" w:rsidP="002803B5">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4B5BABC0" w14:textId="77777777" w:rsidR="006A362F" w:rsidRPr="00C80F9A" w:rsidRDefault="006A362F" w:rsidP="002803B5">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bottom w:val="single" w:sz="2" w:space="0" w:color="1F4E79" w:themeColor="accent1" w:themeShade="80"/>
            </w:tcBorders>
          </w:tcPr>
          <w:p w14:paraId="16D8CE67" w14:textId="77777777" w:rsidR="006A362F" w:rsidRPr="00C80F9A" w:rsidRDefault="006A362F" w:rsidP="002803B5">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bottom w:val="single" w:sz="2" w:space="0" w:color="1F4E79" w:themeColor="accent1" w:themeShade="80"/>
            </w:tcBorders>
          </w:tcPr>
          <w:p w14:paraId="1672FD3E" w14:textId="77777777" w:rsidR="006A362F" w:rsidRPr="00C80F9A" w:rsidRDefault="006A362F" w:rsidP="002803B5">
            <w:pPr>
              <w:pStyle w:val="08-Tabelageral"/>
              <w:rPr>
                <w:rFonts w:cs="Arial"/>
                <w:b/>
                <w:bCs/>
                <w:szCs w:val="14"/>
              </w:rPr>
            </w:pPr>
            <w:r>
              <w:rPr>
                <w:rFonts w:cs="Arial"/>
                <w:b/>
                <w:bCs/>
                <w:szCs w:val="14"/>
              </w:rPr>
              <w:t>Restated balances</w:t>
            </w:r>
          </w:p>
        </w:tc>
      </w:tr>
      <w:tr w:rsidR="006A362F" w:rsidRPr="00311D15" w14:paraId="5180C359" w14:textId="77777777" w:rsidTr="002803B5">
        <w:trPr>
          <w:trHeight w:val="238"/>
        </w:trPr>
        <w:tc>
          <w:tcPr>
            <w:tcW w:w="4644" w:type="dxa"/>
            <w:tcBorders>
              <w:top w:val="single" w:sz="2" w:space="0" w:color="1F4E79" w:themeColor="accent1" w:themeShade="80"/>
            </w:tcBorders>
          </w:tcPr>
          <w:p w14:paraId="7FAA0754" w14:textId="77777777" w:rsidR="006A362F" w:rsidRPr="00311D15" w:rsidRDefault="006A362F" w:rsidP="004A53AE">
            <w:pPr>
              <w:pStyle w:val="08-Tabelageral"/>
              <w:jc w:val="left"/>
              <w:rPr>
                <w:rFonts w:cs="Arial"/>
                <w:b/>
                <w:bCs/>
                <w:szCs w:val="14"/>
              </w:rPr>
            </w:pPr>
            <w:r w:rsidRPr="00311D15">
              <w:rPr>
                <w:b/>
                <w:bCs/>
              </w:rPr>
              <w:t>Net profit</w:t>
            </w:r>
          </w:p>
        </w:tc>
        <w:tc>
          <w:tcPr>
            <w:tcW w:w="1548" w:type="dxa"/>
            <w:tcBorders>
              <w:top w:val="single" w:sz="2" w:space="0" w:color="1F4E79" w:themeColor="accent1" w:themeShade="80"/>
            </w:tcBorders>
          </w:tcPr>
          <w:p w14:paraId="38E82BD6" w14:textId="77777777" w:rsidR="006A362F" w:rsidRPr="00311D15" w:rsidRDefault="006A362F" w:rsidP="004A53AE">
            <w:pPr>
              <w:pStyle w:val="08-Tabelageral"/>
              <w:rPr>
                <w:rFonts w:cs="Arial"/>
                <w:b/>
                <w:bCs/>
                <w:szCs w:val="14"/>
                <w:highlight w:val="yellow"/>
              </w:rPr>
            </w:pPr>
            <w:r>
              <w:rPr>
                <w:rFonts w:cs="Arial"/>
                <w:b/>
                <w:bCs/>
                <w:color w:val="000000"/>
                <w:szCs w:val="14"/>
                <w:lang w:eastAsia="en-US"/>
              </w:rPr>
              <w:t>1,179,431</w:t>
            </w:r>
          </w:p>
        </w:tc>
        <w:tc>
          <w:tcPr>
            <w:tcW w:w="1831" w:type="dxa"/>
            <w:tcBorders>
              <w:top w:val="single" w:sz="2" w:space="0" w:color="1F4E79" w:themeColor="accent1" w:themeShade="80"/>
            </w:tcBorders>
          </w:tcPr>
          <w:p w14:paraId="3DE67035" w14:textId="77777777" w:rsidR="006A362F" w:rsidRPr="00311D15" w:rsidRDefault="006A362F" w:rsidP="004A53AE">
            <w:pPr>
              <w:pStyle w:val="08-Tabelageral"/>
              <w:rPr>
                <w:rFonts w:cs="Arial"/>
                <w:b/>
                <w:bCs/>
                <w:szCs w:val="14"/>
                <w:highlight w:val="yellow"/>
              </w:rPr>
            </w:pPr>
            <w:r>
              <w:rPr>
                <w:b/>
                <w:bCs/>
                <w:lang w:eastAsia="en-US"/>
              </w:rPr>
              <w:t>30,086</w:t>
            </w:r>
          </w:p>
        </w:tc>
        <w:tc>
          <w:tcPr>
            <w:tcW w:w="1831" w:type="dxa"/>
            <w:tcBorders>
              <w:top w:val="single" w:sz="2" w:space="0" w:color="1F4E79" w:themeColor="accent1" w:themeShade="80"/>
            </w:tcBorders>
          </w:tcPr>
          <w:p w14:paraId="4C6B7553" w14:textId="77777777" w:rsidR="006A362F" w:rsidRPr="00311D15" w:rsidRDefault="006A362F" w:rsidP="004A53AE">
            <w:pPr>
              <w:pStyle w:val="08-Tabelageral"/>
              <w:rPr>
                <w:rFonts w:cs="Arial"/>
                <w:b/>
                <w:bCs/>
                <w:szCs w:val="14"/>
                <w:highlight w:val="yellow"/>
              </w:rPr>
            </w:pPr>
            <w:r>
              <w:rPr>
                <w:b/>
                <w:bCs/>
                <w:lang w:eastAsia="en-US"/>
              </w:rPr>
              <w:t>1,209,517</w:t>
            </w:r>
          </w:p>
        </w:tc>
      </w:tr>
      <w:tr w:rsidR="006A362F" w:rsidRPr="00A03B7C" w14:paraId="048FC1C6" w14:textId="77777777" w:rsidTr="00EB5304">
        <w:trPr>
          <w:trHeight w:val="238"/>
        </w:trPr>
        <w:tc>
          <w:tcPr>
            <w:tcW w:w="4644" w:type="dxa"/>
            <w:vAlign w:val="center"/>
          </w:tcPr>
          <w:p w14:paraId="53D31123" w14:textId="77777777" w:rsidR="006A362F" w:rsidRPr="00A03B7C" w:rsidRDefault="006A362F" w:rsidP="004A53AE">
            <w:pPr>
              <w:pStyle w:val="08-Tabelageral"/>
              <w:ind w:left="113"/>
              <w:jc w:val="left"/>
              <w:rPr>
                <w:rFonts w:cs="Arial"/>
                <w:b/>
                <w:bCs/>
                <w:szCs w:val="14"/>
                <w:highlight w:val="yellow"/>
              </w:rPr>
            </w:pPr>
            <w:r w:rsidRPr="00E03629">
              <w:t>Equity income</w:t>
            </w:r>
          </w:p>
        </w:tc>
        <w:tc>
          <w:tcPr>
            <w:tcW w:w="1548" w:type="dxa"/>
          </w:tcPr>
          <w:p w14:paraId="63454374" w14:textId="77777777" w:rsidR="006A362F" w:rsidRPr="00A03B7C" w:rsidRDefault="006A362F" w:rsidP="004A53AE">
            <w:pPr>
              <w:pStyle w:val="08-Tabelageral"/>
              <w:rPr>
                <w:rFonts w:cs="Arial"/>
                <w:b/>
                <w:bCs/>
                <w:szCs w:val="14"/>
                <w:highlight w:val="yellow"/>
              </w:rPr>
            </w:pPr>
            <w:r>
              <w:rPr>
                <w:rFonts w:cs="Arial"/>
                <w:color w:val="000000"/>
                <w:szCs w:val="14"/>
                <w:lang w:eastAsia="en-US"/>
              </w:rPr>
              <w:t>(1,179,084)</w:t>
            </w:r>
          </w:p>
        </w:tc>
        <w:tc>
          <w:tcPr>
            <w:tcW w:w="1831" w:type="dxa"/>
          </w:tcPr>
          <w:p w14:paraId="7339ADE0" w14:textId="77777777" w:rsidR="006A362F" w:rsidRPr="00A03B7C" w:rsidRDefault="006A362F" w:rsidP="004A53AE">
            <w:pPr>
              <w:pStyle w:val="08-Tabelageral"/>
              <w:rPr>
                <w:rFonts w:cs="Arial"/>
                <w:b/>
                <w:bCs/>
                <w:szCs w:val="14"/>
                <w:highlight w:val="yellow"/>
              </w:rPr>
            </w:pPr>
            <w:r>
              <w:rPr>
                <w:lang w:eastAsia="en-US"/>
              </w:rPr>
              <w:t>(30,086)</w:t>
            </w:r>
          </w:p>
        </w:tc>
        <w:tc>
          <w:tcPr>
            <w:tcW w:w="1831" w:type="dxa"/>
          </w:tcPr>
          <w:p w14:paraId="06D06A6E" w14:textId="77777777" w:rsidR="006A362F" w:rsidRPr="00A03B7C" w:rsidRDefault="006A362F" w:rsidP="004A53AE">
            <w:pPr>
              <w:pStyle w:val="08-Tabelageral"/>
              <w:rPr>
                <w:rFonts w:cs="Arial"/>
                <w:b/>
                <w:bCs/>
                <w:szCs w:val="14"/>
                <w:highlight w:val="yellow"/>
              </w:rPr>
            </w:pPr>
            <w:r>
              <w:rPr>
                <w:lang w:eastAsia="en-US"/>
              </w:rPr>
              <w:t>(1,209,170)</w:t>
            </w:r>
          </w:p>
        </w:tc>
      </w:tr>
      <w:tr w:rsidR="006A362F" w:rsidRPr="00C80F9A" w14:paraId="4DEC331D" w14:textId="77777777" w:rsidTr="002803B5">
        <w:trPr>
          <w:trHeight w:val="238"/>
        </w:trPr>
        <w:tc>
          <w:tcPr>
            <w:tcW w:w="4644" w:type="dxa"/>
          </w:tcPr>
          <w:p w14:paraId="1A098B2B" w14:textId="77777777" w:rsidR="006A362F" w:rsidRPr="00C80F9A" w:rsidRDefault="006A362F" w:rsidP="004A53AE">
            <w:pPr>
              <w:pStyle w:val="08-Tabelageral"/>
              <w:jc w:val="left"/>
              <w:rPr>
                <w:rFonts w:cs="Arial"/>
                <w:b/>
                <w:bCs/>
                <w:szCs w:val="14"/>
              </w:rPr>
            </w:pPr>
            <w:r w:rsidRPr="00311D15">
              <w:rPr>
                <w:rFonts w:cs="Arial"/>
                <w:b/>
                <w:bCs/>
                <w:szCs w:val="14"/>
              </w:rPr>
              <w:t>Adjustment to net profit</w:t>
            </w:r>
          </w:p>
        </w:tc>
        <w:tc>
          <w:tcPr>
            <w:tcW w:w="1548" w:type="dxa"/>
          </w:tcPr>
          <w:p w14:paraId="7B2CB9F9" w14:textId="77777777" w:rsidR="006A362F" w:rsidRPr="00C80F9A" w:rsidRDefault="006A362F" w:rsidP="004A53AE">
            <w:pPr>
              <w:pStyle w:val="08-Tabelageral"/>
              <w:rPr>
                <w:rFonts w:cs="Arial"/>
                <w:b/>
                <w:bCs/>
                <w:szCs w:val="14"/>
              </w:rPr>
            </w:pPr>
            <w:r>
              <w:rPr>
                <w:rFonts w:cs="Arial"/>
                <w:b/>
                <w:bCs/>
                <w:color w:val="000000"/>
                <w:szCs w:val="14"/>
                <w:lang w:eastAsia="en-US"/>
              </w:rPr>
              <w:t>4,199</w:t>
            </w:r>
          </w:p>
        </w:tc>
        <w:tc>
          <w:tcPr>
            <w:tcW w:w="1831" w:type="dxa"/>
          </w:tcPr>
          <w:p w14:paraId="7DE77EFD" w14:textId="77777777" w:rsidR="006A362F" w:rsidRPr="00C80F9A" w:rsidRDefault="006A362F" w:rsidP="004A53AE">
            <w:pPr>
              <w:pStyle w:val="08-Tabelageral"/>
              <w:rPr>
                <w:rFonts w:cs="Arial"/>
                <w:b/>
                <w:bCs/>
                <w:szCs w:val="14"/>
              </w:rPr>
            </w:pPr>
            <w:r>
              <w:rPr>
                <w:rFonts w:cs="Arial"/>
                <w:b/>
                <w:bCs/>
                <w:szCs w:val="14"/>
                <w:lang w:eastAsia="en-US"/>
              </w:rPr>
              <w:t>--</w:t>
            </w:r>
          </w:p>
        </w:tc>
        <w:tc>
          <w:tcPr>
            <w:tcW w:w="1831" w:type="dxa"/>
          </w:tcPr>
          <w:p w14:paraId="34FFA1BA" w14:textId="77777777" w:rsidR="006A362F" w:rsidRPr="00C80F9A" w:rsidRDefault="006A362F" w:rsidP="004A53AE">
            <w:pPr>
              <w:pStyle w:val="08-Tabelageral"/>
              <w:rPr>
                <w:rFonts w:cs="Arial"/>
                <w:b/>
                <w:bCs/>
                <w:szCs w:val="14"/>
              </w:rPr>
            </w:pPr>
            <w:r>
              <w:rPr>
                <w:rFonts w:cs="Arial"/>
                <w:b/>
                <w:bCs/>
                <w:color w:val="000000"/>
                <w:szCs w:val="14"/>
                <w:lang w:eastAsia="en-US"/>
              </w:rPr>
              <w:t>4,199</w:t>
            </w:r>
          </w:p>
        </w:tc>
      </w:tr>
      <w:tr w:rsidR="006A362F" w:rsidRPr="00C80F9A" w14:paraId="1A105A39" w14:textId="77777777" w:rsidTr="002803B5">
        <w:trPr>
          <w:trHeight w:val="238"/>
        </w:trPr>
        <w:tc>
          <w:tcPr>
            <w:tcW w:w="4644" w:type="dxa"/>
          </w:tcPr>
          <w:p w14:paraId="7971B181" w14:textId="77777777" w:rsidR="006A362F" w:rsidRPr="00311D15" w:rsidRDefault="006A362F" w:rsidP="004A53AE">
            <w:pPr>
              <w:pStyle w:val="08-Tabelageral"/>
              <w:ind w:left="113"/>
              <w:jc w:val="left"/>
              <w:rPr>
                <w:rFonts w:cs="Arial"/>
                <w:szCs w:val="14"/>
                <w:lang w:val="en-US"/>
              </w:rPr>
            </w:pPr>
            <w:r w:rsidRPr="00311D15">
              <w:rPr>
                <w:rFonts w:cs="Arial"/>
                <w:szCs w:val="14"/>
                <w:lang w:val="en-US"/>
              </w:rPr>
              <w:t>Cash provided by operating activities</w:t>
            </w:r>
          </w:p>
        </w:tc>
        <w:tc>
          <w:tcPr>
            <w:tcW w:w="1548" w:type="dxa"/>
          </w:tcPr>
          <w:p w14:paraId="19B39721" w14:textId="77777777" w:rsidR="006A362F" w:rsidRPr="00924673" w:rsidRDefault="006A362F" w:rsidP="004A53AE">
            <w:pPr>
              <w:pStyle w:val="08-Tabelageral"/>
              <w:rPr>
                <w:rFonts w:cs="Arial"/>
                <w:color w:val="000000"/>
                <w:szCs w:val="14"/>
              </w:rPr>
            </w:pPr>
            <w:r>
              <w:rPr>
                <w:rFonts w:cs="Arial"/>
                <w:color w:val="000000"/>
                <w:szCs w:val="14"/>
                <w:lang w:eastAsia="en-US"/>
              </w:rPr>
              <w:t>(11,395)</w:t>
            </w:r>
          </w:p>
        </w:tc>
        <w:tc>
          <w:tcPr>
            <w:tcW w:w="1831" w:type="dxa"/>
          </w:tcPr>
          <w:p w14:paraId="19B98ACF" w14:textId="77777777" w:rsidR="006A362F" w:rsidRPr="00924673" w:rsidRDefault="006A362F" w:rsidP="004A53AE">
            <w:pPr>
              <w:pStyle w:val="08-Tabelageral"/>
              <w:rPr>
                <w:rFonts w:cs="Arial"/>
                <w:szCs w:val="14"/>
              </w:rPr>
            </w:pPr>
            <w:r>
              <w:rPr>
                <w:rFonts w:cs="Arial"/>
                <w:szCs w:val="14"/>
                <w:lang w:eastAsia="en-US"/>
              </w:rPr>
              <w:t>--</w:t>
            </w:r>
          </w:p>
        </w:tc>
        <w:tc>
          <w:tcPr>
            <w:tcW w:w="1831" w:type="dxa"/>
          </w:tcPr>
          <w:p w14:paraId="7E0ED50D" w14:textId="77777777" w:rsidR="006A362F" w:rsidRPr="00924673" w:rsidRDefault="006A362F" w:rsidP="004A53AE">
            <w:pPr>
              <w:pStyle w:val="08-Tabelageral"/>
              <w:rPr>
                <w:rFonts w:cs="Arial"/>
                <w:color w:val="000000"/>
                <w:szCs w:val="14"/>
              </w:rPr>
            </w:pPr>
            <w:r>
              <w:rPr>
                <w:rFonts w:cs="Arial"/>
                <w:color w:val="000000"/>
                <w:szCs w:val="14"/>
                <w:lang w:eastAsia="en-US"/>
              </w:rPr>
              <w:t>(11,395)</w:t>
            </w:r>
          </w:p>
        </w:tc>
      </w:tr>
      <w:tr w:rsidR="006A362F" w:rsidRPr="00C80F9A" w14:paraId="7E886617" w14:textId="77777777" w:rsidTr="002803B5">
        <w:trPr>
          <w:trHeight w:val="238"/>
        </w:trPr>
        <w:tc>
          <w:tcPr>
            <w:tcW w:w="4644" w:type="dxa"/>
          </w:tcPr>
          <w:p w14:paraId="0061F1FC" w14:textId="77777777" w:rsidR="006A362F" w:rsidRPr="00311D15" w:rsidRDefault="006A362F" w:rsidP="004A53AE">
            <w:pPr>
              <w:pStyle w:val="08-Tabelageral"/>
              <w:ind w:left="113"/>
              <w:jc w:val="left"/>
              <w:rPr>
                <w:rFonts w:cs="Arial"/>
                <w:szCs w:val="14"/>
                <w:lang w:val="en-US"/>
              </w:rPr>
            </w:pPr>
            <w:r w:rsidRPr="00311D15">
              <w:rPr>
                <w:rFonts w:cs="Arial"/>
                <w:szCs w:val="14"/>
                <w:lang w:val="en-US"/>
              </w:rPr>
              <w:t>Cash provided by investment activities</w:t>
            </w:r>
          </w:p>
        </w:tc>
        <w:tc>
          <w:tcPr>
            <w:tcW w:w="1548" w:type="dxa"/>
          </w:tcPr>
          <w:p w14:paraId="488D09A4" w14:textId="77777777" w:rsidR="006A362F" w:rsidRPr="00924673" w:rsidRDefault="006A362F" w:rsidP="004A53AE">
            <w:pPr>
              <w:pStyle w:val="08-Tabelageral"/>
              <w:rPr>
                <w:rFonts w:cs="Arial"/>
                <w:color w:val="000000"/>
                <w:szCs w:val="14"/>
              </w:rPr>
            </w:pPr>
            <w:r>
              <w:rPr>
                <w:rFonts w:cs="Arial"/>
                <w:color w:val="000000"/>
                <w:szCs w:val="14"/>
                <w:lang w:eastAsia="en-US"/>
              </w:rPr>
              <w:t>1,594,430</w:t>
            </w:r>
          </w:p>
        </w:tc>
        <w:tc>
          <w:tcPr>
            <w:tcW w:w="1831" w:type="dxa"/>
          </w:tcPr>
          <w:p w14:paraId="65B7C227" w14:textId="77777777" w:rsidR="006A362F" w:rsidRPr="00924673" w:rsidRDefault="006A362F" w:rsidP="004A53AE">
            <w:pPr>
              <w:pStyle w:val="08-Tabelageral"/>
              <w:rPr>
                <w:rFonts w:cs="Arial"/>
                <w:szCs w:val="14"/>
              </w:rPr>
            </w:pPr>
            <w:r>
              <w:rPr>
                <w:rFonts w:cs="Arial"/>
                <w:szCs w:val="14"/>
                <w:lang w:eastAsia="en-US"/>
              </w:rPr>
              <w:t>--</w:t>
            </w:r>
          </w:p>
        </w:tc>
        <w:tc>
          <w:tcPr>
            <w:tcW w:w="1831" w:type="dxa"/>
          </w:tcPr>
          <w:p w14:paraId="55A037C5" w14:textId="77777777" w:rsidR="006A362F" w:rsidRPr="00924673" w:rsidRDefault="006A362F" w:rsidP="004A53AE">
            <w:pPr>
              <w:pStyle w:val="08-Tabelageral"/>
              <w:rPr>
                <w:rFonts w:cs="Arial"/>
                <w:color w:val="000000"/>
                <w:szCs w:val="14"/>
              </w:rPr>
            </w:pPr>
            <w:r>
              <w:rPr>
                <w:rFonts w:cs="Arial"/>
                <w:color w:val="000000"/>
                <w:szCs w:val="14"/>
                <w:lang w:eastAsia="en-US"/>
              </w:rPr>
              <w:t>1,594,430</w:t>
            </w:r>
          </w:p>
        </w:tc>
      </w:tr>
      <w:tr w:rsidR="006A362F" w:rsidRPr="00C80F9A" w14:paraId="23956D19" w14:textId="77777777" w:rsidTr="002803B5">
        <w:trPr>
          <w:trHeight w:val="238"/>
        </w:trPr>
        <w:tc>
          <w:tcPr>
            <w:tcW w:w="4644" w:type="dxa"/>
          </w:tcPr>
          <w:p w14:paraId="51C18547" w14:textId="77777777" w:rsidR="006A362F" w:rsidRPr="006C4325" w:rsidRDefault="006A362F" w:rsidP="004A53AE">
            <w:pPr>
              <w:pStyle w:val="08-Tabelageral"/>
              <w:ind w:left="113"/>
              <w:jc w:val="left"/>
              <w:rPr>
                <w:rFonts w:cs="Arial"/>
                <w:szCs w:val="14"/>
                <w:lang w:val="en-US"/>
              </w:rPr>
            </w:pPr>
            <w:r w:rsidRPr="006C4325">
              <w:rPr>
                <w:rFonts w:cs="Arial"/>
                <w:szCs w:val="14"/>
                <w:lang w:val="en-US"/>
              </w:rPr>
              <w:t>Cash flow provided by financing activities</w:t>
            </w:r>
          </w:p>
        </w:tc>
        <w:tc>
          <w:tcPr>
            <w:tcW w:w="1548" w:type="dxa"/>
          </w:tcPr>
          <w:p w14:paraId="0822D7A1" w14:textId="77777777" w:rsidR="006A362F" w:rsidRPr="00924673" w:rsidRDefault="006A362F" w:rsidP="004A53AE">
            <w:pPr>
              <w:pStyle w:val="08-Tabelageral"/>
              <w:rPr>
                <w:rFonts w:cs="Arial"/>
                <w:color w:val="000000"/>
                <w:szCs w:val="14"/>
              </w:rPr>
            </w:pPr>
            <w:r>
              <w:rPr>
                <w:rFonts w:cs="Arial"/>
                <w:color w:val="000000"/>
                <w:szCs w:val="14"/>
                <w:lang w:eastAsia="en-US"/>
              </w:rPr>
              <w:t>(1,857,011)</w:t>
            </w:r>
          </w:p>
        </w:tc>
        <w:tc>
          <w:tcPr>
            <w:tcW w:w="1831" w:type="dxa"/>
          </w:tcPr>
          <w:p w14:paraId="3BB6DF01" w14:textId="77777777" w:rsidR="006A362F" w:rsidRPr="00924673" w:rsidRDefault="006A362F" w:rsidP="004A53AE">
            <w:pPr>
              <w:pStyle w:val="08-Tabelageral"/>
              <w:rPr>
                <w:rFonts w:cs="Arial"/>
                <w:szCs w:val="14"/>
              </w:rPr>
            </w:pPr>
            <w:r>
              <w:rPr>
                <w:rFonts w:cs="Arial"/>
                <w:szCs w:val="14"/>
                <w:lang w:eastAsia="en-US"/>
              </w:rPr>
              <w:t>--</w:t>
            </w:r>
          </w:p>
        </w:tc>
        <w:tc>
          <w:tcPr>
            <w:tcW w:w="1831" w:type="dxa"/>
          </w:tcPr>
          <w:p w14:paraId="719606F2" w14:textId="77777777" w:rsidR="006A362F" w:rsidRPr="00924673" w:rsidRDefault="006A362F" w:rsidP="004A53AE">
            <w:pPr>
              <w:pStyle w:val="08-Tabelageral"/>
              <w:rPr>
                <w:rFonts w:cs="Arial"/>
                <w:color w:val="000000"/>
                <w:szCs w:val="14"/>
              </w:rPr>
            </w:pPr>
            <w:r>
              <w:rPr>
                <w:rFonts w:cs="Arial"/>
                <w:color w:val="000000"/>
                <w:szCs w:val="14"/>
                <w:lang w:eastAsia="en-US"/>
              </w:rPr>
              <w:t>(1,857,011)</w:t>
            </w:r>
          </w:p>
        </w:tc>
      </w:tr>
      <w:tr w:rsidR="006A362F" w:rsidRPr="006C4325" w14:paraId="4A27FFEB" w14:textId="77777777" w:rsidTr="003E1F21">
        <w:trPr>
          <w:trHeight w:val="238"/>
        </w:trPr>
        <w:tc>
          <w:tcPr>
            <w:tcW w:w="4644" w:type="dxa"/>
            <w:tcBorders>
              <w:bottom w:val="single" w:sz="2" w:space="0" w:color="1F4E79" w:themeColor="accent1" w:themeShade="80"/>
            </w:tcBorders>
            <w:vAlign w:val="center"/>
          </w:tcPr>
          <w:p w14:paraId="3687233C" w14:textId="77777777" w:rsidR="006A362F" w:rsidRPr="006C4325" w:rsidRDefault="006A362F" w:rsidP="004A53AE">
            <w:pPr>
              <w:pStyle w:val="08-Tabelageral"/>
              <w:jc w:val="left"/>
              <w:rPr>
                <w:rFonts w:cs="Arial"/>
                <w:b/>
                <w:bCs/>
                <w:szCs w:val="14"/>
                <w:lang w:val="en-US"/>
              </w:rPr>
            </w:pPr>
            <w:r w:rsidRPr="006C4325">
              <w:rPr>
                <w:b/>
                <w:bCs/>
                <w:lang w:val="en-US"/>
              </w:rPr>
              <w:t>Increase (decrease) in cash and cash equivalents</w:t>
            </w:r>
          </w:p>
        </w:tc>
        <w:tc>
          <w:tcPr>
            <w:tcW w:w="1548" w:type="dxa"/>
            <w:tcBorders>
              <w:bottom w:val="single" w:sz="2" w:space="0" w:color="1F4E79" w:themeColor="accent1" w:themeShade="80"/>
            </w:tcBorders>
          </w:tcPr>
          <w:p w14:paraId="795F95C0" w14:textId="77777777" w:rsidR="006A362F" w:rsidRPr="006C4325" w:rsidRDefault="006A362F" w:rsidP="004A53AE">
            <w:pPr>
              <w:pStyle w:val="08-Tabelageral"/>
              <w:rPr>
                <w:rFonts w:cs="Arial"/>
                <w:b/>
                <w:bCs/>
                <w:color w:val="000000"/>
                <w:szCs w:val="14"/>
              </w:rPr>
            </w:pPr>
            <w:r>
              <w:rPr>
                <w:rFonts w:cs="Arial"/>
                <w:b/>
                <w:bCs/>
                <w:color w:val="000000"/>
                <w:szCs w:val="14"/>
                <w:lang w:eastAsia="en-US"/>
              </w:rPr>
              <w:t>(273,976)</w:t>
            </w:r>
          </w:p>
        </w:tc>
        <w:tc>
          <w:tcPr>
            <w:tcW w:w="1831" w:type="dxa"/>
            <w:tcBorders>
              <w:bottom w:val="single" w:sz="2" w:space="0" w:color="1F4E79" w:themeColor="accent1" w:themeShade="80"/>
            </w:tcBorders>
          </w:tcPr>
          <w:p w14:paraId="6300E899" w14:textId="77777777" w:rsidR="006A362F" w:rsidRPr="006C4325" w:rsidRDefault="006A362F" w:rsidP="004A53AE">
            <w:pPr>
              <w:pStyle w:val="08-Tabelageral"/>
              <w:rPr>
                <w:rFonts w:cs="Arial"/>
                <w:b/>
                <w:bCs/>
                <w:szCs w:val="14"/>
              </w:rPr>
            </w:pPr>
            <w:r>
              <w:rPr>
                <w:rFonts w:cs="Arial"/>
                <w:b/>
                <w:bCs/>
                <w:szCs w:val="14"/>
                <w:lang w:eastAsia="en-US"/>
              </w:rPr>
              <w:t>--</w:t>
            </w:r>
          </w:p>
        </w:tc>
        <w:tc>
          <w:tcPr>
            <w:tcW w:w="1831" w:type="dxa"/>
            <w:tcBorders>
              <w:bottom w:val="single" w:sz="2" w:space="0" w:color="1F4E79" w:themeColor="accent1" w:themeShade="80"/>
            </w:tcBorders>
          </w:tcPr>
          <w:p w14:paraId="34E82D8B" w14:textId="77777777" w:rsidR="006A362F" w:rsidRPr="006C4325" w:rsidRDefault="006A362F" w:rsidP="004A53AE">
            <w:pPr>
              <w:pStyle w:val="08-Tabelageral"/>
              <w:rPr>
                <w:rFonts w:cs="Arial"/>
                <w:b/>
                <w:bCs/>
                <w:color w:val="000000"/>
                <w:szCs w:val="14"/>
              </w:rPr>
            </w:pPr>
            <w:r>
              <w:rPr>
                <w:rFonts w:cs="Arial"/>
                <w:b/>
                <w:bCs/>
                <w:color w:val="000000"/>
                <w:szCs w:val="14"/>
                <w:lang w:eastAsia="en-US"/>
              </w:rPr>
              <w:t>(273,976)</w:t>
            </w:r>
          </w:p>
        </w:tc>
      </w:tr>
      <w:tr w:rsidR="006A362F" w:rsidRPr="00C80F9A" w14:paraId="1942DBAB" w14:textId="77777777" w:rsidTr="002803B5">
        <w:trPr>
          <w:trHeight w:val="238"/>
        </w:trPr>
        <w:tc>
          <w:tcPr>
            <w:tcW w:w="4644" w:type="dxa"/>
            <w:tcBorders>
              <w:top w:val="single" w:sz="2" w:space="0" w:color="1F4E79" w:themeColor="accent1" w:themeShade="80"/>
            </w:tcBorders>
          </w:tcPr>
          <w:p w14:paraId="7B91ACB7" w14:textId="77777777" w:rsidR="006A362F" w:rsidRPr="005E1F7B" w:rsidRDefault="006A362F" w:rsidP="002803B5">
            <w:pPr>
              <w:pStyle w:val="08-Tabelageral"/>
              <w:jc w:val="left"/>
              <w:rPr>
                <w:rFonts w:cs="Arial"/>
                <w:szCs w:val="14"/>
              </w:rPr>
            </w:pPr>
          </w:p>
        </w:tc>
        <w:tc>
          <w:tcPr>
            <w:tcW w:w="1548" w:type="dxa"/>
            <w:tcBorders>
              <w:top w:val="single" w:sz="2" w:space="0" w:color="1F4E79" w:themeColor="accent1" w:themeShade="80"/>
            </w:tcBorders>
          </w:tcPr>
          <w:p w14:paraId="1E9BDA39" w14:textId="77777777" w:rsidR="006A362F" w:rsidRPr="005E1F7B" w:rsidRDefault="006A362F" w:rsidP="002803B5">
            <w:pPr>
              <w:pStyle w:val="08-Tabelageral"/>
              <w:rPr>
                <w:rFonts w:cs="Arial"/>
                <w:color w:val="000000"/>
                <w:szCs w:val="14"/>
              </w:rPr>
            </w:pPr>
          </w:p>
        </w:tc>
        <w:tc>
          <w:tcPr>
            <w:tcW w:w="1831" w:type="dxa"/>
            <w:tcBorders>
              <w:top w:val="single" w:sz="2" w:space="0" w:color="1F4E79" w:themeColor="accent1" w:themeShade="80"/>
            </w:tcBorders>
          </w:tcPr>
          <w:p w14:paraId="5C0F8C5B" w14:textId="77777777" w:rsidR="006A362F" w:rsidRPr="005E1F7B" w:rsidRDefault="006A362F" w:rsidP="002803B5">
            <w:pPr>
              <w:pStyle w:val="08-Tabelageral"/>
              <w:rPr>
                <w:rFonts w:cs="Arial"/>
                <w:szCs w:val="14"/>
              </w:rPr>
            </w:pPr>
          </w:p>
        </w:tc>
        <w:tc>
          <w:tcPr>
            <w:tcW w:w="1831" w:type="dxa"/>
            <w:tcBorders>
              <w:top w:val="single" w:sz="2" w:space="0" w:color="1F4E79" w:themeColor="accent1" w:themeShade="80"/>
            </w:tcBorders>
          </w:tcPr>
          <w:p w14:paraId="5B885C1E" w14:textId="77777777" w:rsidR="006A362F" w:rsidRPr="005E1F7B" w:rsidRDefault="006A362F" w:rsidP="002803B5">
            <w:pPr>
              <w:pStyle w:val="08-Tabelageral"/>
              <w:rPr>
                <w:rFonts w:cs="Arial"/>
                <w:color w:val="000000"/>
                <w:szCs w:val="14"/>
              </w:rPr>
            </w:pPr>
          </w:p>
        </w:tc>
      </w:tr>
      <w:tr w:rsidR="006A362F" w:rsidRPr="00C80F9A" w14:paraId="0858DD6D" w14:textId="77777777" w:rsidTr="002803B5">
        <w:trPr>
          <w:trHeight w:val="238"/>
        </w:trPr>
        <w:tc>
          <w:tcPr>
            <w:tcW w:w="4644" w:type="dxa"/>
            <w:tcBorders>
              <w:bottom w:val="single" w:sz="2" w:space="0" w:color="1F4E79" w:themeColor="accent1" w:themeShade="80"/>
            </w:tcBorders>
          </w:tcPr>
          <w:p w14:paraId="34F1F0C2" w14:textId="77777777" w:rsidR="006A362F" w:rsidRPr="005E1F7B" w:rsidRDefault="006A362F" w:rsidP="002803B5">
            <w:pPr>
              <w:pStyle w:val="08-Tabelageral"/>
              <w:jc w:val="left"/>
              <w:rPr>
                <w:rFonts w:cs="Arial"/>
                <w:szCs w:val="14"/>
              </w:rPr>
            </w:pPr>
          </w:p>
        </w:tc>
        <w:tc>
          <w:tcPr>
            <w:tcW w:w="1548" w:type="dxa"/>
            <w:tcBorders>
              <w:bottom w:val="single" w:sz="2" w:space="0" w:color="1F4E79" w:themeColor="accent1" w:themeShade="80"/>
            </w:tcBorders>
          </w:tcPr>
          <w:p w14:paraId="40AE20D0" w14:textId="77777777" w:rsidR="006A362F" w:rsidRPr="005E1F7B" w:rsidRDefault="006A362F" w:rsidP="002803B5">
            <w:pPr>
              <w:pStyle w:val="08-Tabelageral"/>
              <w:rPr>
                <w:rFonts w:cs="Arial"/>
                <w:color w:val="000000"/>
                <w:szCs w:val="14"/>
              </w:rPr>
            </w:pPr>
          </w:p>
        </w:tc>
        <w:tc>
          <w:tcPr>
            <w:tcW w:w="1831" w:type="dxa"/>
            <w:tcBorders>
              <w:bottom w:val="single" w:sz="2" w:space="0" w:color="1F4E79" w:themeColor="accent1" w:themeShade="80"/>
            </w:tcBorders>
          </w:tcPr>
          <w:p w14:paraId="732D9956" w14:textId="77777777" w:rsidR="006A362F" w:rsidRPr="005E1F7B" w:rsidRDefault="006A362F" w:rsidP="002803B5">
            <w:pPr>
              <w:pStyle w:val="08-Tabelageral"/>
              <w:rPr>
                <w:rFonts w:cs="Arial"/>
                <w:szCs w:val="14"/>
              </w:rPr>
            </w:pPr>
          </w:p>
        </w:tc>
        <w:tc>
          <w:tcPr>
            <w:tcW w:w="1831" w:type="dxa"/>
            <w:tcBorders>
              <w:bottom w:val="single" w:sz="2" w:space="0" w:color="1F4E79" w:themeColor="accent1" w:themeShade="80"/>
            </w:tcBorders>
          </w:tcPr>
          <w:p w14:paraId="376066EA" w14:textId="77777777" w:rsidR="006A362F" w:rsidRPr="001D4E06" w:rsidRDefault="006A362F" w:rsidP="001D4E06">
            <w:pPr>
              <w:spacing w:after="0" w:line="240" w:lineRule="auto"/>
              <w:jc w:val="right"/>
              <w:rPr>
                <w:rFonts w:cs="Arial"/>
                <w:b/>
                <w:sz w:val="14"/>
                <w:lang w:eastAsia="pt-BR"/>
              </w:rPr>
            </w:pPr>
            <w:r w:rsidRPr="00FC6C4B">
              <w:rPr>
                <w:rFonts w:cs="Arial"/>
                <w:b/>
                <w:sz w:val="14"/>
                <w:lang w:eastAsia="pt-BR"/>
              </w:rPr>
              <w:t>R$ thousand</w:t>
            </w:r>
          </w:p>
        </w:tc>
      </w:tr>
      <w:tr w:rsidR="006A362F" w:rsidRPr="00C80F9A" w14:paraId="1213F5A1" w14:textId="77777777" w:rsidTr="002803B5">
        <w:trPr>
          <w:trHeight w:val="238"/>
        </w:trPr>
        <w:tc>
          <w:tcPr>
            <w:tcW w:w="4644" w:type="dxa"/>
            <w:tcBorders>
              <w:top w:val="single" w:sz="2" w:space="0" w:color="1F4E79" w:themeColor="accent1" w:themeShade="80"/>
              <w:bottom w:val="single" w:sz="2" w:space="0" w:color="1F4E79" w:themeColor="accent1" w:themeShade="80"/>
            </w:tcBorders>
          </w:tcPr>
          <w:p w14:paraId="54335DD6" w14:textId="77777777" w:rsidR="006A362F" w:rsidRPr="00E00C9B" w:rsidRDefault="006A362F" w:rsidP="002803B5">
            <w:pPr>
              <w:pStyle w:val="08-Tabelageral"/>
              <w:jc w:val="left"/>
              <w:rPr>
                <w:rFonts w:cs="Arial"/>
                <w:b/>
                <w:bCs/>
                <w:szCs w:val="14"/>
              </w:rPr>
            </w:pPr>
          </w:p>
        </w:tc>
        <w:tc>
          <w:tcPr>
            <w:tcW w:w="5210" w:type="dxa"/>
            <w:gridSpan w:val="3"/>
            <w:tcBorders>
              <w:top w:val="single" w:sz="2" w:space="0" w:color="1F4E79" w:themeColor="accent1" w:themeShade="80"/>
              <w:bottom w:val="single" w:sz="2" w:space="0" w:color="1F4E79" w:themeColor="accent1" w:themeShade="80"/>
            </w:tcBorders>
          </w:tcPr>
          <w:p w14:paraId="51A3C045" w14:textId="77777777" w:rsidR="006A362F" w:rsidRPr="00C80F9A" w:rsidRDefault="006A362F" w:rsidP="002803B5">
            <w:pPr>
              <w:pStyle w:val="08-Tabelageral"/>
              <w:jc w:val="center"/>
              <w:rPr>
                <w:rFonts w:cs="Arial"/>
                <w:b/>
                <w:bCs/>
                <w:szCs w:val="14"/>
              </w:rPr>
            </w:pPr>
            <w:r>
              <w:rPr>
                <w:rFonts w:cs="Arial"/>
                <w:b/>
                <w:bCs/>
                <w:szCs w:val="14"/>
              </w:rPr>
              <w:t>Consolidated</w:t>
            </w:r>
          </w:p>
        </w:tc>
      </w:tr>
      <w:tr w:rsidR="006A362F" w:rsidRPr="00C80F9A" w14:paraId="3596D2E5" w14:textId="77777777" w:rsidTr="002803B5">
        <w:trPr>
          <w:trHeight w:val="238"/>
        </w:trPr>
        <w:tc>
          <w:tcPr>
            <w:tcW w:w="4644" w:type="dxa"/>
            <w:tcBorders>
              <w:top w:val="single" w:sz="2" w:space="0" w:color="1F4E79" w:themeColor="accent1" w:themeShade="80"/>
              <w:bottom w:val="single" w:sz="2" w:space="0" w:color="1F4E79" w:themeColor="accent1" w:themeShade="80"/>
            </w:tcBorders>
          </w:tcPr>
          <w:p w14:paraId="22C2DDCF" w14:textId="77777777" w:rsidR="006A362F" w:rsidRPr="00E00C9B" w:rsidRDefault="006A362F" w:rsidP="002803B5">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28C40A25" w14:textId="77777777" w:rsidR="006A362F" w:rsidRPr="00C80F9A" w:rsidRDefault="006A362F" w:rsidP="002803B5">
            <w:pPr>
              <w:pStyle w:val="08-Tabelageral"/>
              <w:rPr>
                <w:rFonts w:cs="Arial"/>
                <w:b/>
                <w:bCs/>
                <w:szCs w:val="14"/>
              </w:rPr>
            </w:pPr>
          </w:p>
        </w:tc>
        <w:tc>
          <w:tcPr>
            <w:tcW w:w="1831" w:type="dxa"/>
            <w:tcBorders>
              <w:top w:val="single" w:sz="2" w:space="0" w:color="1F4E79" w:themeColor="accent1" w:themeShade="80"/>
              <w:bottom w:val="single" w:sz="2" w:space="0" w:color="1F4E79" w:themeColor="accent1" w:themeShade="80"/>
            </w:tcBorders>
          </w:tcPr>
          <w:p w14:paraId="03C5ECE9" w14:textId="77777777" w:rsidR="006A362F" w:rsidRPr="00C80F9A" w:rsidRDefault="006A362F" w:rsidP="002803B5">
            <w:pPr>
              <w:pStyle w:val="08-Tabelageral"/>
              <w:rPr>
                <w:rFonts w:cs="Arial"/>
                <w:b/>
                <w:bCs/>
                <w:szCs w:val="14"/>
              </w:rPr>
            </w:pPr>
            <w:r w:rsidRPr="00345AB3">
              <w:rPr>
                <w:rFonts w:cs="Arial"/>
                <w:b/>
                <w:bCs/>
                <w:szCs w:val="14"/>
              </w:rPr>
              <w:t>1</w:t>
            </w:r>
            <w:r w:rsidRPr="00345AB3">
              <w:rPr>
                <w:rFonts w:cs="Arial"/>
                <w:b/>
                <w:bCs/>
                <w:szCs w:val="14"/>
                <w:vertAlign w:val="superscript"/>
              </w:rPr>
              <w:t xml:space="preserve">st </w:t>
            </w:r>
            <w:r>
              <w:rPr>
                <w:rFonts w:cs="Arial"/>
                <w:b/>
                <w:bCs/>
                <w:szCs w:val="14"/>
              </w:rPr>
              <w:t>Quarter</w:t>
            </w:r>
            <w:r w:rsidRPr="00345AB3">
              <w:rPr>
                <w:rFonts w:cs="Arial"/>
                <w:b/>
                <w:bCs/>
                <w:szCs w:val="14"/>
              </w:rPr>
              <w:t xml:space="preserve"> 2022</w:t>
            </w:r>
          </w:p>
        </w:tc>
        <w:tc>
          <w:tcPr>
            <w:tcW w:w="1831" w:type="dxa"/>
            <w:tcBorders>
              <w:top w:val="single" w:sz="2" w:space="0" w:color="1F4E79" w:themeColor="accent1" w:themeShade="80"/>
              <w:bottom w:val="single" w:sz="2" w:space="0" w:color="1F4E79" w:themeColor="accent1" w:themeShade="80"/>
            </w:tcBorders>
          </w:tcPr>
          <w:p w14:paraId="5B1E5459" w14:textId="77777777" w:rsidR="006A362F" w:rsidRPr="00C80F9A" w:rsidRDefault="006A362F" w:rsidP="002803B5">
            <w:pPr>
              <w:pStyle w:val="08-Tabelageral"/>
              <w:rPr>
                <w:rFonts w:cs="Arial"/>
                <w:b/>
                <w:bCs/>
                <w:szCs w:val="14"/>
              </w:rPr>
            </w:pPr>
          </w:p>
        </w:tc>
      </w:tr>
      <w:tr w:rsidR="006A362F" w:rsidRPr="00C80F9A" w14:paraId="2A26A36C" w14:textId="77777777" w:rsidTr="002803B5">
        <w:trPr>
          <w:trHeight w:val="238"/>
        </w:trPr>
        <w:tc>
          <w:tcPr>
            <w:tcW w:w="4644" w:type="dxa"/>
            <w:tcBorders>
              <w:top w:val="single" w:sz="2" w:space="0" w:color="1F4E79" w:themeColor="accent1" w:themeShade="80"/>
              <w:bottom w:val="single" w:sz="2" w:space="0" w:color="1F4E79" w:themeColor="accent1" w:themeShade="80"/>
            </w:tcBorders>
          </w:tcPr>
          <w:p w14:paraId="762558A1" w14:textId="77777777" w:rsidR="006A362F" w:rsidRPr="00E00C9B" w:rsidRDefault="006A362F" w:rsidP="002803B5">
            <w:pPr>
              <w:pStyle w:val="08-Tabelageral"/>
              <w:jc w:val="left"/>
              <w:rPr>
                <w:rFonts w:cs="Arial"/>
                <w:b/>
                <w:bCs/>
                <w:szCs w:val="14"/>
              </w:rPr>
            </w:pPr>
          </w:p>
        </w:tc>
        <w:tc>
          <w:tcPr>
            <w:tcW w:w="1548" w:type="dxa"/>
            <w:tcBorders>
              <w:top w:val="single" w:sz="2" w:space="0" w:color="1F4E79" w:themeColor="accent1" w:themeShade="80"/>
              <w:bottom w:val="single" w:sz="2" w:space="0" w:color="1F4E79" w:themeColor="accent1" w:themeShade="80"/>
            </w:tcBorders>
          </w:tcPr>
          <w:p w14:paraId="11C61699" w14:textId="77777777" w:rsidR="006A362F" w:rsidRPr="00C80F9A" w:rsidRDefault="006A362F" w:rsidP="002803B5">
            <w:pPr>
              <w:pStyle w:val="08-Tabelageral"/>
              <w:rPr>
                <w:rFonts w:cs="Arial"/>
                <w:b/>
                <w:bCs/>
                <w:szCs w:val="14"/>
              </w:rPr>
            </w:pPr>
            <w:r>
              <w:rPr>
                <w:rFonts w:cs="Arial"/>
                <w:b/>
                <w:bCs/>
                <w:szCs w:val="14"/>
              </w:rPr>
              <w:t>Original report</w:t>
            </w:r>
          </w:p>
        </w:tc>
        <w:tc>
          <w:tcPr>
            <w:tcW w:w="1831" w:type="dxa"/>
            <w:tcBorders>
              <w:top w:val="single" w:sz="2" w:space="0" w:color="1F4E79" w:themeColor="accent1" w:themeShade="80"/>
              <w:bottom w:val="single" w:sz="2" w:space="0" w:color="1F4E79" w:themeColor="accent1" w:themeShade="80"/>
            </w:tcBorders>
          </w:tcPr>
          <w:p w14:paraId="775D93AA" w14:textId="77777777" w:rsidR="006A362F" w:rsidRPr="00C80F9A" w:rsidRDefault="006A362F" w:rsidP="002803B5">
            <w:pPr>
              <w:pStyle w:val="08-Tabelageral"/>
              <w:rPr>
                <w:rFonts w:cs="Arial"/>
                <w:b/>
                <w:bCs/>
                <w:szCs w:val="14"/>
              </w:rPr>
            </w:pPr>
            <w:r>
              <w:rPr>
                <w:rFonts w:cs="Arial"/>
                <w:b/>
                <w:bCs/>
                <w:szCs w:val="14"/>
              </w:rPr>
              <w:t>Adjustments</w:t>
            </w:r>
          </w:p>
        </w:tc>
        <w:tc>
          <w:tcPr>
            <w:tcW w:w="1831" w:type="dxa"/>
            <w:tcBorders>
              <w:top w:val="single" w:sz="2" w:space="0" w:color="1F4E79" w:themeColor="accent1" w:themeShade="80"/>
              <w:bottom w:val="single" w:sz="2" w:space="0" w:color="1F4E79" w:themeColor="accent1" w:themeShade="80"/>
            </w:tcBorders>
          </w:tcPr>
          <w:p w14:paraId="5BF6E7C7" w14:textId="77777777" w:rsidR="006A362F" w:rsidRPr="00C80F9A" w:rsidRDefault="006A362F" w:rsidP="002803B5">
            <w:pPr>
              <w:pStyle w:val="08-Tabelageral"/>
              <w:rPr>
                <w:rFonts w:cs="Arial"/>
                <w:b/>
                <w:bCs/>
                <w:szCs w:val="14"/>
              </w:rPr>
            </w:pPr>
            <w:r>
              <w:rPr>
                <w:rFonts w:cs="Arial"/>
                <w:b/>
                <w:bCs/>
                <w:szCs w:val="14"/>
              </w:rPr>
              <w:t>Restated balances</w:t>
            </w:r>
          </w:p>
        </w:tc>
      </w:tr>
      <w:tr w:rsidR="006A362F" w:rsidRPr="004A53AE" w14:paraId="76B1B422" w14:textId="77777777" w:rsidTr="004A53AE">
        <w:trPr>
          <w:trHeight w:val="238"/>
        </w:trPr>
        <w:tc>
          <w:tcPr>
            <w:tcW w:w="4644" w:type="dxa"/>
            <w:tcBorders>
              <w:top w:val="single" w:sz="2" w:space="0" w:color="1F4E79" w:themeColor="accent1" w:themeShade="80"/>
            </w:tcBorders>
            <w:shd w:val="clear" w:color="auto" w:fill="auto"/>
          </w:tcPr>
          <w:p w14:paraId="27582FD1" w14:textId="77777777" w:rsidR="006A362F" w:rsidRPr="004A53AE" w:rsidRDefault="006A362F" w:rsidP="004A53AE">
            <w:pPr>
              <w:pStyle w:val="08-Tabelageral"/>
              <w:jc w:val="left"/>
              <w:rPr>
                <w:rFonts w:cs="Arial"/>
                <w:b/>
                <w:bCs/>
                <w:szCs w:val="14"/>
              </w:rPr>
            </w:pPr>
            <w:r w:rsidRPr="004A53AE">
              <w:rPr>
                <w:b/>
                <w:bCs/>
              </w:rPr>
              <w:t>Net profit</w:t>
            </w:r>
          </w:p>
        </w:tc>
        <w:tc>
          <w:tcPr>
            <w:tcW w:w="1548" w:type="dxa"/>
            <w:tcBorders>
              <w:top w:val="single" w:sz="2" w:space="0" w:color="1F4E79" w:themeColor="accent1" w:themeShade="80"/>
            </w:tcBorders>
            <w:shd w:val="clear" w:color="auto" w:fill="auto"/>
          </w:tcPr>
          <w:p w14:paraId="7D2F26A2"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1,179,431</w:t>
            </w:r>
          </w:p>
        </w:tc>
        <w:tc>
          <w:tcPr>
            <w:tcW w:w="1831" w:type="dxa"/>
            <w:tcBorders>
              <w:top w:val="single" w:sz="2" w:space="0" w:color="1F4E79" w:themeColor="accent1" w:themeShade="80"/>
            </w:tcBorders>
            <w:shd w:val="clear" w:color="auto" w:fill="auto"/>
          </w:tcPr>
          <w:p w14:paraId="14EA2085" w14:textId="77777777" w:rsidR="006A362F" w:rsidRPr="004A53AE" w:rsidRDefault="006A362F" w:rsidP="004A53AE">
            <w:pPr>
              <w:pStyle w:val="08-Tabelageral"/>
              <w:rPr>
                <w:rFonts w:cs="Arial"/>
                <w:b/>
                <w:bCs/>
                <w:szCs w:val="14"/>
              </w:rPr>
            </w:pPr>
            <w:r w:rsidRPr="004A53AE">
              <w:rPr>
                <w:b/>
                <w:bCs/>
                <w:lang w:eastAsia="en-US"/>
              </w:rPr>
              <w:t>30,086</w:t>
            </w:r>
          </w:p>
        </w:tc>
        <w:tc>
          <w:tcPr>
            <w:tcW w:w="1831" w:type="dxa"/>
            <w:tcBorders>
              <w:top w:val="single" w:sz="2" w:space="0" w:color="1F4E79" w:themeColor="accent1" w:themeShade="80"/>
            </w:tcBorders>
            <w:shd w:val="clear" w:color="auto" w:fill="auto"/>
          </w:tcPr>
          <w:p w14:paraId="74EE57F8" w14:textId="77777777" w:rsidR="006A362F" w:rsidRPr="004A53AE" w:rsidRDefault="006A362F" w:rsidP="004A53AE">
            <w:pPr>
              <w:pStyle w:val="08-Tabelageral"/>
              <w:rPr>
                <w:rFonts w:cs="Arial"/>
                <w:b/>
                <w:bCs/>
                <w:szCs w:val="14"/>
              </w:rPr>
            </w:pPr>
            <w:r w:rsidRPr="004A53AE">
              <w:rPr>
                <w:b/>
                <w:bCs/>
                <w:lang w:eastAsia="en-US"/>
              </w:rPr>
              <w:t>1,209,517</w:t>
            </w:r>
          </w:p>
        </w:tc>
      </w:tr>
      <w:tr w:rsidR="006A362F" w:rsidRPr="004A53AE" w14:paraId="7F8F91BA" w14:textId="77777777" w:rsidTr="004A53AE">
        <w:trPr>
          <w:trHeight w:val="238"/>
        </w:trPr>
        <w:tc>
          <w:tcPr>
            <w:tcW w:w="4644" w:type="dxa"/>
            <w:shd w:val="clear" w:color="auto" w:fill="auto"/>
            <w:vAlign w:val="center"/>
          </w:tcPr>
          <w:p w14:paraId="1A58840D" w14:textId="77777777" w:rsidR="006A362F" w:rsidRPr="004A53AE" w:rsidRDefault="006A362F" w:rsidP="004A53AE">
            <w:pPr>
              <w:pStyle w:val="08-Tabelageral"/>
              <w:ind w:left="113"/>
              <w:jc w:val="left"/>
              <w:rPr>
                <w:rFonts w:cs="Arial"/>
                <w:b/>
                <w:bCs/>
                <w:szCs w:val="14"/>
              </w:rPr>
            </w:pPr>
            <w:r w:rsidRPr="004A53AE">
              <w:t>Equity income</w:t>
            </w:r>
          </w:p>
        </w:tc>
        <w:tc>
          <w:tcPr>
            <w:tcW w:w="1548" w:type="dxa"/>
            <w:shd w:val="clear" w:color="auto" w:fill="auto"/>
          </w:tcPr>
          <w:p w14:paraId="50CE9866" w14:textId="77777777" w:rsidR="006A362F" w:rsidRPr="004A53AE" w:rsidRDefault="006A362F" w:rsidP="004A53AE">
            <w:pPr>
              <w:pStyle w:val="08-Tabelageral"/>
              <w:rPr>
                <w:rFonts w:cs="Arial"/>
                <w:b/>
                <w:bCs/>
                <w:szCs w:val="14"/>
              </w:rPr>
            </w:pPr>
            <w:r w:rsidRPr="004A53AE">
              <w:rPr>
                <w:rFonts w:cs="Arial"/>
                <w:color w:val="000000"/>
                <w:szCs w:val="14"/>
                <w:lang w:eastAsia="en-US"/>
              </w:rPr>
              <w:t>(605,283)</w:t>
            </w:r>
          </w:p>
        </w:tc>
        <w:tc>
          <w:tcPr>
            <w:tcW w:w="1831" w:type="dxa"/>
            <w:shd w:val="clear" w:color="auto" w:fill="auto"/>
          </w:tcPr>
          <w:p w14:paraId="20B96B4E" w14:textId="77777777" w:rsidR="006A362F" w:rsidRPr="004A53AE" w:rsidRDefault="006A362F" w:rsidP="004A53AE">
            <w:pPr>
              <w:pStyle w:val="08-Tabelageral"/>
              <w:rPr>
                <w:rFonts w:cs="Arial"/>
                <w:b/>
                <w:bCs/>
                <w:szCs w:val="14"/>
              </w:rPr>
            </w:pPr>
            <w:r w:rsidRPr="004A53AE">
              <w:rPr>
                <w:lang w:eastAsia="en-US"/>
              </w:rPr>
              <w:t>(30,086)</w:t>
            </w:r>
          </w:p>
        </w:tc>
        <w:tc>
          <w:tcPr>
            <w:tcW w:w="1831" w:type="dxa"/>
            <w:shd w:val="clear" w:color="auto" w:fill="auto"/>
          </w:tcPr>
          <w:p w14:paraId="0456588B" w14:textId="77777777" w:rsidR="006A362F" w:rsidRPr="004A53AE" w:rsidRDefault="006A362F" w:rsidP="004A53AE">
            <w:pPr>
              <w:pStyle w:val="08-Tabelageral"/>
              <w:rPr>
                <w:rFonts w:cs="Arial"/>
                <w:b/>
                <w:bCs/>
                <w:szCs w:val="14"/>
              </w:rPr>
            </w:pPr>
            <w:r w:rsidRPr="004A53AE">
              <w:rPr>
                <w:lang w:eastAsia="en-US"/>
              </w:rPr>
              <w:t>(635,370)</w:t>
            </w:r>
          </w:p>
        </w:tc>
      </w:tr>
      <w:tr w:rsidR="006A362F" w:rsidRPr="00C80F9A" w14:paraId="15668B8E" w14:textId="77777777" w:rsidTr="004A53AE">
        <w:trPr>
          <w:trHeight w:val="238"/>
        </w:trPr>
        <w:tc>
          <w:tcPr>
            <w:tcW w:w="4644" w:type="dxa"/>
            <w:shd w:val="clear" w:color="auto" w:fill="auto"/>
          </w:tcPr>
          <w:p w14:paraId="41D6867B" w14:textId="77777777" w:rsidR="006A362F" w:rsidRPr="004A53AE" w:rsidRDefault="006A362F" w:rsidP="004A53AE">
            <w:pPr>
              <w:pStyle w:val="08-Tabelageral"/>
              <w:jc w:val="left"/>
              <w:rPr>
                <w:rFonts w:cs="Arial"/>
                <w:b/>
                <w:bCs/>
                <w:szCs w:val="14"/>
              </w:rPr>
            </w:pPr>
            <w:r w:rsidRPr="004A53AE">
              <w:rPr>
                <w:rFonts w:cs="Arial"/>
                <w:b/>
                <w:bCs/>
                <w:szCs w:val="14"/>
              </w:rPr>
              <w:t>Adjustment to net profit</w:t>
            </w:r>
          </w:p>
        </w:tc>
        <w:tc>
          <w:tcPr>
            <w:tcW w:w="1548" w:type="dxa"/>
            <w:shd w:val="clear" w:color="auto" w:fill="auto"/>
          </w:tcPr>
          <w:p w14:paraId="5DF1E48A" w14:textId="77777777" w:rsidR="006A362F" w:rsidRPr="004A53AE" w:rsidRDefault="006A362F" w:rsidP="004A53AE">
            <w:pPr>
              <w:pStyle w:val="08-Tabelageral"/>
              <w:rPr>
                <w:rFonts w:cs="Arial"/>
                <w:b/>
                <w:bCs/>
                <w:szCs w:val="14"/>
              </w:rPr>
            </w:pPr>
            <w:r w:rsidRPr="004A53AE">
              <w:rPr>
                <w:rFonts w:cs="Arial"/>
                <w:b/>
                <w:bCs/>
                <w:color w:val="000000"/>
                <w:szCs w:val="14"/>
                <w:lang w:eastAsia="en-US"/>
              </w:rPr>
              <w:t>600,214</w:t>
            </w:r>
          </w:p>
        </w:tc>
        <w:tc>
          <w:tcPr>
            <w:tcW w:w="1831" w:type="dxa"/>
            <w:shd w:val="clear" w:color="auto" w:fill="auto"/>
          </w:tcPr>
          <w:p w14:paraId="23D96364" w14:textId="77777777" w:rsidR="006A362F" w:rsidRPr="004A53AE" w:rsidRDefault="006A362F" w:rsidP="004A53AE">
            <w:pPr>
              <w:pStyle w:val="08-Tabelageral"/>
              <w:rPr>
                <w:rFonts w:cs="Arial"/>
                <w:b/>
                <w:bCs/>
                <w:szCs w:val="14"/>
              </w:rPr>
            </w:pPr>
            <w:r w:rsidRPr="004A53AE">
              <w:rPr>
                <w:rFonts w:cs="Arial"/>
                <w:b/>
                <w:bCs/>
                <w:szCs w:val="14"/>
                <w:lang w:eastAsia="en-US"/>
              </w:rPr>
              <w:t>--</w:t>
            </w:r>
          </w:p>
        </w:tc>
        <w:tc>
          <w:tcPr>
            <w:tcW w:w="1831" w:type="dxa"/>
            <w:shd w:val="clear" w:color="auto" w:fill="auto"/>
          </w:tcPr>
          <w:p w14:paraId="65C6C453" w14:textId="77777777" w:rsidR="006A362F" w:rsidRPr="00C80F9A" w:rsidRDefault="006A362F" w:rsidP="004A53AE">
            <w:pPr>
              <w:pStyle w:val="08-Tabelageral"/>
              <w:rPr>
                <w:rFonts w:cs="Arial"/>
                <w:b/>
                <w:bCs/>
                <w:szCs w:val="14"/>
              </w:rPr>
            </w:pPr>
            <w:r w:rsidRPr="004A53AE">
              <w:rPr>
                <w:rFonts w:cs="Arial"/>
                <w:b/>
                <w:bCs/>
                <w:color w:val="000000"/>
                <w:szCs w:val="14"/>
                <w:lang w:eastAsia="en-US"/>
              </w:rPr>
              <w:t>600,214</w:t>
            </w:r>
          </w:p>
        </w:tc>
      </w:tr>
      <w:tr w:rsidR="006A362F" w:rsidRPr="00C80F9A" w14:paraId="42B66F38" w14:textId="77777777" w:rsidTr="002803B5">
        <w:trPr>
          <w:trHeight w:val="238"/>
        </w:trPr>
        <w:tc>
          <w:tcPr>
            <w:tcW w:w="4644" w:type="dxa"/>
          </w:tcPr>
          <w:p w14:paraId="1A04938A" w14:textId="77777777" w:rsidR="006A362F" w:rsidRPr="006C4325" w:rsidRDefault="006A362F" w:rsidP="004A53AE">
            <w:pPr>
              <w:pStyle w:val="08-Tabelageral"/>
              <w:ind w:left="113"/>
              <w:jc w:val="left"/>
              <w:rPr>
                <w:rFonts w:cs="Arial"/>
                <w:szCs w:val="14"/>
                <w:lang w:val="en-US"/>
              </w:rPr>
            </w:pPr>
            <w:r w:rsidRPr="00311D15">
              <w:rPr>
                <w:rFonts w:cs="Arial"/>
                <w:szCs w:val="14"/>
                <w:lang w:val="en-US"/>
              </w:rPr>
              <w:t>Cash provided by operating activities</w:t>
            </w:r>
          </w:p>
        </w:tc>
        <w:tc>
          <w:tcPr>
            <w:tcW w:w="1548" w:type="dxa"/>
          </w:tcPr>
          <w:p w14:paraId="3C9CDD84" w14:textId="77777777" w:rsidR="006A362F" w:rsidRPr="004B4808" w:rsidRDefault="006A362F" w:rsidP="004A53AE">
            <w:pPr>
              <w:pStyle w:val="08-Tabelageral"/>
              <w:rPr>
                <w:rFonts w:cs="Arial"/>
                <w:b/>
                <w:bCs/>
                <w:color w:val="000000"/>
                <w:szCs w:val="14"/>
              </w:rPr>
            </w:pPr>
            <w:r>
              <w:rPr>
                <w:rFonts w:cs="Arial"/>
                <w:color w:val="000000"/>
                <w:szCs w:val="14"/>
                <w:lang w:eastAsia="en-US"/>
              </w:rPr>
              <w:t>347,970</w:t>
            </w:r>
          </w:p>
        </w:tc>
        <w:tc>
          <w:tcPr>
            <w:tcW w:w="1831" w:type="dxa"/>
          </w:tcPr>
          <w:p w14:paraId="68EAD642" w14:textId="77777777" w:rsidR="006A362F" w:rsidRDefault="006A362F" w:rsidP="004A53AE">
            <w:pPr>
              <w:pStyle w:val="08-Tabelageral"/>
              <w:rPr>
                <w:rFonts w:cs="Arial"/>
                <w:b/>
                <w:bCs/>
                <w:szCs w:val="14"/>
              </w:rPr>
            </w:pPr>
            <w:r>
              <w:rPr>
                <w:rFonts w:cs="Arial"/>
                <w:szCs w:val="14"/>
                <w:lang w:eastAsia="en-US"/>
              </w:rPr>
              <w:t>--</w:t>
            </w:r>
          </w:p>
        </w:tc>
        <w:tc>
          <w:tcPr>
            <w:tcW w:w="1831" w:type="dxa"/>
          </w:tcPr>
          <w:p w14:paraId="142AA2DB" w14:textId="77777777" w:rsidR="006A362F" w:rsidRPr="004B4808" w:rsidRDefault="006A362F" w:rsidP="004A53AE">
            <w:pPr>
              <w:pStyle w:val="08-Tabelageral"/>
              <w:rPr>
                <w:rFonts w:cs="Arial"/>
                <w:b/>
                <w:bCs/>
                <w:color w:val="000000"/>
                <w:szCs w:val="14"/>
              </w:rPr>
            </w:pPr>
            <w:r>
              <w:rPr>
                <w:rFonts w:cs="Arial"/>
                <w:color w:val="000000"/>
                <w:szCs w:val="14"/>
                <w:lang w:eastAsia="en-US"/>
              </w:rPr>
              <w:t>347,970</w:t>
            </w:r>
          </w:p>
        </w:tc>
      </w:tr>
      <w:tr w:rsidR="006A362F" w:rsidRPr="00C80F9A" w14:paraId="73AC49E3" w14:textId="77777777" w:rsidTr="002803B5">
        <w:trPr>
          <w:trHeight w:val="238"/>
        </w:trPr>
        <w:tc>
          <w:tcPr>
            <w:tcW w:w="4644" w:type="dxa"/>
          </w:tcPr>
          <w:p w14:paraId="6BD59201" w14:textId="77777777" w:rsidR="006A362F" w:rsidRPr="006C4325" w:rsidRDefault="006A362F" w:rsidP="004A53AE">
            <w:pPr>
              <w:pStyle w:val="08-Tabelageral"/>
              <w:ind w:left="113"/>
              <w:jc w:val="left"/>
              <w:rPr>
                <w:rFonts w:cs="Arial"/>
                <w:szCs w:val="14"/>
                <w:lang w:val="en-US"/>
              </w:rPr>
            </w:pPr>
            <w:r w:rsidRPr="00311D15">
              <w:rPr>
                <w:rFonts w:cs="Arial"/>
                <w:szCs w:val="14"/>
                <w:lang w:val="en-US"/>
              </w:rPr>
              <w:t>Cash provided by investment activities</w:t>
            </w:r>
          </w:p>
        </w:tc>
        <w:tc>
          <w:tcPr>
            <w:tcW w:w="1548" w:type="dxa"/>
          </w:tcPr>
          <w:p w14:paraId="7B4F2852" w14:textId="77777777" w:rsidR="006A362F" w:rsidRPr="004B4808" w:rsidRDefault="006A362F" w:rsidP="004A53AE">
            <w:pPr>
              <w:pStyle w:val="08-Tabelageral"/>
              <w:rPr>
                <w:rFonts w:cs="Arial"/>
                <w:b/>
                <w:bCs/>
                <w:color w:val="000000"/>
                <w:szCs w:val="14"/>
              </w:rPr>
            </w:pPr>
            <w:r>
              <w:rPr>
                <w:rFonts w:cs="Arial"/>
                <w:color w:val="000000"/>
                <w:szCs w:val="14"/>
                <w:lang w:eastAsia="en-US"/>
              </w:rPr>
              <w:t>571,909</w:t>
            </w:r>
          </w:p>
        </w:tc>
        <w:tc>
          <w:tcPr>
            <w:tcW w:w="1831" w:type="dxa"/>
          </w:tcPr>
          <w:p w14:paraId="26CACAA6" w14:textId="77777777" w:rsidR="006A362F" w:rsidRDefault="006A362F" w:rsidP="004A53AE">
            <w:pPr>
              <w:pStyle w:val="08-Tabelageral"/>
              <w:rPr>
                <w:rFonts w:cs="Arial"/>
                <w:b/>
                <w:bCs/>
                <w:szCs w:val="14"/>
              </w:rPr>
            </w:pPr>
            <w:r>
              <w:rPr>
                <w:rFonts w:cs="Arial"/>
                <w:szCs w:val="14"/>
                <w:lang w:eastAsia="en-US"/>
              </w:rPr>
              <w:t>--</w:t>
            </w:r>
          </w:p>
        </w:tc>
        <w:tc>
          <w:tcPr>
            <w:tcW w:w="1831" w:type="dxa"/>
          </w:tcPr>
          <w:p w14:paraId="4CCD1BB2" w14:textId="77777777" w:rsidR="006A362F" w:rsidRPr="004B4808" w:rsidRDefault="006A362F" w:rsidP="004A53AE">
            <w:pPr>
              <w:pStyle w:val="08-Tabelageral"/>
              <w:rPr>
                <w:rFonts w:cs="Arial"/>
                <w:b/>
                <w:bCs/>
                <w:color w:val="000000"/>
                <w:szCs w:val="14"/>
              </w:rPr>
            </w:pPr>
            <w:r>
              <w:rPr>
                <w:rFonts w:cs="Arial"/>
                <w:color w:val="000000"/>
                <w:szCs w:val="14"/>
                <w:lang w:eastAsia="en-US"/>
              </w:rPr>
              <w:t>571,909</w:t>
            </w:r>
          </w:p>
        </w:tc>
      </w:tr>
      <w:tr w:rsidR="006A362F" w:rsidRPr="00C80F9A" w14:paraId="0EC766E1" w14:textId="77777777" w:rsidTr="002803B5">
        <w:trPr>
          <w:trHeight w:val="238"/>
        </w:trPr>
        <w:tc>
          <w:tcPr>
            <w:tcW w:w="4644" w:type="dxa"/>
          </w:tcPr>
          <w:p w14:paraId="339B7B95" w14:textId="77777777" w:rsidR="006A362F" w:rsidRPr="006C4325" w:rsidRDefault="006A362F" w:rsidP="004A53AE">
            <w:pPr>
              <w:pStyle w:val="08-Tabelageral"/>
              <w:ind w:left="113"/>
              <w:jc w:val="left"/>
              <w:rPr>
                <w:rFonts w:cs="Arial"/>
                <w:szCs w:val="14"/>
                <w:lang w:val="en-US"/>
              </w:rPr>
            </w:pPr>
            <w:r w:rsidRPr="006C4325">
              <w:rPr>
                <w:rFonts w:cs="Arial"/>
                <w:szCs w:val="14"/>
                <w:lang w:val="en-US"/>
              </w:rPr>
              <w:t>Cash flow provided by financing activities</w:t>
            </w:r>
          </w:p>
        </w:tc>
        <w:tc>
          <w:tcPr>
            <w:tcW w:w="1548" w:type="dxa"/>
          </w:tcPr>
          <w:p w14:paraId="6EE0CF2E" w14:textId="77777777" w:rsidR="006A362F" w:rsidRPr="004B4808" w:rsidRDefault="006A362F" w:rsidP="004A53AE">
            <w:pPr>
              <w:pStyle w:val="08-Tabelageral"/>
              <w:rPr>
                <w:rFonts w:cs="Arial"/>
                <w:b/>
                <w:bCs/>
                <w:color w:val="000000"/>
                <w:szCs w:val="14"/>
              </w:rPr>
            </w:pPr>
            <w:r>
              <w:rPr>
                <w:rFonts w:cs="Arial"/>
                <w:color w:val="000000"/>
                <w:szCs w:val="14"/>
                <w:lang w:eastAsia="en-US"/>
              </w:rPr>
              <w:t>(1,857,011)</w:t>
            </w:r>
          </w:p>
        </w:tc>
        <w:tc>
          <w:tcPr>
            <w:tcW w:w="1831" w:type="dxa"/>
          </w:tcPr>
          <w:p w14:paraId="4178FF90" w14:textId="77777777" w:rsidR="006A362F" w:rsidRDefault="006A362F" w:rsidP="004A53AE">
            <w:pPr>
              <w:pStyle w:val="08-Tabelageral"/>
              <w:rPr>
                <w:rFonts w:cs="Arial"/>
                <w:b/>
                <w:bCs/>
                <w:szCs w:val="14"/>
              </w:rPr>
            </w:pPr>
            <w:r>
              <w:rPr>
                <w:rFonts w:cs="Arial"/>
                <w:szCs w:val="14"/>
                <w:lang w:eastAsia="en-US"/>
              </w:rPr>
              <w:t>--</w:t>
            </w:r>
          </w:p>
        </w:tc>
        <w:tc>
          <w:tcPr>
            <w:tcW w:w="1831" w:type="dxa"/>
          </w:tcPr>
          <w:p w14:paraId="59F107DC" w14:textId="77777777" w:rsidR="006A362F" w:rsidRPr="004B4808" w:rsidRDefault="006A362F" w:rsidP="004A53AE">
            <w:pPr>
              <w:pStyle w:val="08-Tabelageral"/>
              <w:rPr>
                <w:rFonts w:cs="Arial"/>
                <w:b/>
                <w:bCs/>
                <w:color w:val="000000"/>
                <w:szCs w:val="14"/>
              </w:rPr>
            </w:pPr>
            <w:r>
              <w:rPr>
                <w:rFonts w:cs="Arial"/>
                <w:color w:val="000000"/>
                <w:szCs w:val="14"/>
                <w:lang w:eastAsia="en-US"/>
              </w:rPr>
              <w:t>(1,857,011)</w:t>
            </w:r>
          </w:p>
        </w:tc>
      </w:tr>
      <w:tr w:rsidR="006A362F" w:rsidRPr="00924673" w14:paraId="318351E7" w14:textId="77777777" w:rsidTr="00A725AE">
        <w:trPr>
          <w:trHeight w:val="238"/>
        </w:trPr>
        <w:tc>
          <w:tcPr>
            <w:tcW w:w="4644" w:type="dxa"/>
            <w:tcBorders>
              <w:bottom w:val="single" w:sz="2" w:space="0" w:color="1F4E79" w:themeColor="accent1" w:themeShade="80"/>
            </w:tcBorders>
            <w:vAlign w:val="center"/>
          </w:tcPr>
          <w:p w14:paraId="12C2850E" w14:textId="77777777" w:rsidR="006A362F" w:rsidRPr="006C4325" w:rsidRDefault="006A362F" w:rsidP="004A53AE">
            <w:pPr>
              <w:pStyle w:val="08-Tabelageral"/>
              <w:jc w:val="left"/>
              <w:rPr>
                <w:rFonts w:cs="Arial"/>
                <w:b/>
                <w:bCs/>
                <w:szCs w:val="14"/>
                <w:lang w:val="en-US"/>
              </w:rPr>
            </w:pPr>
            <w:r w:rsidRPr="006C4325">
              <w:rPr>
                <w:b/>
                <w:bCs/>
                <w:lang w:val="en-US"/>
              </w:rPr>
              <w:t>Increase (decrease) in cash and cash equivalents</w:t>
            </w:r>
          </w:p>
        </w:tc>
        <w:tc>
          <w:tcPr>
            <w:tcW w:w="1548" w:type="dxa"/>
            <w:tcBorders>
              <w:bottom w:val="single" w:sz="2" w:space="0" w:color="1F4E79" w:themeColor="accent1" w:themeShade="80"/>
            </w:tcBorders>
          </w:tcPr>
          <w:p w14:paraId="4B773038" w14:textId="77777777" w:rsidR="006A362F" w:rsidRPr="00924673" w:rsidRDefault="006A362F" w:rsidP="004A53AE">
            <w:pPr>
              <w:pStyle w:val="08-Tabelageral"/>
              <w:rPr>
                <w:rFonts w:cs="Arial"/>
                <w:b/>
                <w:bCs/>
                <w:color w:val="000000"/>
                <w:szCs w:val="14"/>
              </w:rPr>
            </w:pPr>
            <w:r>
              <w:rPr>
                <w:rFonts w:cs="Arial"/>
                <w:b/>
                <w:bCs/>
                <w:color w:val="000000"/>
                <w:szCs w:val="14"/>
                <w:lang w:eastAsia="en-US"/>
              </w:rPr>
              <w:t>(937,132)</w:t>
            </w:r>
          </w:p>
        </w:tc>
        <w:tc>
          <w:tcPr>
            <w:tcW w:w="1831" w:type="dxa"/>
            <w:tcBorders>
              <w:bottom w:val="single" w:sz="2" w:space="0" w:color="1F4E79" w:themeColor="accent1" w:themeShade="80"/>
            </w:tcBorders>
          </w:tcPr>
          <w:p w14:paraId="3681AEC8" w14:textId="77777777" w:rsidR="006A362F" w:rsidRPr="00924673" w:rsidRDefault="006A362F" w:rsidP="004A53AE">
            <w:pPr>
              <w:pStyle w:val="08-Tabelageral"/>
              <w:rPr>
                <w:rFonts w:cs="Arial"/>
                <w:b/>
                <w:bCs/>
                <w:szCs w:val="14"/>
              </w:rPr>
            </w:pPr>
            <w:r>
              <w:rPr>
                <w:rFonts w:cs="Arial"/>
                <w:b/>
                <w:bCs/>
                <w:szCs w:val="14"/>
                <w:lang w:eastAsia="en-US"/>
              </w:rPr>
              <w:t>--</w:t>
            </w:r>
          </w:p>
        </w:tc>
        <w:tc>
          <w:tcPr>
            <w:tcW w:w="1831" w:type="dxa"/>
            <w:tcBorders>
              <w:bottom w:val="single" w:sz="2" w:space="0" w:color="1F4E79" w:themeColor="accent1" w:themeShade="80"/>
            </w:tcBorders>
          </w:tcPr>
          <w:p w14:paraId="281B11B7" w14:textId="77777777" w:rsidR="006A362F" w:rsidRPr="00924673" w:rsidRDefault="006A362F" w:rsidP="004A53AE">
            <w:pPr>
              <w:pStyle w:val="08-Tabelageral"/>
              <w:rPr>
                <w:rFonts w:cs="Arial"/>
                <w:b/>
                <w:bCs/>
                <w:color w:val="000000"/>
                <w:szCs w:val="14"/>
              </w:rPr>
            </w:pPr>
            <w:r>
              <w:rPr>
                <w:rFonts w:cs="Arial"/>
                <w:b/>
                <w:bCs/>
                <w:color w:val="000000"/>
                <w:szCs w:val="14"/>
                <w:lang w:eastAsia="en-US"/>
              </w:rPr>
              <w:t>(937,132)</w:t>
            </w:r>
          </w:p>
        </w:tc>
      </w:tr>
    </w:tbl>
    <w:p w14:paraId="15E9DC25" w14:textId="77777777" w:rsidR="006A362F" w:rsidRPr="001346BC" w:rsidRDefault="006A362F" w:rsidP="0043117D">
      <w:pPr>
        <w:rPr>
          <w:lang w:eastAsia="pt-BR"/>
        </w:rPr>
      </w:pPr>
    </w:p>
    <w:p w14:paraId="47AF2705" w14:textId="77777777" w:rsidR="006A362F" w:rsidRPr="006C4325" w:rsidRDefault="006A362F" w:rsidP="006C4325">
      <w:pPr>
        <w:pStyle w:val="03-SubttulodeNota"/>
        <w:rPr>
          <w:color w:val="1F4E79" w:themeColor="accent1" w:themeShade="80"/>
        </w:rPr>
      </w:pPr>
      <w:r w:rsidRPr="006C4325">
        <w:rPr>
          <w:color w:val="1F4E79" w:themeColor="accent1" w:themeShade="80"/>
        </w:rPr>
        <w:t xml:space="preserve">Statement </w:t>
      </w:r>
      <w:r>
        <w:rPr>
          <w:color w:val="1F4E79" w:themeColor="accent1" w:themeShade="80"/>
        </w:rPr>
        <w:t>o</w:t>
      </w:r>
      <w:r w:rsidRPr="006C4325">
        <w:rPr>
          <w:color w:val="1F4E79" w:themeColor="accent1" w:themeShade="80"/>
        </w:rPr>
        <w:t>f Value Added</w:t>
      </w:r>
    </w:p>
    <w:p w14:paraId="2578D1C5" w14:textId="77777777" w:rsidR="006A362F" w:rsidRDefault="006A362F" w:rsidP="0043117D">
      <w:pPr>
        <w:spacing w:before="120" w:after="120"/>
        <w:jc w:val="both"/>
        <w:rPr>
          <w:rStyle w:val="rynqvb"/>
          <w:rFonts w:cs="Arial"/>
          <w:szCs w:val="18"/>
          <w:lang w:val="en"/>
        </w:rPr>
      </w:pPr>
      <w:r w:rsidRPr="00426536">
        <w:rPr>
          <w:rStyle w:val="rynqvb"/>
          <w:rFonts w:cs="Arial"/>
          <w:szCs w:val="18"/>
          <w:lang w:val="en"/>
        </w:rPr>
        <w:t>To better adapt to the disclosure requirements of Technical Pronouncement CPC 09 - Added Value Statement and to comply with Official Letter No. 105/2022/CVM/SEP/GEA-5, of October 14, 2022, in the 1st Quarter of 2022,</w:t>
      </w:r>
      <w:r w:rsidRPr="00426536">
        <w:rPr>
          <w:rStyle w:val="hwtze"/>
          <w:rFonts w:cs="Arial"/>
          <w:szCs w:val="18"/>
          <w:lang w:val="en"/>
        </w:rPr>
        <w:t xml:space="preserve"> </w:t>
      </w:r>
      <w:r w:rsidRPr="00426536">
        <w:rPr>
          <w:rStyle w:val="rynqvb"/>
          <w:rFonts w:cs="Arial"/>
          <w:szCs w:val="18"/>
          <w:lang w:val="en"/>
        </w:rPr>
        <w:t>certain reclassifications were made in the presentation of the Added Value Statement with the corresponding reclassifications for comparison purposes.</w:t>
      </w:r>
      <w:r w:rsidRPr="00426536">
        <w:rPr>
          <w:rStyle w:val="hwtze"/>
          <w:rFonts w:cs="Arial"/>
          <w:szCs w:val="18"/>
          <w:lang w:val="en"/>
        </w:rPr>
        <w:t xml:space="preserve"> </w:t>
      </w:r>
      <w:r w:rsidRPr="00426536">
        <w:rPr>
          <w:rStyle w:val="rynqvb"/>
          <w:rFonts w:cs="Arial"/>
          <w:szCs w:val="18"/>
          <w:lang w:val="en"/>
        </w:rPr>
        <w:t>Additionally, due to the initial adoption of standards CPC 50 [IFRS 17] and CPC 48 [IFRS 9] for operating investees that sell insurance contracts, there were also adjustments in the respective statement of the parent company and consolidated in the Income from equity investments</w:t>
      </w:r>
      <w:r w:rsidRPr="00426536">
        <w:rPr>
          <w:rStyle w:val="hwtze"/>
          <w:rFonts w:cs="Arial"/>
          <w:szCs w:val="18"/>
          <w:lang w:val="en"/>
        </w:rPr>
        <w:t xml:space="preserve"> </w:t>
      </w:r>
      <w:r w:rsidRPr="00426536">
        <w:rPr>
          <w:rStyle w:val="rynqvb"/>
          <w:rFonts w:cs="Arial"/>
          <w:szCs w:val="18"/>
          <w:lang w:val="en"/>
        </w:rPr>
        <w:t>corporate interests and retained earnings in the period.</w:t>
      </w:r>
    </w:p>
    <w:p w14:paraId="27143C13" w14:textId="77777777" w:rsidR="006A362F" w:rsidRDefault="006A362F" w:rsidP="0043117D">
      <w:pPr>
        <w:spacing w:before="120" w:after="120"/>
        <w:jc w:val="both"/>
        <w:rPr>
          <w:rStyle w:val="rynqvb"/>
          <w:rFonts w:cs="Arial"/>
          <w:szCs w:val="18"/>
          <w:lang w:val="en"/>
        </w:rPr>
      </w:pPr>
      <w:r w:rsidRPr="00426536">
        <w:rPr>
          <w:rStyle w:val="rynqvb"/>
          <w:rFonts w:cs="Arial"/>
          <w:szCs w:val="18"/>
          <w:lang w:val="en"/>
        </w:rPr>
        <w:t xml:space="preserve"> In the controller's statement, new components were opened in the distribution of added value and reclassification of administrative and personnel expenses, as shown below.</w:t>
      </w:r>
    </w:p>
    <w:p w14:paraId="4E515FA5" w14:textId="77777777" w:rsidR="006A362F" w:rsidRPr="00426536" w:rsidRDefault="006A362F" w:rsidP="006A362F">
      <w:pPr>
        <w:pStyle w:val="PargrafodaLista"/>
        <w:numPr>
          <w:ilvl w:val="0"/>
          <w:numId w:val="35"/>
        </w:numPr>
        <w:spacing w:before="120" w:after="120"/>
        <w:jc w:val="both"/>
        <w:rPr>
          <w:rStyle w:val="rynqvb"/>
          <w:rFonts w:ascii="Arial" w:hAnsi="Arial" w:cs="Arial"/>
          <w:sz w:val="18"/>
          <w:szCs w:val="18"/>
          <w:lang w:val="en"/>
        </w:rPr>
      </w:pPr>
      <w:r w:rsidRPr="00426536">
        <w:rPr>
          <w:rStyle w:val="rynqvb"/>
          <w:rFonts w:ascii="Arial" w:hAnsi="Arial" w:cs="Arial"/>
          <w:sz w:val="18"/>
          <w:szCs w:val="18"/>
          <w:lang w:val="en"/>
        </w:rPr>
        <w:t>Administrative expenses for rents (R$ 188 thousand);</w:t>
      </w:r>
    </w:p>
    <w:p w14:paraId="22CF265E" w14:textId="77777777" w:rsidR="006A362F" w:rsidRPr="00426536" w:rsidRDefault="006A362F" w:rsidP="006A362F">
      <w:pPr>
        <w:pStyle w:val="PargrafodaLista"/>
        <w:numPr>
          <w:ilvl w:val="0"/>
          <w:numId w:val="35"/>
        </w:numPr>
        <w:spacing w:before="120" w:after="120"/>
        <w:jc w:val="both"/>
        <w:rPr>
          <w:rStyle w:val="rynqvb"/>
          <w:rFonts w:ascii="Arial" w:eastAsia="Times New Roman" w:hAnsi="Arial" w:cs="Arial"/>
          <w:spacing w:val="-2"/>
          <w:sz w:val="18"/>
          <w:szCs w:val="18"/>
          <w:lang w:val="en-US" w:eastAsia="pt-BR"/>
        </w:rPr>
      </w:pPr>
      <w:r w:rsidRPr="00426536">
        <w:rPr>
          <w:rStyle w:val="rynqvb"/>
          <w:rFonts w:ascii="Arial" w:hAnsi="Arial" w:cs="Arial"/>
          <w:sz w:val="18"/>
          <w:szCs w:val="18"/>
          <w:lang w:val="en"/>
        </w:rPr>
        <w:t>Personnel expenses (INSS) for federal taxes (R$ 457 thousand).</w:t>
      </w:r>
    </w:p>
    <w:p w14:paraId="7FFFAD6D" w14:textId="77777777" w:rsidR="006A362F" w:rsidRPr="00426536" w:rsidRDefault="006A362F" w:rsidP="00426536">
      <w:pPr>
        <w:spacing w:before="120" w:after="120"/>
        <w:jc w:val="both"/>
        <w:rPr>
          <w:rFonts w:eastAsia="Times New Roman" w:cs="Arial"/>
          <w:spacing w:val="-2"/>
          <w:szCs w:val="18"/>
          <w:lang w:val="en-US" w:eastAsia="pt-BR"/>
        </w:rPr>
      </w:pPr>
    </w:p>
    <w:p w14:paraId="0EAD212B" w14:textId="77777777" w:rsidR="006A362F" w:rsidRPr="001D4E06" w:rsidRDefault="006A362F" w:rsidP="00426536">
      <w:pPr>
        <w:pStyle w:val="PargrafodaLista"/>
        <w:keepNext/>
        <w:keepLines/>
        <w:pageBreakBefore/>
        <w:spacing w:after="0" w:line="240" w:lineRule="auto"/>
        <w:ind w:left="0"/>
        <w:jc w:val="right"/>
        <w:rPr>
          <w:rFonts w:ascii="Arial" w:hAnsi="Arial" w:cs="Arial"/>
          <w:b/>
          <w:sz w:val="14"/>
          <w:lang w:eastAsia="pt-BR"/>
        </w:rPr>
      </w:pPr>
      <w:r w:rsidRPr="001D4E06">
        <w:rPr>
          <w:rFonts w:ascii="Arial" w:hAnsi="Arial" w:cs="Arial"/>
          <w:b/>
          <w:sz w:val="14"/>
          <w:lang w:eastAsia="pt-BR"/>
        </w:rPr>
        <w:lastRenderedPageBreak/>
        <w:t>R$ thousand</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6A362F" w:rsidRPr="004A53AE" w14:paraId="311BB298" w14:textId="77777777" w:rsidTr="004A53A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2DE17C2" w14:textId="77777777" w:rsidR="006A362F" w:rsidRPr="00D84B8A" w:rsidRDefault="006A362F" w:rsidP="002803B5">
            <w:pPr>
              <w:jc w:val="center"/>
              <w:rPr>
                <w:rFonts w:cs="Arial"/>
                <w:b w:val="0"/>
                <w:sz w:val="14"/>
                <w:szCs w:val="14"/>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3D423C9A" w14:textId="77777777" w:rsidR="006A362F" w:rsidRPr="004A53AE" w:rsidRDefault="006A362F" w:rsidP="002803B5">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A53AE">
              <w:rPr>
                <w:rFonts w:cs="Arial"/>
                <w:sz w:val="14"/>
                <w:szCs w:val="14"/>
              </w:rPr>
              <w:t>Parent – 1</w:t>
            </w:r>
            <w:r w:rsidRPr="004A53AE">
              <w:rPr>
                <w:rFonts w:cs="Arial"/>
                <w:sz w:val="14"/>
                <w:szCs w:val="14"/>
                <w:vertAlign w:val="superscript"/>
              </w:rPr>
              <w:t xml:space="preserve">st </w:t>
            </w:r>
            <w:r w:rsidRPr="004A53AE">
              <w:rPr>
                <w:rFonts w:cs="Arial"/>
                <w:sz w:val="14"/>
                <w:szCs w:val="14"/>
              </w:rPr>
              <w:t>Quarter 2022</w:t>
            </w:r>
          </w:p>
        </w:tc>
      </w:tr>
      <w:tr w:rsidR="006A362F" w:rsidRPr="004A53AE" w14:paraId="59BB7911"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0E9F321C" w14:textId="77777777" w:rsidR="006A362F" w:rsidRPr="004A53AE" w:rsidRDefault="006A362F" w:rsidP="001D4E06">
            <w:pPr>
              <w:jc w:val="center"/>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0C521B31" w14:textId="77777777" w:rsidR="006A362F" w:rsidRPr="004A53AE" w:rsidRDefault="006A362F" w:rsidP="001D4E0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Original report</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44E9D10F" w14:textId="77777777" w:rsidR="006A362F" w:rsidRPr="004A53AE" w:rsidRDefault="006A362F" w:rsidP="001D4E0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A53AE">
              <w:rPr>
                <w:rFonts w:cs="Arial"/>
                <w:b/>
                <w:bCs/>
                <w:sz w:val="14"/>
                <w:szCs w:val="14"/>
              </w:rPr>
              <w:t>Reclassifications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5906175F" w14:textId="77777777" w:rsidR="006A362F" w:rsidRPr="004A53AE" w:rsidRDefault="006A362F" w:rsidP="001D4E0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Restated balances</w:t>
            </w:r>
          </w:p>
        </w:tc>
      </w:tr>
      <w:tr w:rsidR="006A362F" w:rsidRPr="004A53AE" w14:paraId="1D72E8B1"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08206E0D" w14:textId="77777777" w:rsidR="006A362F" w:rsidRPr="004A53AE" w:rsidRDefault="006A362F" w:rsidP="004A53AE">
            <w:pPr>
              <w:pStyle w:val="08-Tabelageral"/>
              <w:jc w:val="left"/>
              <w:rPr>
                <w:rFonts w:cs="Arial"/>
                <w:szCs w:val="14"/>
              </w:rPr>
            </w:pPr>
            <w:r w:rsidRPr="004A53AE">
              <w:t>Income</w:t>
            </w:r>
          </w:p>
        </w:tc>
        <w:tc>
          <w:tcPr>
            <w:tcW w:w="1889" w:type="dxa"/>
            <w:tcBorders>
              <w:top w:val="single" w:sz="2" w:space="0" w:color="1F4E79" w:themeColor="accent1" w:themeShade="80"/>
              <w:bottom w:val="nil"/>
            </w:tcBorders>
            <w:shd w:val="clear" w:color="auto" w:fill="auto"/>
            <w:vAlign w:val="bottom"/>
          </w:tcPr>
          <w:p w14:paraId="5F2A9946"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2,567</w:t>
            </w:r>
          </w:p>
        </w:tc>
        <w:tc>
          <w:tcPr>
            <w:tcW w:w="1890" w:type="dxa"/>
            <w:tcBorders>
              <w:top w:val="single" w:sz="2" w:space="0" w:color="1F4E79" w:themeColor="accent1" w:themeShade="80"/>
              <w:bottom w:val="nil"/>
            </w:tcBorders>
            <w:shd w:val="clear" w:color="auto" w:fill="auto"/>
            <w:vAlign w:val="center"/>
          </w:tcPr>
          <w:p w14:paraId="0047073F"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1890" w:type="dxa"/>
            <w:tcBorders>
              <w:top w:val="single" w:sz="2" w:space="0" w:color="1F4E79" w:themeColor="accent1" w:themeShade="80"/>
              <w:bottom w:val="nil"/>
            </w:tcBorders>
            <w:shd w:val="clear" w:color="auto" w:fill="auto"/>
            <w:vAlign w:val="center"/>
          </w:tcPr>
          <w:p w14:paraId="3FEDB62E"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2,567</w:t>
            </w:r>
          </w:p>
        </w:tc>
      </w:tr>
      <w:tr w:rsidR="006A362F" w:rsidRPr="004A53AE" w14:paraId="78D78D3A"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C559854" w14:textId="77777777" w:rsidR="006A362F" w:rsidRPr="004A53AE" w:rsidRDefault="006A362F" w:rsidP="004A53AE">
            <w:pPr>
              <w:pStyle w:val="08-Tabelageral"/>
              <w:jc w:val="left"/>
              <w:rPr>
                <w:rFonts w:cs="Arial"/>
                <w:szCs w:val="14"/>
                <w:lang w:val="en-US"/>
              </w:rPr>
            </w:pPr>
            <w:r w:rsidRPr="004A53AE">
              <w:rPr>
                <w:lang w:val="en-US"/>
              </w:rPr>
              <w:t>Input Acquired from Third Parties</w:t>
            </w:r>
          </w:p>
        </w:tc>
        <w:tc>
          <w:tcPr>
            <w:tcW w:w="1889" w:type="dxa"/>
            <w:tcBorders>
              <w:top w:val="nil"/>
              <w:bottom w:val="nil"/>
            </w:tcBorders>
            <w:shd w:val="clear" w:color="auto" w:fill="auto"/>
            <w:vAlign w:val="bottom"/>
          </w:tcPr>
          <w:p w14:paraId="5AC1BA09"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(705)</w:t>
            </w:r>
          </w:p>
        </w:tc>
        <w:tc>
          <w:tcPr>
            <w:tcW w:w="1890" w:type="dxa"/>
            <w:tcBorders>
              <w:top w:val="nil"/>
              <w:bottom w:val="nil"/>
            </w:tcBorders>
            <w:shd w:val="clear" w:color="auto" w:fill="auto"/>
            <w:vAlign w:val="center"/>
          </w:tcPr>
          <w:p w14:paraId="550ADE35"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188</w:t>
            </w:r>
          </w:p>
        </w:tc>
        <w:tc>
          <w:tcPr>
            <w:tcW w:w="1890" w:type="dxa"/>
            <w:tcBorders>
              <w:top w:val="nil"/>
              <w:bottom w:val="nil"/>
            </w:tcBorders>
            <w:shd w:val="clear" w:color="auto" w:fill="auto"/>
            <w:vAlign w:val="center"/>
          </w:tcPr>
          <w:p w14:paraId="1CFB8986"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(517)</w:t>
            </w:r>
          </w:p>
        </w:tc>
      </w:tr>
      <w:tr w:rsidR="006A362F" w:rsidRPr="004A53AE" w14:paraId="6F9D7D50"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051E914" w14:textId="77777777" w:rsidR="006A362F" w:rsidRPr="004A53AE" w:rsidRDefault="006A362F" w:rsidP="004A53AE">
            <w:pPr>
              <w:pStyle w:val="08-Tabelageral"/>
              <w:ind w:left="113"/>
              <w:jc w:val="left"/>
              <w:rPr>
                <w:rFonts w:cs="Arial"/>
                <w:b w:val="0"/>
                <w:szCs w:val="14"/>
              </w:rPr>
            </w:pPr>
            <w:r w:rsidRPr="004A53AE">
              <w:rPr>
                <w:b w:val="0"/>
              </w:rPr>
              <w:t>Administrative expenses diverse</w:t>
            </w:r>
          </w:p>
        </w:tc>
        <w:tc>
          <w:tcPr>
            <w:tcW w:w="1889" w:type="dxa"/>
            <w:tcBorders>
              <w:top w:val="nil"/>
              <w:bottom w:val="nil"/>
            </w:tcBorders>
            <w:shd w:val="clear" w:color="auto" w:fill="auto"/>
            <w:vAlign w:val="bottom"/>
          </w:tcPr>
          <w:p w14:paraId="6167533E"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(632)</w:t>
            </w:r>
          </w:p>
        </w:tc>
        <w:tc>
          <w:tcPr>
            <w:tcW w:w="1890" w:type="dxa"/>
            <w:tcBorders>
              <w:top w:val="nil"/>
              <w:bottom w:val="nil"/>
            </w:tcBorders>
            <w:shd w:val="clear" w:color="auto" w:fill="auto"/>
            <w:vAlign w:val="center"/>
          </w:tcPr>
          <w:p w14:paraId="53F16D75"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188</w:t>
            </w:r>
          </w:p>
        </w:tc>
        <w:tc>
          <w:tcPr>
            <w:tcW w:w="1890" w:type="dxa"/>
            <w:tcBorders>
              <w:top w:val="nil"/>
              <w:bottom w:val="nil"/>
            </w:tcBorders>
            <w:shd w:val="clear" w:color="auto" w:fill="auto"/>
            <w:vAlign w:val="center"/>
          </w:tcPr>
          <w:p w14:paraId="7000F3FF"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(444)</w:t>
            </w:r>
          </w:p>
        </w:tc>
      </w:tr>
      <w:tr w:rsidR="006A362F" w:rsidRPr="004A53AE" w14:paraId="0235D4E9"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7DD53B0" w14:textId="77777777" w:rsidR="006A362F" w:rsidRPr="004A53AE" w:rsidRDefault="006A362F" w:rsidP="004A53AE">
            <w:pPr>
              <w:pStyle w:val="08-Tabelageral"/>
              <w:ind w:left="113"/>
              <w:jc w:val="left"/>
              <w:rPr>
                <w:rFonts w:cs="Arial"/>
                <w:b w:val="0"/>
                <w:szCs w:val="14"/>
              </w:rPr>
            </w:pPr>
            <w:r w:rsidRPr="004A53AE">
              <w:rPr>
                <w:b w:val="0"/>
              </w:rPr>
              <w:t>Other expenses</w:t>
            </w:r>
          </w:p>
        </w:tc>
        <w:tc>
          <w:tcPr>
            <w:tcW w:w="1889" w:type="dxa"/>
            <w:tcBorders>
              <w:top w:val="nil"/>
              <w:bottom w:val="nil"/>
            </w:tcBorders>
            <w:shd w:val="clear" w:color="auto" w:fill="auto"/>
            <w:vAlign w:val="center"/>
          </w:tcPr>
          <w:p w14:paraId="50E03086"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(73)</w:t>
            </w:r>
          </w:p>
        </w:tc>
        <w:tc>
          <w:tcPr>
            <w:tcW w:w="1890" w:type="dxa"/>
            <w:tcBorders>
              <w:top w:val="nil"/>
              <w:bottom w:val="nil"/>
            </w:tcBorders>
            <w:shd w:val="clear" w:color="auto" w:fill="auto"/>
            <w:vAlign w:val="center"/>
          </w:tcPr>
          <w:p w14:paraId="43B25740"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w:t>
            </w:r>
          </w:p>
        </w:tc>
        <w:tc>
          <w:tcPr>
            <w:tcW w:w="1890" w:type="dxa"/>
            <w:tcBorders>
              <w:top w:val="nil"/>
              <w:bottom w:val="nil"/>
            </w:tcBorders>
            <w:shd w:val="clear" w:color="auto" w:fill="auto"/>
            <w:vAlign w:val="center"/>
          </w:tcPr>
          <w:p w14:paraId="2BCA1289"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(73)</w:t>
            </w:r>
          </w:p>
        </w:tc>
      </w:tr>
      <w:tr w:rsidR="006A362F" w:rsidRPr="004A53AE" w14:paraId="4FBD7035"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66359887" w14:textId="77777777" w:rsidR="006A362F" w:rsidRPr="004A53AE" w:rsidRDefault="006A362F" w:rsidP="004A53AE">
            <w:pPr>
              <w:pStyle w:val="08-Tabelageral"/>
              <w:jc w:val="left"/>
              <w:rPr>
                <w:rFonts w:cs="Arial"/>
                <w:szCs w:val="14"/>
              </w:rPr>
            </w:pPr>
            <w:r w:rsidRPr="004A53AE">
              <w:t>Gross Added Value</w:t>
            </w:r>
          </w:p>
        </w:tc>
        <w:tc>
          <w:tcPr>
            <w:tcW w:w="1889" w:type="dxa"/>
            <w:tcBorders>
              <w:top w:val="nil"/>
              <w:bottom w:val="nil"/>
            </w:tcBorders>
            <w:shd w:val="clear" w:color="auto" w:fill="auto"/>
            <w:vAlign w:val="center"/>
          </w:tcPr>
          <w:p w14:paraId="3129617E"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1,862</w:t>
            </w:r>
          </w:p>
        </w:tc>
        <w:tc>
          <w:tcPr>
            <w:tcW w:w="1890" w:type="dxa"/>
            <w:tcBorders>
              <w:top w:val="nil"/>
              <w:bottom w:val="nil"/>
            </w:tcBorders>
            <w:shd w:val="clear" w:color="auto" w:fill="auto"/>
            <w:vAlign w:val="center"/>
          </w:tcPr>
          <w:p w14:paraId="1B8DDF37"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188</w:t>
            </w:r>
          </w:p>
        </w:tc>
        <w:tc>
          <w:tcPr>
            <w:tcW w:w="1890" w:type="dxa"/>
            <w:tcBorders>
              <w:top w:val="nil"/>
              <w:bottom w:val="nil"/>
            </w:tcBorders>
            <w:shd w:val="clear" w:color="auto" w:fill="auto"/>
            <w:vAlign w:val="center"/>
          </w:tcPr>
          <w:p w14:paraId="2CB8FC8D"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2,050</w:t>
            </w:r>
          </w:p>
        </w:tc>
      </w:tr>
      <w:tr w:rsidR="006A362F" w:rsidRPr="004A53AE" w14:paraId="7A0C0859"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18689EE" w14:textId="77777777" w:rsidR="006A362F" w:rsidRPr="004A53AE" w:rsidRDefault="006A362F" w:rsidP="004A53AE">
            <w:pPr>
              <w:pStyle w:val="08-Tabelageral"/>
              <w:jc w:val="left"/>
              <w:rPr>
                <w:rFonts w:cs="Arial"/>
                <w:szCs w:val="14"/>
              </w:rPr>
            </w:pPr>
            <w:r w:rsidRPr="004A53AE">
              <w:t>Depreciation and amortization</w:t>
            </w:r>
          </w:p>
        </w:tc>
        <w:tc>
          <w:tcPr>
            <w:tcW w:w="1889" w:type="dxa"/>
            <w:tcBorders>
              <w:top w:val="nil"/>
              <w:bottom w:val="nil"/>
            </w:tcBorders>
            <w:shd w:val="clear" w:color="auto" w:fill="auto"/>
            <w:vAlign w:val="center"/>
          </w:tcPr>
          <w:p w14:paraId="11663FCA"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(35)</w:t>
            </w:r>
          </w:p>
        </w:tc>
        <w:tc>
          <w:tcPr>
            <w:tcW w:w="1890" w:type="dxa"/>
            <w:tcBorders>
              <w:top w:val="nil"/>
              <w:bottom w:val="nil"/>
            </w:tcBorders>
            <w:shd w:val="clear" w:color="auto" w:fill="auto"/>
            <w:vAlign w:val="center"/>
          </w:tcPr>
          <w:p w14:paraId="1AA9D112"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1890" w:type="dxa"/>
            <w:tcBorders>
              <w:top w:val="nil"/>
              <w:bottom w:val="nil"/>
            </w:tcBorders>
            <w:shd w:val="clear" w:color="auto" w:fill="auto"/>
            <w:vAlign w:val="center"/>
          </w:tcPr>
          <w:p w14:paraId="7FC66B37"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(35)</w:t>
            </w:r>
          </w:p>
        </w:tc>
      </w:tr>
      <w:tr w:rsidR="006A362F" w:rsidRPr="004A53AE" w14:paraId="6FD3FD18"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AA949C6" w14:textId="77777777" w:rsidR="006A362F" w:rsidRPr="004A53AE" w:rsidRDefault="006A362F" w:rsidP="004A53AE">
            <w:pPr>
              <w:pStyle w:val="08-Tabelageral"/>
              <w:jc w:val="left"/>
              <w:rPr>
                <w:rFonts w:cs="Arial"/>
                <w:szCs w:val="14"/>
                <w:lang w:val="en-US"/>
              </w:rPr>
            </w:pPr>
            <w:r w:rsidRPr="004A53AE">
              <w:rPr>
                <w:lang w:val="en-US"/>
              </w:rPr>
              <w:t>Net Added Value Generated by the Entity</w:t>
            </w:r>
          </w:p>
        </w:tc>
        <w:tc>
          <w:tcPr>
            <w:tcW w:w="1889" w:type="dxa"/>
            <w:tcBorders>
              <w:top w:val="nil"/>
              <w:bottom w:val="nil"/>
            </w:tcBorders>
            <w:shd w:val="clear" w:color="auto" w:fill="auto"/>
            <w:vAlign w:val="bottom"/>
          </w:tcPr>
          <w:p w14:paraId="0B800C1F"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1,827</w:t>
            </w:r>
          </w:p>
        </w:tc>
        <w:tc>
          <w:tcPr>
            <w:tcW w:w="1890" w:type="dxa"/>
            <w:tcBorders>
              <w:top w:val="nil"/>
              <w:bottom w:val="nil"/>
            </w:tcBorders>
            <w:shd w:val="clear" w:color="auto" w:fill="auto"/>
            <w:vAlign w:val="center"/>
          </w:tcPr>
          <w:p w14:paraId="4A5DB6E9"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188</w:t>
            </w:r>
          </w:p>
        </w:tc>
        <w:tc>
          <w:tcPr>
            <w:tcW w:w="1890" w:type="dxa"/>
            <w:tcBorders>
              <w:top w:val="nil"/>
              <w:bottom w:val="nil"/>
            </w:tcBorders>
            <w:shd w:val="clear" w:color="auto" w:fill="auto"/>
            <w:vAlign w:val="center"/>
          </w:tcPr>
          <w:p w14:paraId="083EE496"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2,015</w:t>
            </w:r>
          </w:p>
        </w:tc>
      </w:tr>
      <w:tr w:rsidR="006A362F" w:rsidRPr="004A53AE" w14:paraId="05F93AE3"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2A1812C" w14:textId="77777777" w:rsidR="006A362F" w:rsidRPr="004A53AE" w:rsidRDefault="006A362F" w:rsidP="004A53AE">
            <w:pPr>
              <w:pStyle w:val="08-Tabelageral"/>
              <w:jc w:val="left"/>
              <w:rPr>
                <w:rFonts w:cs="Arial"/>
                <w:szCs w:val="14"/>
                <w:lang w:val="en-US"/>
              </w:rPr>
            </w:pPr>
            <w:r w:rsidRPr="004A53AE">
              <w:rPr>
                <w:lang w:val="en-US"/>
              </w:rPr>
              <w:t>Added Value Received Through Transfer</w:t>
            </w:r>
          </w:p>
        </w:tc>
        <w:tc>
          <w:tcPr>
            <w:tcW w:w="1889" w:type="dxa"/>
            <w:tcBorders>
              <w:top w:val="nil"/>
              <w:bottom w:val="nil"/>
            </w:tcBorders>
            <w:shd w:val="clear" w:color="auto" w:fill="auto"/>
            <w:vAlign w:val="bottom"/>
          </w:tcPr>
          <w:p w14:paraId="78E54DC5"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1,209,311</w:t>
            </w:r>
          </w:p>
        </w:tc>
        <w:tc>
          <w:tcPr>
            <w:tcW w:w="1890" w:type="dxa"/>
            <w:tcBorders>
              <w:top w:val="nil"/>
              <w:bottom w:val="nil"/>
            </w:tcBorders>
            <w:shd w:val="clear" w:color="auto" w:fill="auto"/>
            <w:vAlign w:val="center"/>
          </w:tcPr>
          <w:p w14:paraId="0FE58823"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30,086</w:t>
            </w:r>
          </w:p>
        </w:tc>
        <w:tc>
          <w:tcPr>
            <w:tcW w:w="1890" w:type="dxa"/>
            <w:tcBorders>
              <w:top w:val="nil"/>
              <w:bottom w:val="nil"/>
            </w:tcBorders>
            <w:shd w:val="clear" w:color="auto" w:fill="auto"/>
            <w:vAlign w:val="center"/>
          </w:tcPr>
          <w:p w14:paraId="73A46D12"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1,239,397</w:t>
            </w:r>
          </w:p>
        </w:tc>
      </w:tr>
      <w:tr w:rsidR="006A362F" w:rsidRPr="004A53AE" w14:paraId="1D4B7CB2"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554C6F2" w14:textId="77777777" w:rsidR="006A362F" w:rsidRPr="004A53AE" w:rsidRDefault="006A362F" w:rsidP="004A53AE">
            <w:pPr>
              <w:pStyle w:val="08-Tabelageral"/>
              <w:ind w:left="113"/>
              <w:jc w:val="left"/>
              <w:rPr>
                <w:rFonts w:cs="Arial"/>
                <w:b w:val="0"/>
                <w:szCs w:val="14"/>
                <w:lang w:val="en-US"/>
              </w:rPr>
            </w:pPr>
            <w:r w:rsidRPr="004A53AE">
              <w:rPr>
                <w:b w:val="0"/>
                <w:lang w:val="en-US"/>
              </w:rPr>
              <w:t>Equity in the earnings of associates</w:t>
            </w:r>
          </w:p>
        </w:tc>
        <w:tc>
          <w:tcPr>
            <w:tcW w:w="1889" w:type="dxa"/>
            <w:tcBorders>
              <w:top w:val="nil"/>
              <w:bottom w:val="nil"/>
            </w:tcBorders>
            <w:shd w:val="clear" w:color="auto" w:fill="auto"/>
            <w:vAlign w:val="bottom"/>
          </w:tcPr>
          <w:p w14:paraId="6060F965"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4A53AE">
              <w:rPr>
                <w:rFonts w:cs="Arial"/>
                <w:szCs w:val="14"/>
                <w:lang w:eastAsia="en-US"/>
              </w:rPr>
              <w:t>1,179,084</w:t>
            </w:r>
          </w:p>
        </w:tc>
        <w:tc>
          <w:tcPr>
            <w:tcW w:w="1890" w:type="dxa"/>
            <w:tcBorders>
              <w:top w:val="nil"/>
              <w:bottom w:val="nil"/>
            </w:tcBorders>
            <w:shd w:val="clear" w:color="auto" w:fill="auto"/>
            <w:vAlign w:val="center"/>
          </w:tcPr>
          <w:p w14:paraId="034C7C79"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4A53AE">
              <w:rPr>
                <w:rFonts w:cs="Arial"/>
                <w:bCs/>
                <w:szCs w:val="14"/>
                <w:lang w:eastAsia="en-US"/>
              </w:rPr>
              <w:t>30,086</w:t>
            </w:r>
          </w:p>
        </w:tc>
        <w:tc>
          <w:tcPr>
            <w:tcW w:w="1890" w:type="dxa"/>
            <w:tcBorders>
              <w:top w:val="nil"/>
              <w:bottom w:val="nil"/>
            </w:tcBorders>
            <w:shd w:val="clear" w:color="auto" w:fill="auto"/>
            <w:vAlign w:val="center"/>
          </w:tcPr>
          <w:p w14:paraId="284FED33"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szCs w:val="14"/>
              </w:rPr>
            </w:pPr>
            <w:r w:rsidRPr="004A53AE">
              <w:rPr>
                <w:rFonts w:cs="Arial"/>
                <w:szCs w:val="14"/>
                <w:lang w:eastAsia="en-US"/>
              </w:rPr>
              <w:t>1,209,170</w:t>
            </w:r>
          </w:p>
        </w:tc>
      </w:tr>
      <w:tr w:rsidR="006A362F" w:rsidRPr="004A53AE" w14:paraId="04115A9F"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3FB87DC" w14:textId="77777777" w:rsidR="006A362F" w:rsidRPr="004A53AE" w:rsidRDefault="006A362F" w:rsidP="004A53AE">
            <w:pPr>
              <w:pStyle w:val="08-Tabelageral"/>
              <w:ind w:left="113"/>
              <w:jc w:val="left"/>
              <w:rPr>
                <w:rFonts w:cs="Arial"/>
                <w:b w:val="0"/>
                <w:szCs w:val="14"/>
              </w:rPr>
            </w:pPr>
            <w:r w:rsidRPr="004A53AE">
              <w:rPr>
                <w:b w:val="0"/>
              </w:rPr>
              <w:t>Financial income</w:t>
            </w:r>
          </w:p>
        </w:tc>
        <w:tc>
          <w:tcPr>
            <w:tcW w:w="1889" w:type="dxa"/>
            <w:tcBorders>
              <w:top w:val="nil"/>
              <w:bottom w:val="nil"/>
            </w:tcBorders>
            <w:shd w:val="clear" w:color="auto" w:fill="auto"/>
            <w:vAlign w:val="bottom"/>
          </w:tcPr>
          <w:p w14:paraId="139802E7"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4A53AE">
              <w:rPr>
                <w:rFonts w:cs="Arial"/>
                <w:szCs w:val="14"/>
                <w:lang w:eastAsia="en-US"/>
              </w:rPr>
              <w:t>30,227</w:t>
            </w:r>
          </w:p>
        </w:tc>
        <w:tc>
          <w:tcPr>
            <w:tcW w:w="1890" w:type="dxa"/>
            <w:tcBorders>
              <w:top w:val="nil"/>
              <w:bottom w:val="nil"/>
            </w:tcBorders>
            <w:shd w:val="clear" w:color="auto" w:fill="auto"/>
            <w:vAlign w:val="center"/>
          </w:tcPr>
          <w:p w14:paraId="49B414AF"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4A53AE">
              <w:rPr>
                <w:rFonts w:cs="Arial"/>
                <w:bCs/>
                <w:szCs w:val="14"/>
                <w:lang w:eastAsia="en-US"/>
              </w:rPr>
              <w:t>--</w:t>
            </w:r>
          </w:p>
        </w:tc>
        <w:tc>
          <w:tcPr>
            <w:tcW w:w="1890" w:type="dxa"/>
            <w:tcBorders>
              <w:top w:val="nil"/>
              <w:bottom w:val="nil"/>
            </w:tcBorders>
            <w:shd w:val="clear" w:color="auto" w:fill="auto"/>
            <w:vAlign w:val="center"/>
          </w:tcPr>
          <w:p w14:paraId="1C8A6354"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szCs w:val="14"/>
              </w:rPr>
            </w:pPr>
            <w:r w:rsidRPr="004A53AE">
              <w:rPr>
                <w:rFonts w:cs="Arial"/>
                <w:bCs/>
                <w:szCs w:val="14"/>
                <w:lang w:eastAsia="en-US"/>
              </w:rPr>
              <w:t>30,227</w:t>
            </w:r>
          </w:p>
        </w:tc>
      </w:tr>
      <w:tr w:rsidR="006A362F" w:rsidRPr="004A53AE" w14:paraId="30510A28"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8CE35B8" w14:textId="77777777" w:rsidR="006A362F" w:rsidRPr="004A53AE" w:rsidRDefault="006A362F" w:rsidP="004A53AE">
            <w:pPr>
              <w:pStyle w:val="08-Tabelageral"/>
              <w:jc w:val="left"/>
              <w:rPr>
                <w:rFonts w:cs="Arial"/>
                <w:szCs w:val="14"/>
                <w:lang w:val="en-US"/>
              </w:rPr>
            </w:pPr>
            <w:r w:rsidRPr="004A53AE">
              <w:rPr>
                <w:lang w:val="en-US"/>
              </w:rPr>
              <w:t>Total Added Value to Distribute</w:t>
            </w:r>
          </w:p>
        </w:tc>
        <w:tc>
          <w:tcPr>
            <w:tcW w:w="1889" w:type="dxa"/>
            <w:tcBorders>
              <w:top w:val="nil"/>
              <w:bottom w:val="nil"/>
            </w:tcBorders>
            <w:shd w:val="clear" w:color="auto" w:fill="auto"/>
            <w:vAlign w:val="center"/>
          </w:tcPr>
          <w:p w14:paraId="09EF90EA"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1,211,138</w:t>
            </w:r>
          </w:p>
        </w:tc>
        <w:tc>
          <w:tcPr>
            <w:tcW w:w="1890" w:type="dxa"/>
            <w:tcBorders>
              <w:top w:val="nil"/>
              <w:bottom w:val="nil"/>
            </w:tcBorders>
            <w:shd w:val="clear" w:color="auto" w:fill="auto"/>
            <w:vAlign w:val="center"/>
          </w:tcPr>
          <w:p w14:paraId="469715E8"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30,274</w:t>
            </w:r>
          </w:p>
        </w:tc>
        <w:tc>
          <w:tcPr>
            <w:tcW w:w="1890" w:type="dxa"/>
            <w:tcBorders>
              <w:top w:val="nil"/>
              <w:bottom w:val="nil"/>
            </w:tcBorders>
            <w:shd w:val="clear" w:color="auto" w:fill="auto"/>
            <w:vAlign w:val="center"/>
          </w:tcPr>
          <w:p w14:paraId="2D304843"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1,241,412</w:t>
            </w:r>
          </w:p>
        </w:tc>
      </w:tr>
      <w:tr w:rsidR="006A362F" w:rsidRPr="004A53AE" w14:paraId="6FD3D50F"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FFF75E0" w14:textId="77777777" w:rsidR="006A362F" w:rsidRPr="004A53AE" w:rsidRDefault="006A362F" w:rsidP="004A53AE">
            <w:pPr>
              <w:pStyle w:val="08-Tabelageral"/>
              <w:jc w:val="left"/>
              <w:rPr>
                <w:rFonts w:cs="Arial"/>
                <w:szCs w:val="14"/>
              </w:rPr>
            </w:pPr>
          </w:p>
        </w:tc>
        <w:tc>
          <w:tcPr>
            <w:tcW w:w="1889" w:type="dxa"/>
            <w:tcBorders>
              <w:top w:val="nil"/>
              <w:bottom w:val="nil"/>
            </w:tcBorders>
            <w:shd w:val="clear" w:color="auto" w:fill="auto"/>
            <w:vAlign w:val="center"/>
          </w:tcPr>
          <w:p w14:paraId="7659E7F1"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7223F305"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c>
          <w:tcPr>
            <w:tcW w:w="1890" w:type="dxa"/>
            <w:tcBorders>
              <w:top w:val="nil"/>
              <w:bottom w:val="nil"/>
            </w:tcBorders>
            <w:shd w:val="clear" w:color="auto" w:fill="auto"/>
            <w:vAlign w:val="center"/>
          </w:tcPr>
          <w:p w14:paraId="682F0B5D"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p>
        </w:tc>
      </w:tr>
      <w:tr w:rsidR="006A362F" w:rsidRPr="004A53AE" w14:paraId="5AD193AC"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CA19E55" w14:textId="77777777" w:rsidR="006A362F" w:rsidRPr="004A53AE" w:rsidRDefault="006A362F" w:rsidP="004A53AE">
            <w:pPr>
              <w:pStyle w:val="08-Tabelageral"/>
              <w:jc w:val="left"/>
              <w:rPr>
                <w:rFonts w:cs="Arial"/>
                <w:szCs w:val="14"/>
              </w:rPr>
            </w:pPr>
            <w:r w:rsidRPr="004A53AE">
              <w:t>Distribution of Added Value</w:t>
            </w:r>
          </w:p>
        </w:tc>
        <w:tc>
          <w:tcPr>
            <w:tcW w:w="1889" w:type="dxa"/>
            <w:tcBorders>
              <w:top w:val="nil"/>
              <w:bottom w:val="nil"/>
            </w:tcBorders>
            <w:shd w:val="clear" w:color="auto" w:fill="auto"/>
            <w:vAlign w:val="center"/>
          </w:tcPr>
          <w:p w14:paraId="4F43DC59"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1,211,138</w:t>
            </w:r>
          </w:p>
        </w:tc>
        <w:tc>
          <w:tcPr>
            <w:tcW w:w="1890" w:type="dxa"/>
            <w:tcBorders>
              <w:top w:val="nil"/>
              <w:bottom w:val="nil"/>
            </w:tcBorders>
            <w:shd w:val="clear" w:color="auto" w:fill="auto"/>
            <w:vAlign w:val="center"/>
          </w:tcPr>
          <w:p w14:paraId="79692862"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30,274</w:t>
            </w:r>
          </w:p>
        </w:tc>
        <w:tc>
          <w:tcPr>
            <w:tcW w:w="1890" w:type="dxa"/>
            <w:tcBorders>
              <w:top w:val="nil"/>
              <w:bottom w:val="nil"/>
            </w:tcBorders>
            <w:shd w:val="clear" w:color="auto" w:fill="auto"/>
            <w:vAlign w:val="center"/>
          </w:tcPr>
          <w:p w14:paraId="523F2093"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1,241,412</w:t>
            </w:r>
          </w:p>
        </w:tc>
      </w:tr>
      <w:tr w:rsidR="006A362F" w:rsidRPr="004A53AE" w14:paraId="74A82E20"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51B1962" w14:textId="77777777" w:rsidR="006A362F" w:rsidRPr="004A53AE" w:rsidRDefault="006A362F" w:rsidP="004A53AE">
            <w:pPr>
              <w:pStyle w:val="08-Tabelageral"/>
              <w:jc w:val="left"/>
              <w:rPr>
                <w:rFonts w:cs="Arial"/>
                <w:szCs w:val="14"/>
              </w:rPr>
            </w:pPr>
            <w:r w:rsidRPr="004A53AE">
              <w:t>Personnel</w:t>
            </w:r>
          </w:p>
        </w:tc>
        <w:tc>
          <w:tcPr>
            <w:tcW w:w="1889" w:type="dxa"/>
            <w:tcBorders>
              <w:top w:val="nil"/>
              <w:bottom w:val="nil"/>
            </w:tcBorders>
            <w:shd w:val="clear" w:color="auto" w:fill="auto"/>
            <w:vAlign w:val="bottom"/>
          </w:tcPr>
          <w:p w14:paraId="6BA98DA8"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3,306</w:t>
            </w:r>
          </w:p>
        </w:tc>
        <w:tc>
          <w:tcPr>
            <w:tcW w:w="1890" w:type="dxa"/>
            <w:tcBorders>
              <w:top w:val="nil"/>
              <w:bottom w:val="nil"/>
            </w:tcBorders>
            <w:shd w:val="clear" w:color="auto" w:fill="auto"/>
            <w:vAlign w:val="center"/>
          </w:tcPr>
          <w:p w14:paraId="62AC43B1"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(457)</w:t>
            </w:r>
          </w:p>
        </w:tc>
        <w:tc>
          <w:tcPr>
            <w:tcW w:w="1890" w:type="dxa"/>
            <w:tcBorders>
              <w:top w:val="nil"/>
              <w:bottom w:val="nil"/>
            </w:tcBorders>
            <w:shd w:val="clear" w:color="auto" w:fill="auto"/>
            <w:vAlign w:val="center"/>
          </w:tcPr>
          <w:p w14:paraId="05ADB93E"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2,849</w:t>
            </w:r>
          </w:p>
        </w:tc>
      </w:tr>
      <w:tr w:rsidR="006A362F" w:rsidRPr="004A53AE" w14:paraId="1C22E92F"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72FE8113" w14:textId="77777777" w:rsidR="006A362F" w:rsidRPr="004A53AE" w:rsidRDefault="006A362F" w:rsidP="004A53AE">
            <w:pPr>
              <w:pStyle w:val="08-Tabelageral"/>
              <w:ind w:left="113"/>
              <w:jc w:val="left"/>
              <w:rPr>
                <w:rFonts w:cs="Arial"/>
                <w:b w:val="0"/>
                <w:szCs w:val="14"/>
                <w:lang w:val="en-US"/>
              </w:rPr>
            </w:pPr>
            <w:r w:rsidRPr="004A53AE">
              <w:rPr>
                <w:b w:val="0"/>
                <w:lang w:val="en-US"/>
              </w:rPr>
              <w:t>Direct remuneration - Earnings and fees</w:t>
            </w:r>
          </w:p>
        </w:tc>
        <w:tc>
          <w:tcPr>
            <w:tcW w:w="1889" w:type="dxa"/>
            <w:tcBorders>
              <w:top w:val="nil"/>
              <w:bottom w:val="nil"/>
            </w:tcBorders>
            <w:shd w:val="clear" w:color="auto" w:fill="auto"/>
            <w:vAlign w:val="center"/>
          </w:tcPr>
          <w:p w14:paraId="28AAB50F"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37F0BD5E"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2,076</w:t>
            </w:r>
          </w:p>
        </w:tc>
        <w:tc>
          <w:tcPr>
            <w:tcW w:w="1890" w:type="dxa"/>
            <w:tcBorders>
              <w:top w:val="nil"/>
              <w:bottom w:val="nil"/>
            </w:tcBorders>
            <w:shd w:val="clear" w:color="auto" w:fill="auto"/>
            <w:vAlign w:val="center"/>
          </w:tcPr>
          <w:p w14:paraId="299D8C7A"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2,076</w:t>
            </w:r>
          </w:p>
        </w:tc>
      </w:tr>
      <w:tr w:rsidR="006A362F" w:rsidRPr="004A53AE" w14:paraId="18DEA775"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25860C8" w14:textId="77777777" w:rsidR="006A362F" w:rsidRPr="004A53AE" w:rsidRDefault="006A362F" w:rsidP="004A53AE">
            <w:pPr>
              <w:pStyle w:val="08-Tabelageral"/>
              <w:ind w:left="113"/>
              <w:jc w:val="left"/>
              <w:rPr>
                <w:rFonts w:cs="Arial"/>
                <w:b w:val="0"/>
                <w:szCs w:val="14"/>
              </w:rPr>
            </w:pPr>
            <w:r w:rsidRPr="004A53AE">
              <w:rPr>
                <w:b w:val="0"/>
              </w:rPr>
              <w:t>Benefits and training</w:t>
            </w:r>
          </w:p>
        </w:tc>
        <w:tc>
          <w:tcPr>
            <w:tcW w:w="1889" w:type="dxa"/>
            <w:tcBorders>
              <w:top w:val="nil"/>
              <w:bottom w:val="nil"/>
            </w:tcBorders>
            <w:shd w:val="clear" w:color="auto" w:fill="auto"/>
            <w:vAlign w:val="center"/>
          </w:tcPr>
          <w:p w14:paraId="13858EAF"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05BF81A2"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438</w:t>
            </w:r>
          </w:p>
        </w:tc>
        <w:tc>
          <w:tcPr>
            <w:tcW w:w="1890" w:type="dxa"/>
            <w:tcBorders>
              <w:top w:val="nil"/>
              <w:bottom w:val="nil"/>
            </w:tcBorders>
            <w:shd w:val="clear" w:color="auto" w:fill="auto"/>
            <w:vAlign w:val="center"/>
          </w:tcPr>
          <w:p w14:paraId="1EDCD4DB"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438</w:t>
            </w:r>
          </w:p>
        </w:tc>
      </w:tr>
      <w:tr w:rsidR="006A362F" w:rsidRPr="004A53AE" w14:paraId="0F554A19"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0CAFB70" w14:textId="77777777" w:rsidR="006A362F" w:rsidRPr="004A53AE" w:rsidRDefault="006A362F" w:rsidP="004A53AE">
            <w:pPr>
              <w:pStyle w:val="08-Tabelageral"/>
              <w:ind w:left="113"/>
              <w:jc w:val="left"/>
              <w:rPr>
                <w:rFonts w:cs="Arial"/>
                <w:b w:val="0"/>
                <w:szCs w:val="14"/>
              </w:rPr>
            </w:pPr>
            <w:r w:rsidRPr="004A53AE">
              <w:rPr>
                <w:b w:val="0"/>
              </w:rPr>
              <w:t>FGTS</w:t>
            </w:r>
          </w:p>
        </w:tc>
        <w:tc>
          <w:tcPr>
            <w:tcW w:w="1889" w:type="dxa"/>
            <w:tcBorders>
              <w:top w:val="nil"/>
              <w:bottom w:val="nil"/>
            </w:tcBorders>
            <w:shd w:val="clear" w:color="auto" w:fill="auto"/>
            <w:vAlign w:val="center"/>
          </w:tcPr>
          <w:p w14:paraId="761CB98C"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47072319"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120</w:t>
            </w:r>
          </w:p>
        </w:tc>
        <w:tc>
          <w:tcPr>
            <w:tcW w:w="1890" w:type="dxa"/>
            <w:tcBorders>
              <w:top w:val="nil"/>
              <w:bottom w:val="nil"/>
            </w:tcBorders>
            <w:shd w:val="clear" w:color="auto" w:fill="auto"/>
            <w:vAlign w:val="center"/>
          </w:tcPr>
          <w:p w14:paraId="77DA5E01"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120</w:t>
            </w:r>
          </w:p>
        </w:tc>
      </w:tr>
      <w:tr w:rsidR="006A362F" w:rsidRPr="004A53AE" w14:paraId="472F6211"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6084CC4" w14:textId="77777777" w:rsidR="006A362F" w:rsidRPr="004A53AE" w:rsidRDefault="006A362F" w:rsidP="004A53AE">
            <w:pPr>
              <w:pStyle w:val="08-Tabelageral"/>
              <w:ind w:left="113"/>
              <w:jc w:val="left"/>
              <w:rPr>
                <w:rFonts w:cs="Arial"/>
                <w:b w:val="0"/>
                <w:szCs w:val="14"/>
              </w:rPr>
            </w:pPr>
            <w:r w:rsidRPr="004A53AE">
              <w:rPr>
                <w:rStyle w:val="rynqvb"/>
                <w:b w:val="0"/>
                <w:lang w:val="en"/>
              </w:rPr>
              <w:t>Other charges</w:t>
            </w:r>
          </w:p>
        </w:tc>
        <w:tc>
          <w:tcPr>
            <w:tcW w:w="1889" w:type="dxa"/>
            <w:tcBorders>
              <w:top w:val="nil"/>
              <w:bottom w:val="nil"/>
            </w:tcBorders>
            <w:shd w:val="clear" w:color="auto" w:fill="auto"/>
            <w:vAlign w:val="center"/>
          </w:tcPr>
          <w:p w14:paraId="1775D113"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1DE27F86"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215</w:t>
            </w:r>
          </w:p>
        </w:tc>
        <w:tc>
          <w:tcPr>
            <w:tcW w:w="1890" w:type="dxa"/>
            <w:tcBorders>
              <w:top w:val="nil"/>
              <w:bottom w:val="nil"/>
            </w:tcBorders>
            <w:shd w:val="clear" w:color="auto" w:fill="auto"/>
            <w:vAlign w:val="center"/>
          </w:tcPr>
          <w:p w14:paraId="1543054F"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215</w:t>
            </w:r>
          </w:p>
        </w:tc>
      </w:tr>
      <w:tr w:rsidR="006A362F" w:rsidRPr="004A53AE" w14:paraId="63C4DEF2"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FD2131E" w14:textId="77777777" w:rsidR="006A362F" w:rsidRPr="004A53AE" w:rsidRDefault="006A362F" w:rsidP="004A53AE">
            <w:pPr>
              <w:pStyle w:val="08-Tabelageral"/>
              <w:jc w:val="left"/>
              <w:rPr>
                <w:rFonts w:cs="Arial"/>
                <w:szCs w:val="14"/>
              </w:rPr>
            </w:pPr>
            <w:r w:rsidRPr="004A53AE">
              <w:t>Taxes, fees and contributions</w:t>
            </w:r>
          </w:p>
        </w:tc>
        <w:tc>
          <w:tcPr>
            <w:tcW w:w="1889" w:type="dxa"/>
            <w:tcBorders>
              <w:top w:val="nil"/>
              <w:bottom w:val="nil"/>
            </w:tcBorders>
            <w:shd w:val="clear" w:color="auto" w:fill="auto"/>
            <w:vAlign w:val="center"/>
          </w:tcPr>
          <w:p w14:paraId="39346A26"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1,816</w:t>
            </w:r>
          </w:p>
        </w:tc>
        <w:tc>
          <w:tcPr>
            <w:tcW w:w="1890" w:type="dxa"/>
            <w:tcBorders>
              <w:top w:val="nil"/>
              <w:bottom w:val="nil"/>
            </w:tcBorders>
            <w:shd w:val="clear" w:color="auto" w:fill="auto"/>
            <w:vAlign w:val="center"/>
          </w:tcPr>
          <w:p w14:paraId="2AD8FE36"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457</w:t>
            </w:r>
          </w:p>
        </w:tc>
        <w:tc>
          <w:tcPr>
            <w:tcW w:w="1890" w:type="dxa"/>
            <w:tcBorders>
              <w:top w:val="nil"/>
              <w:bottom w:val="nil"/>
            </w:tcBorders>
            <w:shd w:val="clear" w:color="auto" w:fill="auto"/>
            <w:vAlign w:val="center"/>
          </w:tcPr>
          <w:p w14:paraId="619D1F41"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2,273</w:t>
            </w:r>
          </w:p>
        </w:tc>
      </w:tr>
      <w:tr w:rsidR="006A362F" w:rsidRPr="004A53AE" w14:paraId="31D710C8"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2A9DE0E" w14:textId="77777777" w:rsidR="006A362F" w:rsidRPr="004A53AE" w:rsidRDefault="006A362F" w:rsidP="004A53AE">
            <w:pPr>
              <w:pStyle w:val="08-Tabelageral"/>
              <w:ind w:left="113"/>
              <w:jc w:val="left"/>
              <w:rPr>
                <w:rFonts w:cs="Arial"/>
                <w:b w:val="0"/>
                <w:szCs w:val="14"/>
              </w:rPr>
            </w:pPr>
            <w:r w:rsidRPr="004A53AE">
              <w:rPr>
                <w:rFonts w:cs="Arial"/>
                <w:b w:val="0"/>
                <w:szCs w:val="14"/>
              </w:rPr>
              <w:t>Federal</w:t>
            </w:r>
          </w:p>
        </w:tc>
        <w:tc>
          <w:tcPr>
            <w:tcW w:w="1889" w:type="dxa"/>
            <w:tcBorders>
              <w:top w:val="nil"/>
              <w:bottom w:val="nil"/>
            </w:tcBorders>
            <w:shd w:val="clear" w:color="auto" w:fill="auto"/>
            <w:vAlign w:val="center"/>
          </w:tcPr>
          <w:p w14:paraId="19B88765"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572EEC08"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2,273</w:t>
            </w:r>
          </w:p>
        </w:tc>
        <w:tc>
          <w:tcPr>
            <w:tcW w:w="1890" w:type="dxa"/>
            <w:tcBorders>
              <w:top w:val="nil"/>
              <w:bottom w:val="nil"/>
            </w:tcBorders>
            <w:shd w:val="clear" w:color="auto" w:fill="auto"/>
            <w:vAlign w:val="center"/>
          </w:tcPr>
          <w:p w14:paraId="3E21CD8B"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2,273</w:t>
            </w:r>
          </w:p>
        </w:tc>
      </w:tr>
      <w:tr w:rsidR="006A362F" w:rsidRPr="004A53AE" w14:paraId="74A5DCEE"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2ABA6D8" w14:textId="77777777" w:rsidR="006A362F" w:rsidRPr="004A53AE" w:rsidRDefault="006A362F" w:rsidP="004A53AE">
            <w:pPr>
              <w:pStyle w:val="08-Tabelageral"/>
              <w:jc w:val="left"/>
              <w:rPr>
                <w:rFonts w:cs="Arial"/>
                <w:szCs w:val="14"/>
              </w:rPr>
            </w:pPr>
            <w:r w:rsidRPr="004A53AE">
              <w:rPr>
                <w:rFonts w:cs="Arial"/>
                <w:szCs w:val="14"/>
              </w:rPr>
              <w:t>Financial expenses</w:t>
            </w:r>
          </w:p>
        </w:tc>
        <w:tc>
          <w:tcPr>
            <w:tcW w:w="1889" w:type="dxa"/>
            <w:tcBorders>
              <w:top w:val="nil"/>
              <w:bottom w:val="nil"/>
            </w:tcBorders>
            <w:shd w:val="clear" w:color="auto" w:fill="auto"/>
            <w:vAlign w:val="bottom"/>
          </w:tcPr>
          <w:p w14:paraId="2E2C6C4F"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4A53AE">
              <w:rPr>
                <w:rFonts w:cs="Arial"/>
                <w:b/>
                <w:bCs/>
                <w:szCs w:val="14"/>
                <w:lang w:eastAsia="en-US"/>
              </w:rPr>
              <w:t>26,585</w:t>
            </w:r>
          </w:p>
        </w:tc>
        <w:tc>
          <w:tcPr>
            <w:tcW w:w="1890" w:type="dxa"/>
            <w:tcBorders>
              <w:top w:val="nil"/>
              <w:bottom w:val="nil"/>
            </w:tcBorders>
            <w:shd w:val="clear" w:color="auto" w:fill="auto"/>
            <w:vAlign w:val="center"/>
          </w:tcPr>
          <w:p w14:paraId="7943E33E"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(26,585)</w:t>
            </w:r>
          </w:p>
        </w:tc>
        <w:tc>
          <w:tcPr>
            <w:tcW w:w="1890" w:type="dxa"/>
            <w:tcBorders>
              <w:top w:val="nil"/>
              <w:bottom w:val="nil"/>
            </w:tcBorders>
            <w:shd w:val="clear" w:color="auto" w:fill="auto"/>
            <w:vAlign w:val="center"/>
          </w:tcPr>
          <w:p w14:paraId="3C71CBD7"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r>
      <w:tr w:rsidR="006A362F" w:rsidRPr="004A53AE" w14:paraId="5D4E8E7A"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A1990E5" w14:textId="77777777" w:rsidR="006A362F" w:rsidRPr="004A53AE" w:rsidRDefault="006A362F" w:rsidP="004A53AE">
            <w:pPr>
              <w:pStyle w:val="08-Tabelageral"/>
              <w:jc w:val="left"/>
              <w:rPr>
                <w:rFonts w:cs="Arial"/>
                <w:szCs w:val="14"/>
                <w:lang w:val="en-US"/>
              </w:rPr>
            </w:pPr>
            <w:r w:rsidRPr="004A53AE">
              <w:rPr>
                <w:lang w:val="en-US"/>
              </w:rPr>
              <w:t>Remuneration of third-party capital</w:t>
            </w:r>
          </w:p>
        </w:tc>
        <w:tc>
          <w:tcPr>
            <w:tcW w:w="1889" w:type="dxa"/>
            <w:tcBorders>
              <w:top w:val="nil"/>
              <w:bottom w:val="nil"/>
            </w:tcBorders>
            <w:shd w:val="clear" w:color="auto" w:fill="auto"/>
            <w:vAlign w:val="center"/>
          </w:tcPr>
          <w:p w14:paraId="61D87389"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1890" w:type="dxa"/>
            <w:tcBorders>
              <w:top w:val="nil"/>
              <w:bottom w:val="nil"/>
            </w:tcBorders>
            <w:shd w:val="clear" w:color="auto" w:fill="auto"/>
            <w:vAlign w:val="center"/>
          </w:tcPr>
          <w:p w14:paraId="47D54083"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26,773</w:t>
            </w:r>
          </w:p>
        </w:tc>
        <w:tc>
          <w:tcPr>
            <w:tcW w:w="1890" w:type="dxa"/>
            <w:tcBorders>
              <w:top w:val="nil"/>
              <w:bottom w:val="nil"/>
            </w:tcBorders>
            <w:shd w:val="clear" w:color="auto" w:fill="auto"/>
            <w:vAlign w:val="center"/>
          </w:tcPr>
          <w:p w14:paraId="5B18B116"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26,773</w:t>
            </w:r>
          </w:p>
        </w:tc>
      </w:tr>
      <w:tr w:rsidR="006A362F" w:rsidRPr="004A53AE" w14:paraId="587D20AC"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9BCD755" w14:textId="77777777" w:rsidR="006A362F" w:rsidRPr="004A53AE" w:rsidRDefault="006A362F" w:rsidP="004A53AE">
            <w:pPr>
              <w:pStyle w:val="08-Tabelageral"/>
              <w:ind w:left="113"/>
              <w:jc w:val="left"/>
              <w:rPr>
                <w:rFonts w:cs="Arial"/>
                <w:b w:val="0"/>
                <w:szCs w:val="14"/>
              </w:rPr>
            </w:pPr>
            <w:r w:rsidRPr="004A53AE">
              <w:rPr>
                <w:b w:val="0"/>
              </w:rPr>
              <w:t>Interest</w:t>
            </w:r>
          </w:p>
        </w:tc>
        <w:tc>
          <w:tcPr>
            <w:tcW w:w="1889" w:type="dxa"/>
            <w:tcBorders>
              <w:top w:val="nil"/>
              <w:bottom w:val="nil"/>
            </w:tcBorders>
            <w:shd w:val="clear" w:color="auto" w:fill="auto"/>
            <w:vAlign w:val="center"/>
          </w:tcPr>
          <w:p w14:paraId="4C9D98C4"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54FA7C95"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26,585</w:t>
            </w:r>
          </w:p>
        </w:tc>
        <w:tc>
          <w:tcPr>
            <w:tcW w:w="1890" w:type="dxa"/>
            <w:tcBorders>
              <w:top w:val="nil"/>
              <w:bottom w:val="nil"/>
            </w:tcBorders>
            <w:shd w:val="clear" w:color="auto" w:fill="auto"/>
            <w:vAlign w:val="center"/>
          </w:tcPr>
          <w:p w14:paraId="288A30C1"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26,585</w:t>
            </w:r>
          </w:p>
        </w:tc>
      </w:tr>
      <w:tr w:rsidR="006A362F" w:rsidRPr="004A53AE" w14:paraId="0B4BDE78"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35B480A" w14:textId="77777777" w:rsidR="006A362F" w:rsidRPr="004A53AE" w:rsidRDefault="006A362F" w:rsidP="004A53AE">
            <w:pPr>
              <w:pStyle w:val="08-Tabelageral"/>
              <w:ind w:left="113"/>
              <w:jc w:val="left"/>
              <w:rPr>
                <w:rFonts w:cs="Arial"/>
                <w:b w:val="0"/>
                <w:szCs w:val="14"/>
              </w:rPr>
            </w:pPr>
            <w:r w:rsidRPr="004A53AE">
              <w:rPr>
                <w:rStyle w:val="rynqvb"/>
                <w:b w:val="0"/>
                <w:lang w:val="en"/>
              </w:rPr>
              <w:t>Rents</w:t>
            </w:r>
          </w:p>
        </w:tc>
        <w:tc>
          <w:tcPr>
            <w:tcW w:w="1889" w:type="dxa"/>
            <w:tcBorders>
              <w:top w:val="nil"/>
              <w:bottom w:val="nil"/>
            </w:tcBorders>
            <w:shd w:val="clear" w:color="auto" w:fill="auto"/>
            <w:vAlign w:val="center"/>
          </w:tcPr>
          <w:p w14:paraId="6FE79480"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1890" w:type="dxa"/>
            <w:tcBorders>
              <w:top w:val="nil"/>
              <w:bottom w:val="nil"/>
            </w:tcBorders>
            <w:shd w:val="clear" w:color="auto" w:fill="auto"/>
            <w:vAlign w:val="center"/>
          </w:tcPr>
          <w:p w14:paraId="2238EFC8"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188</w:t>
            </w:r>
          </w:p>
        </w:tc>
        <w:tc>
          <w:tcPr>
            <w:tcW w:w="1890" w:type="dxa"/>
            <w:tcBorders>
              <w:top w:val="nil"/>
              <w:bottom w:val="nil"/>
            </w:tcBorders>
            <w:shd w:val="clear" w:color="auto" w:fill="auto"/>
            <w:vAlign w:val="center"/>
          </w:tcPr>
          <w:p w14:paraId="7D539A1A"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188</w:t>
            </w:r>
          </w:p>
        </w:tc>
      </w:tr>
      <w:tr w:rsidR="006A362F" w:rsidRPr="004A53AE" w14:paraId="63ECCCB0" w14:textId="77777777" w:rsidTr="004A53AE">
        <w:trPr>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8A2615B" w14:textId="77777777" w:rsidR="006A362F" w:rsidRPr="004A53AE" w:rsidRDefault="006A362F" w:rsidP="004A53AE">
            <w:pPr>
              <w:pStyle w:val="08-Tabelageral"/>
              <w:jc w:val="left"/>
              <w:rPr>
                <w:rFonts w:cs="Arial"/>
                <w:szCs w:val="14"/>
              </w:rPr>
            </w:pPr>
            <w:r w:rsidRPr="004A53AE">
              <w:t>Equity remuneration</w:t>
            </w:r>
          </w:p>
        </w:tc>
        <w:tc>
          <w:tcPr>
            <w:tcW w:w="1889" w:type="dxa"/>
            <w:tcBorders>
              <w:top w:val="nil"/>
              <w:bottom w:val="nil"/>
            </w:tcBorders>
            <w:shd w:val="clear" w:color="auto" w:fill="auto"/>
            <w:vAlign w:val="center"/>
          </w:tcPr>
          <w:p w14:paraId="087DD001"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1890" w:type="dxa"/>
            <w:tcBorders>
              <w:top w:val="nil"/>
              <w:bottom w:val="nil"/>
            </w:tcBorders>
            <w:shd w:val="clear" w:color="auto" w:fill="auto"/>
            <w:vAlign w:val="center"/>
          </w:tcPr>
          <w:p w14:paraId="5DA17839"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1,209,517</w:t>
            </w:r>
          </w:p>
        </w:tc>
        <w:tc>
          <w:tcPr>
            <w:tcW w:w="1890" w:type="dxa"/>
            <w:tcBorders>
              <w:top w:val="nil"/>
              <w:bottom w:val="nil"/>
            </w:tcBorders>
            <w:shd w:val="clear" w:color="auto" w:fill="auto"/>
            <w:vAlign w:val="center"/>
          </w:tcPr>
          <w:p w14:paraId="168E15F3" w14:textId="77777777" w:rsidR="006A362F" w:rsidRPr="004A53AE" w:rsidRDefault="006A362F" w:rsidP="004A53AE">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1,209,517</w:t>
            </w:r>
          </w:p>
        </w:tc>
      </w:tr>
      <w:tr w:rsidR="006A362F" w:rsidRPr="006D2355" w14:paraId="7E18E646" w14:textId="77777777" w:rsidTr="004A53AE">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E756BBC" w14:textId="77777777" w:rsidR="006A362F" w:rsidRPr="004A53AE" w:rsidRDefault="006A362F" w:rsidP="004A53AE">
            <w:pPr>
              <w:pStyle w:val="08-Tabelageral"/>
              <w:ind w:left="113"/>
              <w:jc w:val="left"/>
              <w:rPr>
                <w:rFonts w:cs="Arial"/>
                <w:b w:val="0"/>
                <w:szCs w:val="14"/>
                <w:lang w:val="en-US"/>
              </w:rPr>
            </w:pPr>
            <w:r w:rsidRPr="004A53AE">
              <w:rPr>
                <w:rStyle w:val="shorttext"/>
                <w:b w:val="0"/>
                <w:bCs w:val="0"/>
                <w:lang w:val="en"/>
              </w:rPr>
              <w:t>Retained earnings for the period</w:t>
            </w:r>
          </w:p>
        </w:tc>
        <w:tc>
          <w:tcPr>
            <w:tcW w:w="1889" w:type="dxa"/>
            <w:tcBorders>
              <w:top w:val="nil"/>
              <w:bottom w:val="nil"/>
            </w:tcBorders>
            <w:shd w:val="clear" w:color="auto" w:fill="auto"/>
            <w:vAlign w:val="bottom"/>
          </w:tcPr>
          <w:p w14:paraId="49B2BF12"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1,179,431</w:t>
            </w:r>
          </w:p>
        </w:tc>
        <w:tc>
          <w:tcPr>
            <w:tcW w:w="1890" w:type="dxa"/>
            <w:tcBorders>
              <w:top w:val="nil"/>
              <w:bottom w:val="nil"/>
            </w:tcBorders>
            <w:shd w:val="clear" w:color="auto" w:fill="auto"/>
            <w:vAlign w:val="center"/>
          </w:tcPr>
          <w:p w14:paraId="69590315" w14:textId="77777777" w:rsidR="006A362F" w:rsidRPr="004A53AE"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30,086</w:t>
            </w:r>
          </w:p>
        </w:tc>
        <w:tc>
          <w:tcPr>
            <w:tcW w:w="1890" w:type="dxa"/>
            <w:tcBorders>
              <w:top w:val="nil"/>
              <w:bottom w:val="nil"/>
            </w:tcBorders>
            <w:shd w:val="clear" w:color="auto" w:fill="auto"/>
            <w:vAlign w:val="center"/>
          </w:tcPr>
          <w:p w14:paraId="16D82BE6" w14:textId="77777777" w:rsidR="006A362F" w:rsidRPr="007D290C" w:rsidRDefault="006A362F" w:rsidP="004A53AE">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1,209,517</w:t>
            </w:r>
          </w:p>
        </w:tc>
      </w:tr>
      <w:tr w:rsidR="006A362F" w:rsidRPr="004D58A9" w14:paraId="4A077615" w14:textId="77777777" w:rsidTr="004A53AE">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1C4715D3" w14:textId="77777777" w:rsidR="006A362F" w:rsidRPr="004D58A9" w:rsidRDefault="006A362F" w:rsidP="002803B5">
            <w:pPr>
              <w:pStyle w:val="08-Tabelageral"/>
              <w:ind w:left="113"/>
              <w:jc w:val="left"/>
              <w:rPr>
                <w:rFonts w:cs="Arial"/>
                <w:b w:val="0"/>
                <w:szCs w:val="14"/>
              </w:rPr>
            </w:pPr>
          </w:p>
        </w:tc>
        <w:tc>
          <w:tcPr>
            <w:tcW w:w="1889" w:type="dxa"/>
            <w:tcBorders>
              <w:top w:val="single" w:sz="4" w:space="0" w:color="1F4E79" w:themeColor="accent1" w:themeShade="80"/>
              <w:bottom w:val="nil"/>
            </w:tcBorders>
            <w:shd w:val="clear" w:color="auto" w:fill="auto"/>
            <w:vAlign w:val="center"/>
          </w:tcPr>
          <w:p w14:paraId="6E1D0602" w14:textId="77777777" w:rsidR="006A362F" w:rsidRPr="004D58A9" w:rsidRDefault="006A362F" w:rsidP="002803B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6A7C6A11" w14:textId="77777777" w:rsidR="006A362F" w:rsidRPr="004D58A9" w:rsidRDefault="006A362F" w:rsidP="002803B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c>
          <w:tcPr>
            <w:tcW w:w="1890" w:type="dxa"/>
            <w:tcBorders>
              <w:top w:val="single" w:sz="4" w:space="0" w:color="1F4E79" w:themeColor="accent1" w:themeShade="80"/>
              <w:bottom w:val="nil"/>
            </w:tcBorders>
            <w:shd w:val="clear" w:color="auto" w:fill="auto"/>
            <w:vAlign w:val="center"/>
          </w:tcPr>
          <w:p w14:paraId="41FE0B62" w14:textId="77777777" w:rsidR="006A362F" w:rsidRPr="004D58A9" w:rsidRDefault="006A362F" w:rsidP="002803B5">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p>
        </w:tc>
      </w:tr>
    </w:tbl>
    <w:p w14:paraId="1B49E869" w14:textId="77777777" w:rsidR="006A362F" w:rsidRPr="00426536" w:rsidRDefault="006A362F" w:rsidP="00426536">
      <w:pPr>
        <w:keepNext/>
        <w:keepLines/>
        <w:pageBreakBefore/>
        <w:spacing w:before="120" w:after="120"/>
        <w:jc w:val="both"/>
        <w:rPr>
          <w:rFonts w:eastAsia="Times New Roman" w:cs="Times New Roman"/>
          <w:spacing w:val="-2"/>
          <w:szCs w:val="18"/>
          <w:lang w:val="en-US" w:eastAsia="pt-BR"/>
        </w:rPr>
      </w:pPr>
      <w:r w:rsidRPr="00426536">
        <w:rPr>
          <w:rFonts w:eastAsia="Times New Roman" w:cs="Times New Roman"/>
          <w:spacing w:val="-2"/>
          <w:szCs w:val="18"/>
          <w:lang w:val="en-US" w:eastAsia="pt-BR"/>
        </w:rPr>
        <w:lastRenderedPageBreak/>
        <w:t>In the consolidated statement, new components were opened in the distribution of added value and reclassification of administrative and personnel expenses, as shown below.</w:t>
      </w:r>
    </w:p>
    <w:p w14:paraId="7D65C361" w14:textId="77777777" w:rsidR="006A362F" w:rsidRPr="00426536" w:rsidRDefault="006A362F" w:rsidP="006A362F">
      <w:pPr>
        <w:pStyle w:val="PargrafodaLista"/>
        <w:numPr>
          <w:ilvl w:val="0"/>
          <w:numId w:val="34"/>
        </w:numPr>
        <w:spacing w:before="120" w:after="120"/>
        <w:jc w:val="both"/>
        <w:rPr>
          <w:rFonts w:ascii="Arial" w:eastAsia="Times New Roman" w:hAnsi="Arial" w:cs="Times New Roman"/>
          <w:spacing w:val="-2"/>
          <w:sz w:val="18"/>
          <w:szCs w:val="18"/>
          <w:lang w:val="en-US" w:eastAsia="pt-BR"/>
        </w:rPr>
      </w:pPr>
      <w:r w:rsidRPr="00426536">
        <w:rPr>
          <w:rFonts w:ascii="Arial" w:eastAsia="Times New Roman" w:hAnsi="Arial" w:cs="Times New Roman"/>
          <w:spacing w:val="-2"/>
          <w:sz w:val="18"/>
          <w:szCs w:val="18"/>
          <w:lang w:val="en-US" w:eastAsia="pt-BR"/>
        </w:rPr>
        <w:t>Administrative expenses for rents (R$908 thousand);</w:t>
      </w:r>
    </w:p>
    <w:p w14:paraId="44056C21" w14:textId="77777777" w:rsidR="006A362F" w:rsidRPr="00426536" w:rsidRDefault="006A362F" w:rsidP="006A362F">
      <w:pPr>
        <w:pStyle w:val="PargrafodaLista"/>
        <w:numPr>
          <w:ilvl w:val="0"/>
          <w:numId w:val="34"/>
        </w:numPr>
        <w:spacing w:before="120" w:after="120"/>
        <w:jc w:val="both"/>
        <w:rPr>
          <w:rFonts w:ascii="Arial" w:eastAsia="Times New Roman" w:hAnsi="Arial" w:cs="Times New Roman"/>
          <w:spacing w:val="-2"/>
          <w:sz w:val="18"/>
          <w:szCs w:val="18"/>
          <w:lang w:val="en-US" w:eastAsia="pt-BR"/>
        </w:rPr>
      </w:pPr>
      <w:r w:rsidRPr="00426536">
        <w:rPr>
          <w:rFonts w:ascii="Arial" w:eastAsia="Times New Roman" w:hAnsi="Arial" w:cs="Times New Roman"/>
          <w:spacing w:val="-2"/>
          <w:sz w:val="18"/>
          <w:szCs w:val="18"/>
          <w:lang w:val="en-US" w:eastAsia="pt-BR"/>
        </w:rPr>
        <w:t>Personnel expenses (INSS) for federal taxes (R$ 2,196 thousand).</w:t>
      </w:r>
    </w:p>
    <w:p w14:paraId="1F120CA0" w14:textId="77777777" w:rsidR="006A362F" w:rsidRPr="001D4E06" w:rsidRDefault="006A362F" w:rsidP="001D4E06">
      <w:pPr>
        <w:spacing w:after="0" w:line="240" w:lineRule="auto"/>
        <w:ind w:left="404"/>
        <w:jc w:val="right"/>
        <w:rPr>
          <w:rFonts w:cs="Arial"/>
          <w:b/>
          <w:sz w:val="14"/>
          <w:lang w:eastAsia="pt-BR"/>
        </w:rPr>
      </w:pPr>
      <w:r w:rsidRPr="001D4E06">
        <w:rPr>
          <w:rFonts w:cs="Arial"/>
          <w:b/>
          <w:sz w:val="14"/>
          <w:lang w:eastAsia="pt-BR"/>
        </w:rPr>
        <w:t>R$ thousand</w:t>
      </w:r>
    </w:p>
    <w:tbl>
      <w:tblPr>
        <w:tblStyle w:val="TabeladeLista6Colorida-nfase5"/>
        <w:tblW w:w="9639" w:type="dxa"/>
        <w:jc w:val="center"/>
        <w:tblLayout w:type="fixed"/>
        <w:tblLook w:val="04A0" w:firstRow="1" w:lastRow="0" w:firstColumn="1" w:lastColumn="0" w:noHBand="0" w:noVBand="1"/>
      </w:tblPr>
      <w:tblGrid>
        <w:gridCol w:w="3119"/>
        <w:gridCol w:w="2173"/>
        <w:gridCol w:w="2173"/>
        <w:gridCol w:w="2174"/>
      </w:tblGrid>
      <w:tr w:rsidR="006A362F" w:rsidRPr="004A53AE" w14:paraId="3E750FB8" w14:textId="77777777" w:rsidTr="006C4325">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127B196A" w14:textId="77777777" w:rsidR="006A362F" w:rsidRPr="00D84B8A" w:rsidRDefault="006A362F" w:rsidP="002803B5">
            <w:pPr>
              <w:jc w:val="center"/>
              <w:rPr>
                <w:rFonts w:cs="Arial"/>
                <w:b w:val="0"/>
                <w:sz w:val="14"/>
                <w:szCs w:val="14"/>
              </w:rPr>
            </w:pPr>
          </w:p>
        </w:tc>
        <w:tc>
          <w:tcPr>
            <w:tcW w:w="6520" w:type="dxa"/>
            <w:gridSpan w:val="3"/>
            <w:tcBorders>
              <w:top w:val="single" w:sz="2" w:space="0" w:color="1F4E79" w:themeColor="accent1" w:themeShade="80"/>
              <w:bottom w:val="single" w:sz="2" w:space="0" w:color="1F4E79" w:themeColor="accent1" w:themeShade="80"/>
            </w:tcBorders>
            <w:shd w:val="clear" w:color="auto" w:fill="auto"/>
            <w:vAlign w:val="center"/>
          </w:tcPr>
          <w:p w14:paraId="178AAF55" w14:textId="77777777" w:rsidR="006A362F" w:rsidRPr="004A53AE" w:rsidRDefault="006A362F" w:rsidP="002803B5">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A53AE">
              <w:rPr>
                <w:rFonts w:cs="Arial"/>
                <w:sz w:val="14"/>
                <w:szCs w:val="14"/>
              </w:rPr>
              <w:t>Consolidated – 1</w:t>
            </w:r>
            <w:r w:rsidRPr="004A53AE">
              <w:rPr>
                <w:rFonts w:cs="Arial"/>
                <w:sz w:val="14"/>
                <w:szCs w:val="14"/>
                <w:vertAlign w:val="superscript"/>
              </w:rPr>
              <w:t>st</w:t>
            </w:r>
            <w:r w:rsidRPr="004A53AE">
              <w:rPr>
                <w:rFonts w:cs="Arial"/>
                <w:sz w:val="14"/>
                <w:szCs w:val="14"/>
              </w:rPr>
              <w:t xml:space="preserve"> Quarter 2022</w:t>
            </w:r>
          </w:p>
        </w:tc>
      </w:tr>
      <w:tr w:rsidR="006A362F" w:rsidRPr="004A53AE" w14:paraId="2AEA03D1"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2BE8D665" w14:textId="77777777" w:rsidR="006A362F" w:rsidRPr="004A53AE" w:rsidRDefault="006A362F" w:rsidP="001D4E06">
            <w:pPr>
              <w:jc w:val="center"/>
              <w:rPr>
                <w:rFonts w:cs="Arial"/>
                <w:b w:val="0"/>
                <w:szCs w:val="14"/>
              </w:rPr>
            </w:pPr>
          </w:p>
        </w:tc>
        <w:tc>
          <w:tcPr>
            <w:tcW w:w="2173" w:type="dxa"/>
            <w:tcBorders>
              <w:top w:val="single" w:sz="2" w:space="0" w:color="1F4E79" w:themeColor="accent1" w:themeShade="80"/>
              <w:bottom w:val="single" w:sz="2" w:space="0" w:color="1F4E79" w:themeColor="accent1" w:themeShade="80"/>
            </w:tcBorders>
            <w:shd w:val="clear" w:color="auto" w:fill="auto"/>
            <w:vAlign w:val="center"/>
          </w:tcPr>
          <w:p w14:paraId="1E759E49" w14:textId="77777777" w:rsidR="006A362F" w:rsidRPr="004A53AE" w:rsidRDefault="006A362F" w:rsidP="001D4E0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Original report</w:t>
            </w:r>
          </w:p>
        </w:tc>
        <w:tc>
          <w:tcPr>
            <w:tcW w:w="2173" w:type="dxa"/>
            <w:tcBorders>
              <w:top w:val="single" w:sz="2" w:space="0" w:color="1F4E79" w:themeColor="accent1" w:themeShade="80"/>
              <w:bottom w:val="single" w:sz="2" w:space="0" w:color="1F4E79" w:themeColor="accent1" w:themeShade="80"/>
            </w:tcBorders>
            <w:shd w:val="clear" w:color="auto" w:fill="auto"/>
            <w:vAlign w:val="center"/>
          </w:tcPr>
          <w:p w14:paraId="214615D6" w14:textId="77777777" w:rsidR="006A362F" w:rsidRPr="004A53AE" w:rsidRDefault="006A362F" w:rsidP="001D4E0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A53AE">
              <w:rPr>
                <w:rFonts w:cs="Arial"/>
                <w:b/>
                <w:bCs/>
                <w:sz w:val="14"/>
                <w:szCs w:val="14"/>
              </w:rPr>
              <w:t>Reclassifications</w:t>
            </w:r>
          </w:p>
        </w:tc>
        <w:tc>
          <w:tcPr>
            <w:tcW w:w="2174" w:type="dxa"/>
            <w:tcBorders>
              <w:top w:val="single" w:sz="2" w:space="0" w:color="1F4E79" w:themeColor="accent1" w:themeShade="80"/>
              <w:bottom w:val="single" w:sz="2" w:space="0" w:color="1F4E79" w:themeColor="accent1" w:themeShade="80"/>
            </w:tcBorders>
            <w:shd w:val="clear" w:color="auto" w:fill="auto"/>
            <w:vAlign w:val="center"/>
          </w:tcPr>
          <w:p w14:paraId="18C078E1" w14:textId="77777777" w:rsidR="006A362F" w:rsidRPr="004A53AE" w:rsidRDefault="006A362F" w:rsidP="001D4E06">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Restated balances</w:t>
            </w:r>
          </w:p>
        </w:tc>
      </w:tr>
      <w:tr w:rsidR="006A362F" w:rsidRPr="004A53AE" w14:paraId="4A37D411"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6EA1259D" w14:textId="77777777" w:rsidR="006A362F" w:rsidRPr="004A53AE" w:rsidRDefault="006A362F" w:rsidP="004A53AE">
            <w:pPr>
              <w:pStyle w:val="08-Tabelageral"/>
              <w:jc w:val="left"/>
              <w:rPr>
                <w:rFonts w:cs="Arial"/>
                <w:szCs w:val="14"/>
              </w:rPr>
            </w:pPr>
            <w:r w:rsidRPr="004A53AE">
              <w:rPr>
                <w:rFonts w:cs="Arial"/>
                <w:szCs w:val="14"/>
              </w:rPr>
              <w:t>Income</w:t>
            </w:r>
          </w:p>
        </w:tc>
        <w:tc>
          <w:tcPr>
            <w:tcW w:w="2173" w:type="dxa"/>
            <w:tcBorders>
              <w:top w:val="single" w:sz="2" w:space="0" w:color="1F4E79" w:themeColor="accent1" w:themeShade="80"/>
              <w:bottom w:val="nil"/>
            </w:tcBorders>
            <w:shd w:val="clear" w:color="auto" w:fill="auto"/>
            <w:vAlign w:val="center"/>
          </w:tcPr>
          <w:p w14:paraId="372CFD2F"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1,028,619</w:t>
            </w:r>
          </w:p>
        </w:tc>
        <w:tc>
          <w:tcPr>
            <w:tcW w:w="2173" w:type="dxa"/>
            <w:tcBorders>
              <w:top w:val="single" w:sz="2" w:space="0" w:color="1F4E79" w:themeColor="accent1" w:themeShade="80"/>
              <w:bottom w:val="nil"/>
            </w:tcBorders>
            <w:shd w:val="clear" w:color="auto" w:fill="auto"/>
            <w:vAlign w:val="center"/>
          </w:tcPr>
          <w:p w14:paraId="53F9C55F"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2174" w:type="dxa"/>
            <w:tcBorders>
              <w:top w:val="single" w:sz="2" w:space="0" w:color="1F4E79" w:themeColor="accent1" w:themeShade="80"/>
              <w:bottom w:val="nil"/>
            </w:tcBorders>
            <w:shd w:val="clear" w:color="auto" w:fill="auto"/>
            <w:vAlign w:val="center"/>
          </w:tcPr>
          <w:p w14:paraId="3015AA6D"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1,028,619</w:t>
            </w:r>
          </w:p>
        </w:tc>
      </w:tr>
      <w:tr w:rsidR="006A362F" w:rsidRPr="004A53AE" w14:paraId="55FE465E"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ACF5A0E" w14:textId="77777777" w:rsidR="006A362F" w:rsidRPr="004A53AE" w:rsidRDefault="006A362F" w:rsidP="004A53AE">
            <w:pPr>
              <w:pStyle w:val="08-Tabelageral"/>
              <w:jc w:val="left"/>
              <w:rPr>
                <w:rFonts w:cs="Arial"/>
                <w:szCs w:val="14"/>
                <w:lang w:val="en-US"/>
              </w:rPr>
            </w:pPr>
            <w:r w:rsidRPr="004A53AE">
              <w:rPr>
                <w:rFonts w:cs="Arial"/>
                <w:szCs w:val="14"/>
                <w:lang w:val="en-US"/>
              </w:rPr>
              <w:t>Input Acquired from Third Parties</w:t>
            </w:r>
          </w:p>
        </w:tc>
        <w:tc>
          <w:tcPr>
            <w:tcW w:w="2173" w:type="dxa"/>
            <w:tcBorders>
              <w:top w:val="nil"/>
              <w:bottom w:val="nil"/>
            </w:tcBorders>
            <w:shd w:val="clear" w:color="auto" w:fill="auto"/>
            <w:vAlign w:val="center"/>
          </w:tcPr>
          <w:p w14:paraId="5FBEA8AB"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(72,284)</w:t>
            </w:r>
          </w:p>
        </w:tc>
        <w:tc>
          <w:tcPr>
            <w:tcW w:w="2173" w:type="dxa"/>
            <w:tcBorders>
              <w:top w:val="nil"/>
              <w:bottom w:val="nil"/>
            </w:tcBorders>
            <w:shd w:val="clear" w:color="auto" w:fill="auto"/>
            <w:vAlign w:val="center"/>
          </w:tcPr>
          <w:p w14:paraId="3059A34E"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908</w:t>
            </w:r>
          </w:p>
        </w:tc>
        <w:tc>
          <w:tcPr>
            <w:tcW w:w="2174" w:type="dxa"/>
            <w:tcBorders>
              <w:top w:val="nil"/>
              <w:bottom w:val="nil"/>
            </w:tcBorders>
            <w:shd w:val="clear" w:color="auto" w:fill="auto"/>
            <w:vAlign w:val="center"/>
          </w:tcPr>
          <w:p w14:paraId="79DAB27C"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(71,376)</w:t>
            </w:r>
          </w:p>
        </w:tc>
      </w:tr>
      <w:tr w:rsidR="006A362F" w:rsidRPr="004A53AE" w14:paraId="58E6E5F9"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6DE5FCA" w14:textId="77777777" w:rsidR="006A362F" w:rsidRPr="004A53AE" w:rsidRDefault="006A362F" w:rsidP="004A53AE">
            <w:pPr>
              <w:pStyle w:val="08-Tabelageral"/>
              <w:ind w:left="113"/>
              <w:jc w:val="left"/>
              <w:rPr>
                <w:rFonts w:cs="Arial"/>
                <w:b w:val="0"/>
                <w:szCs w:val="14"/>
              </w:rPr>
            </w:pPr>
            <w:r w:rsidRPr="004A53AE">
              <w:rPr>
                <w:rFonts w:cs="Arial"/>
                <w:b w:val="0"/>
                <w:szCs w:val="14"/>
              </w:rPr>
              <w:t>Administrative expenses diverse</w:t>
            </w:r>
          </w:p>
        </w:tc>
        <w:tc>
          <w:tcPr>
            <w:tcW w:w="2173" w:type="dxa"/>
            <w:tcBorders>
              <w:top w:val="nil"/>
              <w:bottom w:val="nil"/>
            </w:tcBorders>
            <w:shd w:val="clear" w:color="auto" w:fill="auto"/>
            <w:vAlign w:val="center"/>
          </w:tcPr>
          <w:p w14:paraId="6C0D817A"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(5,878)</w:t>
            </w:r>
          </w:p>
        </w:tc>
        <w:tc>
          <w:tcPr>
            <w:tcW w:w="2173" w:type="dxa"/>
            <w:tcBorders>
              <w:top w:val="nil"/>
              <w:bottom w:val="nil"/>
            </w:tcBorders>
            <w:shd w:val="clear" w:color="auto" w:fill="auto"/>
            <w:vAlign w:val="center"/>
          </w:tcPr>
          <w:p w14:paraId="5D2D0EE5"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908</w:t>
            </w:r>
          </w:p>
        </w:tc>
        <w:tc>
          <w:tcPr>
            <w:tcW w:w="2174" w:type="dxa"/>
            <w:tcBorders>
              <w:top w:val="nil"/>
              <w:bottom w:val="nil"/>
            </w:tcBorders>
            <w:shd w:val="clear" w:color="auto" w:fill="auto"/>
            <w:vAlign w:val="center"/>
          </w:tcPr>
          <w:p w14:paraId="24A13E7C"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(4,970)</w:t>
            </w:r>
          </w:p>
        </w:tc>
      </w:tr>
      <w:tr w:rsidR="006A362F" w:rsidRPr="004A53AE" w14:paraId="14CF5CC7"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D1173E0" w14:textId="77777777" w:rsidR="006A362F" w:rsidRPr="004A53AE" w:rsidRDefault="006A362F" w:rsidP="004A53AE">
            <w:pPr>
              <w:pStyle w:val="08-Tabelageral"/>
              <w:ind w:left="113"/>
              <w:jc w:val="left"/>
              <w:rPr>
                <w:rFonts w:cs="Arial"/>
                <w:b w:val="0"/>
                <w:szCs w:val="14"/>
              </w:rPr>
            </w:pPr>
            <w:r w:rsidRPr="004A53AE">
              <w:rPr>
                <w:rFonts w:cs="Arial"/>
                <w:b w:val="0"/>
                <w:szCs w:val="14"/>
              </w:rPr>
              <w:t>Cost of services provided</w:t>
            </w:r>
          </w:p>
        </w:tc>
        <w:tc>
          <w:tcPr>
            <w:tcW w:w="2173" w:type="dxa"/>
            <w:tcBorders>
              <w:top w:val="nil"/>
              <w:bottom w:val="nil"/>
            </w:tcBorders>
            <w:shd w:val="clear" w:color="auto" w:fill="auto"/>
            <w:vAlign w:val="center"/>
          </w:tcPr>
          <w:p w14:paraId="119719DE"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(48,037)</w:t>
            </w:r>
          </w:p>
        </w:tc>
        <w:tc>
          <w:tcPr>
            <w:tcW w:w="2173" w:type="dxa"/>
            <w:tcBorders>
              <w:top w:val="nil"/>
              <w:bottom w:val="nil"/>
            </w:tcBorders>
            <w:shd w:val="clear" w:color="auto" w:fill="auto"/>
            <w:vAlign w:val="center"/>
          </w:tcPr>
          <w:p w14:paraId="6CC803AE"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w:t>
            </w:r>
          </w:p>
        </w:tc>
        <w:tc>
          <w:tcPr>
            <w:tcW w:w="2174" w:type="dxa"/>
            <w:tcBorders>
              <w:top w:val="nil"/>
              <w:bottom w:val="nil"/>
            </w:tcBorders>
            <w:shd w:val="clear" w:color="auto" w:fill="auto"/>
            <w:vAlign w:val="center"/>
          </w:tcPr>
          <w:p w14:paraId="50422697"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(48,037)</w:t>
            </w:r>
          </w:p>
        </w:tc>
      </w:tr>
      <w:tr w:rsidR="006A362F" w:rsidRPr="004A53AE" w14:paraId="2EF56E9D"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22703AD" w14:textId="77777777" w:rsidR="006A362F" w:rsidRPr="004A53AE" w:rsidRDefault="006A362F" w:rsidP="004A53AE">
            <w:pPr>
              <w:pStyle w:val="08-Tabelageral"/>
              <w:ind w:left="113"/>
              <w:jc w:val="left"/>
              <w:rPr>
                <w:rFonts w:cs="Arial"/>
                <w:b w:val="0"/>
                <w:szCs w:val="14"/>
              </w:rPr>
            </w:pPr>
            <w:r w:rsidRPr="004A53AE">
              <w:rPr>
                <w:rFonts w:cs="Arial"/>
                <w:b w:val="0"/>
                <w:szCs w:val="14"/>
              </w:rPr>
              <w:t>expenses</w:t>
            </w:r>
          </w:p>
        </w:tc>
        <w:tc>
          <w:tcPr>
            <w:tcW w:w="2173" w:type="dxa"/>
            <w:tcBorders>
              <w:top w:val="nil"/>
              <w:bottom w:val="nil"/>
            </w:tcBorders>
            <w:shd w:val="clear" w:color="auto" w:fill="auto"/>
            <w:vAlign w:val="center"/>
          </w:tcPr>
          <w:p w14:paraId="5DC4E554"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(18,369)</w:t>
            </w:r>
          </w:p>
        </w:tc>
        <w:tc>
          <w:tcPr>
            <w:tcW w:w="2173" w:type="dxa"/>
            <w:tcBorders>
              <w:top w:val="nil"/>
              <w:bottom w:val="nil"/>
            </w:tcBorders>
            <w:shd w:val="clear" w:color="auto" w:fill="auto"/>
            <w:vAlign w:val="center"/>
          </w:tcPr>
          <w:p w14:paraId="659EAD7E"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w:t>
            </w:r>
          </w:p>
        </w:tc>
        <w:tc>
          <w:tcPr>
            <w:tcW w:w="2174" w:type="dxa"/>
            <w:tcBorders>
              <w:top w:val="nil"/>
              <w:bottom w:val="nil"/>
            </w:tcBorders>
            <w:shd w:val="clear" w:color="auto" w:fill="auto"/>
            <w:vAlign w:val="center"/>
          </w:tcPr>
          <w:p w14:paraId="13729CC8"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(18,369)</w:t>
            </w:r>
          </w:p>
        </w:tc>
      </w:tr>
      <w:tr w:rsidR="006A362F" w:rsidRPr="004A53AE" w14:paraId="6429EC69"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8A13B3A" w14:textId="77777777" w:rsidR="006A362F" w:rsidRPr="004A53AE" w:rsidRDefault="006A362F" w:rsidP="004A53AE">
            <w:pPr>
              <w:pStyle w:val="08-Tabelageral"/>
              <w:jc w:val="left"/>
              <w:rPr>
                <w:rFonts w:cs="Arial"/>
                <w:szCs w:val="14"/>
              </w:rPr>
            </w:pPr>
            <w:r w:rsidRPr="004A53AE">
              <w:rPr>
                <w:rFonts w:cs="Arial"/>
                <w:szCs w:val="14"/>
              </w:rPr>
              <w:t>Gross Added Value</w:t>
            </w:r>
          </w:p>
        </w:tc>
        <w:tc>
          <w:tcPr>
            <w:tcW w:w="2173" w:type="dxa"/>
            <w:tcBorders>
              <w:top w:val="nil"/>
              <w:bottom w:val="nil"/>
            </w:tcBorders>
            <w:shd w:val="clear" w:color="auto" w:fill="auto"/>
            <w:vAlign w:val="center"/>
          </w:tcPr>
          <w:p w14:paraId="7C69F0C4"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956,335</w:t>
            </w:r>
          </w:p>
        </w:tc>
        <w:tc>
          <w:tcPr>
            <w:tcW w:w="2173" w:type="dxa"/>
            <w:tcBorders>
              <w:top w:val="nil"/>
              <w:bottom w:val="nil"/>
            </w:tcBorders>
            <w:shd w:val="clear" w:color="auto" w:fill="auto"/>
            <w:vAlign w:val="center"/>
          </w:tcPr>
          <w:p w14:paraId="07468119"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908</w:t>
            </w:r>
          </w:p>
        </w:tc>
        <w:tc>
          <w:tcPr>
            <w:tcW w:w="2174" w:type="dxa"/>
            <w:tcBorders>
              <w:top w:val="nil"/>
              <w:bottom w:val="nil"/>
            </w:tcBorders>
            <w:shd w:val="clear" w:color="auto" w:fill="auto"/>
            <w:vAlign w:val="center"/>
          </w:tcPr>
          <w:p w14:paraId="36D35328"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957,243</w:t>
            </w:r>
          </w:p>
        </w:tc>
      </w:tr>
      <w:tr w:rsidR="006A362F" w:rsidRPr="004A53AE" w14:paraId="144904A1"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75F71E7" w14:textId="77777777" w:rsidR="006A362F" w:rsidRPr="004A53AE" w:rsidRDefault="006A362F" w:rsidP="004A53AE">
            <w:pPr>
              <w:pStyle w:val="08-Tabelageral"/>
              <w:jc w:val="left"/>
              <w:rPr>
                <w:rFonts w:cs="Arial"/>
                <w:szCs w:val="14"/>
              </w:rPr>
            </w:pPr>
            <w:r w:rsidRPr="004A53AE">
              <w:rPr>
                <w:rFonts w:cs="Arial"/>
                <w:szCs w:val="14"/>
              </w:rPr>
              <w:t>Depreciation and amortization</w:t>
            </w:r>
          </w:p>
        </w:tc>
        <w:tc>
          <w:tcPr>
            <w:tcW w:w="2173" w:type="dxa"/>
            <w:tcBorders>
              <w:top w:val="nil"/>
              <w:bottom w:val="nil"/>
            </w:tcBorders>
            <w:shd w:val="clear" w:color="auto" w:fill="auto"/>
            <w:vAlign w:val="center"/>
          </w:tcPr>
          <w:p w14:paraId="63A18B20"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(300)</w:t>
            </w:r>
          </w:p>
        </w:tc>
        <w:tc>
          <w:tcPr>
            <w:tcW w:w="2173" w:type="dxa"/>
            <w:tcBorders>
              <w:top w:val="nil"/>
              <w:bottom w:val="nil"/>
            </w:tcBorders>
            <w:shd w:val="clear" w:color="auto" w:fill="auto"/>
            <w:vAlign w:val="center"/>
          </w:tcPr>
          <w:p w14:paraId="47632D28"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2174" w:type="dxa"/>
            <w:tcBorders>
              <w:top w:val="nil"/>
              <w:bottom w:val="nil"/>
            </w:tcBorders>
            <w:shd w:val="clear" w:color="auto" w:fill="auto"/>
            <w:vAlign w:val="center"/>
          </w:tcPr>
          <w:p w14:paraId="42C82BE7"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(300)</w:t>
            </w:r>
          </w:p>
        </w:tc>
      </w:tr>
      <w:tr w:rsidR="006A362F" w:rsidRPr="004A53AE" w14:paraId="1AED3F40"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0434172" w14:textId="77777777" w:rsidR="006A362F" w:rsidRPr="004A53AE" w:rsidRDefault="006A362F" w:rsidP="004A53AE">
            <w:pPr>
              <w:pStyle w:val="08-Tabelageral"/>
              <w:jc w:val="left"/>
              <w:rPr>
                <w:rFonts w:cs="Arial"/>
                <w:szCs w:val="14"/>
                <w:lang w:val="en-US"/>
              </w:rPr>
            </w:pPr>
            <w:r w:rsidRPr="004A53AE">
              <w:rPr>
                <w:rFonts w:cs="Arial"/>
                <w:szCs w:val="14"/>
                <w:lang w:val="en-US"/>
              </w:rPr>
              <w:t>Net Added Value Generated by the Entity</w:t>
            </w:r>
          </w:p>
        </w:tc>
        <w:tc>
          <w:tcPr>
            <w:tcW w:w="2173" w:type="dxa"/>
            <w:tcBorders>
              <w:top w:val="nil"/>
              <w:bottom w:val="nil"/>
            </w:tcBorders>
            <w:shd w:val="clear" w:color="auto" w:fill="auto"/>
            <w:vAlign w:val="center"/>
          </w:tcPr>
          <w:p w14:paraId="3F328BA7"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956,035</w:t>
            </w:r>
          </w:p>
        </w:tc>
        <w:tc>
          <w:tcPr>
            <w:tcW w:w="2173" w:type="dxa"/>
            <w:tcBorders>
              <w:top w:val="nil"/>
              <w:bottom w:val="nil"/>
            </w:tcBorders>
            <w:shd w:val="clear" w:color="auto" w:fill="auto"/>
            <w:vAlign w:val="center"/>
          </w:tcPr>
          <w:p w14:paraId="11246C53"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908</w:t>
            </w:r>
          </w:p>
        </w:tc>
        <w:tc>
          <w:tcPr>
            <w:tcW w:w="2174" w:type="dxa"/>
            <w:tcBorders>
              <w:top w:val="nil"/>
              <w:bottom w:val="nil"/>
            </w:tcBorders>
            <w:shd w:val="clear" w:color="auto" w:fill="auto"/>
            <w:vAlign w:val="center"/>
          </w:tcPr>
          <w:p w14:paraId="3D5C59C9"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956,943</w:t>
            </w:r>
          </w:p>
        </w:tc>
      </w:tr>
      <w:tr w:rsidR="006A362F" w:rsidRPr="004A53AE" w14:paraId="31DDA2EC"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AA03BD1" w14:textId="77777777" w:rsidR="006A362F" w:rsidRPr="004A53AE" w:rsidRDefault="006A362F" w:rsidP="004A53AE">
            <w:pPr>
              <w:pStyle w:val="08-Tabelageral"/>
              <w:jc w:val="left"/>
              <w:rPr>
                <w:rFonts w:cs="Arial"/>
                <w:szCs w:val="14"/>
                <w:lang w:val="en-US"/>
              </w:rPr>
            </w:pPr>
            <w:r w:rsidRPr="004A53AE">
              <w:rPr>
                <w:rFonts w:cs="Arial"/>
                <w:szCs w:val="14"/>
                <w:lang w:val="en-US"/>
              </w:rPr>
              <w:t>Added Value Received Through Transfer</w:t>
            </w:r>
          </w:p>
        </w:tc>
        <w:tc>
          <w:tcPr>
            <w:tcW w:w="2173" w:type="dxa"/>
            <w:tcBorders>
              <w:top w:val="nil"/>
              <w:bottom w:val="nil"/>
            </w:tcBorders>
            <w:shd w:val="clear" w:color="auto" w:fill="auto"/>
            <w:vAlign w:val="center"/>
          </w:tcPr>
          <w:p w14:paraId="102371EF"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691,233</w:t>
            </w:r>
          </w:p>
        </w:tc>
        <w:tc>
          <w:tcPr>
            <w:tcW w:w="2173" w:type="dxa"/>
            <w:tcBorders>
              <w:top w:val="nil"/>
              <w:bottom w:val="nil"/>
            </w:tcBorders>
            <w:shd w:val="clear" w:color="auto" w:fill="auto"/>
            <w:vAlign w:val="center"/>
          </w:tcPr>
          <w:p w14:paraId="3AD6895C"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30,086</w:t>
            </w:r>
          </w:p>
        </w:tc>
        <w:tc>
          <w:tcPr>
            <w:tcW w:w="2174" w:type="dxa"/>
            <w:tcBorders>
              <w:top w:val="nil"/>
              <w:bottom w:val="nil"/>
            </w:tcBorders>
            <w:shd w:val="clear" w:color="auto" w:fill="auto"/>
            <w:vAlign w:val="center"/>
          </w:tcPr>
          <w:p w14:paraId="5360565A"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721,320</w:t>
            </w:r>
          </w:p>
        </w:tc>
      </w:tr>
      <w:tr w:rsidR="006A362F" w:rsidRPr="004A53AE" w14:paraId="4B6341DF"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EC0049D" w14:textId="77777777" w:rsidR="006A362F" w:rsidRPr="004A53AE" w:rsidRDefault="006A362F" w:rsidP="004A53AE">
            <w:pPr>
              <w:pStyle w:val="08-Tabelageral"/>
              <w:ind w:left="113"/>
              <w:jc w:val="left"/>
              <w:rPr>
                <w:rFonts w:cs="Arial"/>
                <w:b w:val="0"/>
                <w:szCs w:val="14"/>
                <w:lang w:val="en-US"/>
              </w:rPr>
            </w:pPr>
            <w:r w:rsidRPr="004A53AE">
              <w:rPr>
                <w:rFonts w:cs="Arial"/>
                <w:b w:val="0"/>
                <w:szCs w:val="14"/>
                <w:lang w:val="en-US"/>
              </w:rPr>
              <w:t>Equity in the earnings of associates</w:t>
            </w:r>
          </w:p>
        </w:tc>
        <w:tc>
          <w:tcPr>
            <w:tcW w:w="2173" w:type="dxa"/>
            <w:tcBorders>
              <w:top w:val="nil"/>
              <w:bottom w:val="nil"/>
            </w:tcBorders>
            <w:shd w:val="clear" w:color="auto" w:fill="auto"/>
            <w:vAlign w:val="center"/>
          </w:tcPr>
          <w:p w14:paraId="477DBC73"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605,283</w:t>
            </w:r>
          </w:p>
        </w:tc>
        <w:tc>
          <w:tcPr>
            <w:tcW w:w="2173" w:type="dxa"/>
            <w:tcBorders>
              <w:top w:val="nil"/>
              <w:bottom w:val="nil"/>
            </w:tcBorders>
            <w:shd w:val="clear" w:color="auto" w:fill="auto"/>
            <w:vAlign w:val="center"/>
          </w:tcPr>
          <w:p w14:paraId="3DB35135"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30,086</w:t>
            </w:r>
          </w:p>
        </w:tc>
        <w:tc>
          <w:tcPr>
            <w:tcW w:w="2174" w:type="dxa"/>
            <w:tcBorders>
              <w:top w:val="nil"/>
              <w:bottom w:val="nil"/>
            </w:tcBorders>
            <w:shd w:val="clear" w:color="auto" w:fill="auto"/>
            <w:vAlign w:val="center"/>
          </w:tcPr>
          <w:p w14:paraId="233F3865"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635,370</w:t>
            </w:r>
          </w:p>
        </w:tc>
      </w:tr>
      <w:tr w:rsidR="006A362F" w:rsidRPr="004A53AE" w14:paraId="2B5E0335"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9E2F748" w14:textId="77777777" w:rsidR="006A362F" w:rsidRPr="004A53AE" w:rsidRDefault="006A362F" w:rsidP="004A53AE">
            <w:pPr>
              <w:pStyle w:val="08-Tabelageral"/>
              <w:ind w:left="113"/>
              <w:jc w:val="left"/>
              <w:rPr>
                <w:rFonts w:cs="Arial"/>
                <w:b w:val="0"/>
                <w:szCs w:val="14"/>
              </w:rPr>
            </w:pPr>
            <w:r w:rsidRPr="004A53AE">
              <w:rPr>
                <w:rFonts w:cs="Arial"/>
                <w:b w:val="0"/>
                <w:szCs w:val="14"/>
              </w:rPr>
              <w:t>Financial income</w:t>
            </w:r>
          </w:p>
        </w:tc>
        <w:tc>
          <w:tcPr>
            <w:tcW w:w="2173" w:type="dxa"/>
            <w:tcBorders>
              <w:top w:val="nil"/>
              <w:bottom w:val="nil"/>
            </w:tcBorders>
            <w:shd w:val="clear" w:color="auto" w:fill="auto"/>
            <w:vAlign w:val="center"/>
          </w:tcPr>
          <w:p w14:paraId="533554E1"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85,950</w:t>
            </w:r>
          </w:p>
        </w:tc>
        <w:tc>
          <w:tcPr>
            <w:tcW w:w="2173" w:type="dxa"/>
            <w:tcBorders>
              <w:top w:val="nil"/>
              <w:bottom w:val="nil"/>
            </w:tcBorders>
            <w:shd w:val="clear" w:color="auto" w:fill="auto"/>
            <w:vAlign w:val="center"/>
          </w:tcPr>
          <w:p w14:paraId="40061FC5"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w:t>
            </w:r>
          </w:p>
        </w:tc>
        <w:tc>
          <w:tcPr>
            <w:tcW w:w="2174" w:type="dxa"/>
            <w:tcBorders>
              <w:top w:val="nil"/>
              <w:bottom w:val="nil"/>
            </w:tcBorders>
            <w:shd w:val="clear" w:color="auto" w:fill="auto"/>
            <w:vAlign w:val="center"/>
          </w:tcPr>
          <w:p w14:paraId="45FD8ED9"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85,950</w:t>
            </w:r>
          </w:p>
        </w:tc>
      </w:tr>
      <w:tr w:rsidR="006A362F" w:rsidRPr="004A53AE" w14:paraId="596C7C16"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0ADE311" w14:textId="77777777" w:rsidR="006A362F" w:rsidRPr="004A53AE" w:rsidRDefault="006A362F" w:rsidP="004A53AE">
            <w:pPr>
              <w:pStyle w:val="08-Tabelageral"/>
              <w:jc w:val="left"/>
              <w:rPr>
                <w:rFonts w:cs="Arial"/>
                <w:szCs w:val="14"/>
                <w:lang w:val="en-US"/>
              </w:rPr>
            </w:pPr>
            <w:r w:rsidRPr="004A53AE">
              <w:rPr>
                <w:rFonts w:cs="Arial"/>
                <w:szCs w:val="14"/>
                <w:lang w:val="en-US"/>
              </w:rPr>
              <w:t>Total Added Value to Distribute</w:t>
            </w:r>
          </w:p>
        </w:tc>
        <w:tc>
          <w:tcPr>
            <w:tcW w:w="2173" w:type="dxa"/>
            <w:tcBorders>
              <w:top w:val="nil"/>
              <w:bottom w:val="nil"/>
            </w:tcBorders>
            <w:shd w:val="clear" w:color="auto" w:fill="auto"/>
            <w:vAlign w:val="center"/>
          </w:tcPr>
          <w:p w14:paraId="39ECE2B6"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1,647,268</w:t>
            </w:r>
          </w:p>
        </w:tc>
        <w:tc>
          <w:tcPr>
            <w:tcW w:w="2173" w:type="dxa"/>
            <w:tcBorders>
              <w:top w:val="nil"/>
              <w:bottom w:val="nil"/>
            </w:tcBorders>
            <w:shd w:val="clear" w:color="auto" w:fill="auto"/>
            <w:vAlign w:val="center"/>
          </w:tcPr>
          <w:p w14:paraId="4FC22A4C"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30,995</w:t>
            </w:r>
          </w:p>
        </w:tc>
        <w:tc>
          <w:tcPr>
            <w:tcW w:w="2174" w:type="dxa"/>
            <w:tcBorders>
              <w:top w:val="nil"/>
              <w:bottom w:val="nil"/>
            </w:tcBorders>
            <w:shd w:val="clear" w:color="auto" w:fill="auto"/>
            <w:vAlign w:val="center"/>
          </w:tcPr>
          <w:p w14:paraId="66DD78B4"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1,678,263</w:t>
            </w:r>
          </w:p>
        </w:tc>
      </w:tr>
      <w:tr w:rsidR="006A362F" w:rsidRPr="004A53AE" w14:paraId="44755C93"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1E14B02" w14:textId="77777777" w:rsidR="006A362F" w:rsidRPr="004A53AE" w:rsidRDefault="006A362F" w:rsidP="004A53AE">
            <w:pPr>
              <w:pStyle w:val="08-Tabelageral"/>
              <w:jc w:val="left"/>
              <w:rPr>
                <w:rFonts w:cs="Arial"/>
                <w:szCs w:val="14"/>
              </w:rPr>
            </w:pPr>
          </w:p>
        </w:tc>
        <w:tc>
          <w:tcPr>
            <w:tcW w:w="2173" w:type="dxa"/>
            <w:tcBorders>
              <w:top w:val="nil"/>
              <w:bottom w:val="nil"/>
            </w:tcBorders>
            <w:shd w:val="clear" w:color="auto" w:fill="auto"/>
            <w:vAlign w:val="center"/>
          </w:tcPr>
          <w:p w14:paraId="2B075E99"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173" w:type="dxa"/>
            <w:tcBorders>
              <w:top w:val="nil"/>
              <w:bottom w:val="nil"/>
            </w:tcBorders>
            <w:shd w:val="clear" w:color="auto" w:fill="auto"/>
            <w:vAlign w:val="center"/>
          </w:tcPr>
          <w:p w14:paraId="54C4E960"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c>
          <w:tcPr>
            <w:tcW w:w="2174" w:type="dxa"/>
            <w:tcBorders>
              <w:top w:val="nil"/>
              <w:bottom w:val="nil"/>
            </w:tcBorders>
            <w:shd w:val="clear" w:color="auto" w:fill="auto"/>
            <w:vAlign w:val="center"/>
          </w:tcPr>
          <w:p w14:paraId="2139E0E4"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p>
        </w:tc>
      </w:tr>
      <w:tr w:rsidR="006A362F" w:rsidRPr="004A53AE" w14:paraId="400D817E"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56D53C2" w14:textId="77777777" w:rsidR="006A362F" w:rsidRPr="004A53AE" w:rsidRDefault="006A362F" w:rsidP="004A53AE">
            <w:pPr>
              <w:pStyle w:val="08-Tabelageral"/>
              <w:jc w:val="left"/>
              <w:rPr>
                <w:rFonts w:cs="Arial"/>
                <w:szCs w:val="14"/>
              </w:rPr>
            </w:pPr>
            <w:r w:rsidRPr="004A53AE">
              <w:rPr>
                <w:rFonts w:cs="Arial"/>
                <w:szCs w:val="14"/>
              </w:rPr>
              <w:t>Distribution of Added Value</w:t>
            </w:r>
          </w:p>
        </w:tc>
        <w:tc>
          <w:tcPr>
            <w:tcW w:w="2173" w:type="dxa"/>
            <w:tcBorders>
              <w:top w:val="nil"/>
              <w:bottom w:val="nil"/>
            </w:tcBorders>
            <w:shd w:val="clear" w:color="auto" w:fill="auto"/>
            <w:vAlign w:val="center"/>
          </w:tcPr>
          <w:p w14:paraId="2E3329F2"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1,647,268</w:t>
            </w:r>
          </w:p>
        </w:tc>
        <w:tc>
          <w:tcPr>
            <w:tcW w:w="2173" w:type="dxa"/>
            <w:tcBorders>
              <w:top w:val="nil"/>
              <w:bottom w:val="nil"/>
            </w:tcBorders>
            <w:shd w:val="clear" w:color="auto" w:fill="auto"/>
            <w:vAlign w:val="center"/>
          </w:tcPr>
          <w:p w14:paraId="7BDCF50A"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30,995</w:t>
            </w:r>
          </w:p>
        </w:tc>
        <w:tc>
          <w:tcPr>
            <w:tcW w:w="2174" w:type="dxa"/>
            <w:tcBorders>
              <w:top w:val="nil"/>
              <w:bottom w:val="nil"/>
            </w:tcBorders>
            <w:shd w:val="clear" w:color="auto" w:fill="auto"/>
            <w:vAlign w:val="center"/>
          </w:tcPr>
          <w:p w14:paraId="66B16F73"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1,678,263</w:t>
            </w:r>
          </w:p>
        </w:tc>
      </w:tr>
      <w:tr w:rsidR="006A362F" w:rsidRPr="004A53AE" w14:paraId="209C9C4B"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12D9C22" w14:textId="77777777" w:rsidR="006A362F" w:rsidRPr="004A53AE" w:rsidRDefault="006A362F" w:rsidP="004A53AE">
            <w:pPr>
              <w:pStyle w:val="08-Tabelageral"/>
              <w:jc w:val="left"/>
              <w:rPr>
                <w:rFonts w:cs="Arial"/>
                <w:szCs w:val="14"/>
              </w:rPr>
            </w:pPr>
            <w:r w:rsidRPr="004A53AE">
              <w:t>Personnel</w:t>
            </w:r>
          </w:p>
        </w:tc>
        <w:tc>
          <w:tcPr>
            <w:tcW w:w="2173" w:type="dxa"/>
            <w:tcBorders>
              <w:top w:val="nil"/>
              <w:bottom w:val="nil"/>
            </w:tcBorders>
            <w:shd w:val="clear" w:color="auto" w:fill="auto"/>
            <w:vAlign w:val="center"/>
          </w:tcPr>
          <w:p w14:paraId="2DCBAAA1"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16,390</w:t>
            </w:r>
          </w:p>
        </w:tc>
        <w:tc>
          <w:tcPr>
            <w:tcW w:w="2173" w:type="dxa"/>
            <w:tcBorders>
              <w:top w:val="nil"/>
              <w:bottom w:val="nil"/>
            </w:tcBorders>
            <w:shd w:val="clear" w:color="auto" w:fill="auto"/>
            <w:vAlign w:val="center"/>
          </w:tcPr>
          <w:p w14:paraId="795DBA00"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(2,196)</w:t>
            </w:r>
          </w:p>
        </w:tc>
        <w:tc>
          <w:tcPr>
            <w:tcW w:w="2174" w:type="dxa"/>
            <w:tcBorders>
              <w:top w:val="nil"/>
              <w:bottom w:val="nil"/>
            </w:tcBorders>
            <w:shd w:val="clear" w:color="auto" w:fill="auto"/>
            <w:vAlign w:val="center"/>
          </w:tcPr>
          <w:p w14:paraId="1BB59833"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14,194</w:t>
            </w:r>
          </w:p>
        </w:tc>
      </w:tr>
      <w:tr w:rsidR="006A362F" w:rsidRPr="004A53AE" w14:paraId="0B3EDE97" w14:textId="77777777" w:rsidTr="0036502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3324B2D4" w14:textId="77777777" w:rsidR="006A362F" w:rsidRPr="004A53AE" w:rsidRDefault="006A362F" w:rsidP="004A53AE">
            <w:pPr>
              <w:pStyle w:val="08-Tabelageral"/>
              <w:ind w:left="113"/>
              <w:jc w:val="left"/>
              <w:rPr>
                <w:rFonts w:cs="Arial"/>
                <w:b w:val="0"/>
                <w:szCs w:val="14"/>
                <w:lang w:val="en-US"/>
              </w:rPr>
            </w:pPr>
            <w:r w:rsidRPr="004A53AE">
              <w:rPr>
                <w:b w:val="0"/>
                <w:lang w:val="en-US"/>
              </w:rPr>
              <w:t>Direct remuneration - Earnings and fees</w:t>
            </w:r>
          </w:p>
        </w:tc>
        <w:tc>
          <w:tcPr>
            <w:tcW w:w="2173" w:type="dxa"/>
            <w:tcBorders>
              <w:top w:val="nil"/>
              <w:bottom w:val="nil"/>
            </w:tcBorders>
            <w:shd w:val="clear" w:color="auto" w:fill="auto"/>
            <w:vAlign w:val="center"/>
          </w:tcPr>
          <w:p w14:paraId="21ED30BB"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237334E0"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9,903</w:t>
            </w:r>
          </w:p>
        </w:tc>
        <w:tc>
          <w:tcPr>
            <w:tcW w:w="2174" w:type="dxa"/>
            <w:tcBorders>
              <w:top w:val="nil"/>
              <w:bottom w:val="nil"/>
            </w:tcBorders>
            <w:shd w:val="clear" w:color="auto" w:fill="auto"/>
            <w:vAlign w:val="center"/>
          </w:tcPr>
          <w:p w14:paraId="15C03F08"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9,903</w:t>
            </w:r>
          </w:p>
        </w:tc>
      </w:tr>
      <w:tr w:rsidR="006A362F" w:rsidRPr="004A53AE" w14:paraId="2E085341" w14:textId="77777777" w:rsidTr="00365027">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5EE01AE" w14:textId="77777777" w:rsidR="006A362F" w:rsidRPr="004A53AE" w:rsidRDefault="006A362F" w:rsidP="004A53AE">
            <w:pPr>
              <w:pStyle w:val="08-Tabelageral"/>
              <w:ind w:left="113"/>
              <w:jc w:val="left"/>
              <w:rPr>
                <w:rFonts w:cs="Arial"/>
                <w:b w:val="0"/>
                <w:szCs w:val="14"/>
              </w:rPr>
            </w:pPr>
            <w:r w:rsidRPr="004A53AE">
              <w:rPr>
                <w:b w:val="0"/>
              </w:rPr>
              <w:t>Benefits and training</w:t>
            </w:r>
          </w:p>
        </w:tc>
        <w:tc>
          <w:tcPr>
            <w:tcW w:w="2173" w:type="dxa"/>
            <w:tcBorders>
              <w:top w:val="nil"/>
              <w:bottom w:val="nil"/>
            </w:tcBorders>
            <w:shd w:val="clear" w:color="auto" w:fill="auto"/>
            <w:vAlign w:val="center"/>
          </w:tcPr>
          <w:p w14:paraId="16C313E1"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54DE63E5"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2,588</w:t>
            </w:r>
          </w:p>
        </w:tc>
        <w:tc>
          <w:tcPr>
            <w:tcW w:w="2174" w:type="dxa"/>
            <w:tcBorders>
              <w:top w:val="nil"/>
              <w:bottom w:val="nil"/>
            </w:tcBorders>
            <w:shd w:val="clear" w:color="auto" w:fill="auto"/>
            <w:vAlign w:val="center"/>
          </w:tcPr>
          <w:p w14:paraId="72AB3B21"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2,588</w:t>
            </w:r>
          </w:p>
        </w:tc>
      </w:tr>
      <w:tr w:rsidR="006A362F" w:rsidRPr="004A53AE" w14:paraId="0F202624" w14:textId="77777777" w:rsidTr="0036502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106EBE9B" w14:textId="77777777" w:rsidR="006A362F" w:rsidRPr="004A53AE" w:rsidRDefault="006A362F" w:rsidP="004A53AE">
            <w:pPr>
              <w:pStyle w:val="08-Tabelageral"/>
              <w:ind w:left="113"/>
              <w:jc w:val="left"/>
              <w:rPr>
                <w:rFonts w:cs="Arial"/>
                <w:b w:val="0"/>
                <w:szCs w:val="14"/>
              </w:rPr>
            </w:pPr>
            <w:r w:rsidRPr="004A53AE">
              <w:rPr>
                <w:b w:val="0"/>
              </w:rPr>
              <w:t>FGTS</w:t>
            </w:r>
          </w:p>
        </w:tc>
        <w:tc>
          <w:tcPr>
            <w:tcW w:w="2173" w:type="dxa"/>
            <w:tcBorders>
              <w:top w:val="nil"/>
              <w:bottom w:val="nil"/>
            </w:tcBorders>
            <w:shd w:val="clear" w:color="auto" w:fill="auto"/>
            <w:vAlign w:val="center"/>
          </w:tcPr>
          <w:p w14:paraId="0392F98F"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387C8DBC"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646</w:t>
            </w:r>
          </w:p>
        </w:tc>
        <w:tc>
          <w:tcPr>
            <w:tcW w:w="2174" w:type="dxa"/>
            <w:tcBorders>
              <w:top w:val="nil"/>
              <w:bottom w:val="nil"/>
            </w:tcBorders>
            <w:shd w:val="clear" w:color="auto" w:fill="auto"/>
            <w:vAlign w:val="center"/>
          </w:tcPr>
          <w:p w14:paraId="1D563446"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646</w:t>
            </w:r>
          </w:p>
        </w:tc>
      </w:tr>
      <w:tr w:rsidR="006A362F" w:rsidRPr="004A53AE" w14:paraId="16F9CC45" w14:textId="77777777" w:rsidTr="00365027">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5F63FC35" w14:textId="77777777" w:rsidR="006A362F" w:rsidRPr="004A53AE" w:rsidRDefault="006A362F" w:rsidP="004A53AE">
            <w:pPr>
              <w:pStyle w:val="08-Tabelageral"/>
              <w:ind w:left="113"/>
              <w:jc w:val="left"/>
              <w:rPr>
                <w:rFonts w:cs="Arial"/>
                <w:b w:val="0"/>
                <w:szCs w:val="14"/>
              </w:rPr>
            </w:pPr>
            <w:r w:rsidRPr="004A53AE">
              <w:rPr>
                <w:rStyle w:val="rynqvb"/>
                <w:b w:val="0"/>
                <w:lang w:val="en"/>
              </w:rPr>
              <w:t>Other charges</w:t>
            </w:r>
          </w:p>
        </w:tc>
        <w:tc>
          <w:tcPr>
            <w:tcW w:w="2173" w:type="dxa"/>
            <w:tcBorders>
              <w:top w:val="nil"/>
              <w:bottom w:val="nil"/>
            </w:tcBorders>
            <w:shd w:val="clear" w:color="auto" w:fill="auto"/>
            <w:vAlign w:val="center"/>
          </w:tcPr>
          <w:p w14:paraId="19CF61E3"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43EAF2C5"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1,057</w:t>
            </w:r>
          </w:p>
        </w:tc>
        <w:tc>
          <w:tcPr>
            <w:tcW w:w="2174" w:type="dxa"/>
            <w:tcBorders>
              <w:top w:val="nil"/>
              <w:bottom w:val="nil"/>
            </w:tcBorders>
            <w:shd w:val="clear" w:color="auto" w:fill="auto"/>
            <w:vAlign w:val="center"/>
          </w:tcPr>
          <w:p w14:paraId="277036FA"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1,057</w:t>
            </w:r>
          </w:p>
        </w:tc>
      </w:tr>
      <w:tr w:rsidR="006A362F" w:rsidRPr="004A53AE" w14:paraId="7E860D67"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81E366E" w14:textId="77777777" w:rsidR="006A362F" w:rsidRPr="004A53AE" w:rsidRDefault="006A362F" w:rsidP="004A53AE">
            <w:pPr>
              <w:pStyle w:val="08-Tabelageral"/>
              <w:jc w:val="left"/>
              <w:rPr>
                <w:rFonts w:cs="Arial"/>
                <w:szCs w:val="14"/>
              </w:rPr>
            </w:pPr>
            <w:r w:rsidRPr="004A53AE">
              <w:t>Taxes, fees and contributions</w:t>
            </w:r>
          </w:p>
        </w:tc>
        <w:tc>
          <w:tcPr>
            <w:tcW w:w="2173" w:type="dxa"/>
            <w:tcBorders>
              <w:top w:val="nil"/>
              <w:bottom w:val="nil"/>
            </w:tcBorders>
            <w:shd w:val="clear" w:color="auto" w:fill="auto"/>
            <w:vAlign w:val="center"/>
          </w:tcPr>
          <w:p w14:paraId="0A1AD8C1"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423,639</w:t>
            </w:r>
          </w:p>
        </w:tc>
        <w:tc>
          <w:tcPr>
            <w:tcW w:w="2173" w:type="dxa"/>
            <w:tcBorders>
              <w:top w:val="nil"/>
              <w:bottom w:val="nil"/>
            </w:tcBorders>
            <w:shd w:val="clear" w:color="auto" w:fill="auto"/>
            <w:vAlign w:val="center"/>
          </w:tcPr>
          <w:p w14:paraId="42FA1FD5"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2,196</w:t>
            </w:r>
          </w:p>
        </w:tc>
        <w:tc>
          <w:tcPr>
            <w:tcW w:w="2174" w:type="dxa"/>
            <w:tcBorders>
              <w:top w:val="nil"/>
              <w:bottom w:val="nil"/>
            </w:tcBorders>
            <w:shd w:val="clear" w:color="auto" w:fill="auto"/>
            <w:vAlign w:val="center"/>
          </w:tcPr>
          <w:p w14:paraId="10A3FF4E"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425,835</w:t>
            </w:r>
          </w:p>
        </w:tc>
      </w:tr>
      <w:tr w:rsidR="006A362F" w:rsidRPr="004A53AE" w14:paraId="35D70DA2"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7BD1FDA" w14:textId="77777777" w:rsidR="006A362F" w:rsidRPr="004A53AE" w:rsidRDefault="006A362F" w:rsidP="004A53AE">
            <w:pPr>
              <w:pStyle w:val="08-Tabelageral"/>
              <w:ind w:left="113"/>
              <w:jc w:val="left"/>
              <w:rPr>
                <w:rFonts w:cs="Arial"/>
                <w:b w:val="0"/>
                <w:szCs w:val="14"/>
              </w:rPr>
            </w:pPr>
            <w:r w:rsidRPr="004A53AE">
              <w:rPr>
                <w:b w:val="0"/>
              </w:rPr>
              <w:t>Federal</w:t>
            </w:r>
          </w:p>
        </w:tc>
        <w:tc>
          <w:tcPr>
            <w:tcW w:w="2173" w:type="dxa"/>
            <w:tcBorders>
              <w:top w:val="nil"/>
              <w:bottom w:val="nil"/>
            </w:tcBorders>
            <w:shd w:val="clear" w:color="auto" w:fill="auto"/>
            <w:vAlign w:val="center"/>
          </w:tcPr>
          <w:p w14:paraId="2D7BDCB7"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03CF2F54"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401,477</w:t>
            </w:r>
          </w:p>
        </w:tc>
        <w:tc>
          <w:tcPr>
            <w:tcW w:w="2174" w:type="dxa"/>
            <w:tcBorders>
              <w:top w:val="nil"/>
              <w:bottom w:val="nil"/>
            </w:tcBorders>
            <w:shd w:val="clear" w:color="auto" w:fill="auto"/>
            <w:vAlign w:val="center"/>
          </w:tcPr>
          <w:p w14:paraId="3E574AA2"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401,477</w:t>
            </w:r>
          </w:p>
        </w:tc>
      </w:tr>
      <w:tr w:rsidR="006A362F" w:rsidRPr="004A53AE" w14:paraId="2B039736"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632BF18" w14:textId="77777777" w:rsidR="006A362F" w:rsidRPr="004A53AE" w:rsidRDefault="006A362F" w:rsidP="004A53AE">
            <w:pPr>
              <w:pStyle w:val="08-Tabelageral"/>
              <w:ind w:left="113"/>
              <w:jc w:val="left"/>
              <w:rPr>
                <w:rFonts w:cs="Arial"/>
                <w:b w:val="0"/>
                <w:szCs w:val="14"/>
              </w:rPr>
            </w:pPr>
            <w:r w:rsidRPr="004A53AE">
              <w:rPr>
                <w:b w:val="0"/>
              </w:rPr>
              <w:t>Municipal</w:t>
            </w:r>
          </w:p>
        </w:tc>
        <w:tc>
          <w:tcPr>
            <w:tcW w:w="2173" w:type="dxa"/>
            <w:tcBorders>
              <w:top w:val="nil"/>
              <w:bottom w:val="nil"/>
            </w:tcBorders>
            <w:shd w:val="clear" w:color="auto" w:fill="auto"/>
            <w:vAlign w:val="center"/>
          </w:tcPr>
          <w:p w14:paraId="33D9BAE2"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42E34EA9"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24,358</w:t>
            </w:r>
          </w:p>
        </w:tc>
        <w:tc>
          <w:tcPr>
            <w:tcW w:w="2174" w:type="dxa"/>
            <w:tcBorders>
              <w:top w:val="nil"/>
              <w:bottom w:val="nil"/>
            </w:tcBorders>
            <w:shd w:val="clear" w:color="auto" w:fill="auto"/>
            <w:vAlign w:val="center"/>
          </w:tcPr>
          <w:p w14:paraId="254D8C14"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24,358</w:t>
            </w:r>
          </w:p>
        </w:tc>
      </w:tr>
      <w:tr w:rsidR="006A362F" w:rsidRPr="004A53AE" w14:paraId="04C22B56"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3CCB215" w14:textId="77777777" w:rsidR="006A362F" w:rsidRPr="004A53AE" w:rsidRDefault="006A362F" w:rsidP="004A53AE">
            <w:pPr>
              <w:pStyle w:val="08-Tabelageral"/>
              <w:jc w:val="left"/>
              <w:rPr>
                <w:rFonts w:cs="Arial"/>
                <w:szCs w:val="14"/>
              </w:rPr>
            </w:pPr>
            <w:r w:rsidRPr="004A53AE">
              <w:rPr>
                <w:rFonts w:cs="Arial"/>
                <w:szCs w:val="14"/>
              </w:rPr>
              <w:t>Financial expenses</w:t>
            </w:r>
          </w:p>
        </w:tc>
        <w:tc>
          <w:tcPr>
            <w:tcW w:w="2173" w:type="dxa"/>
            <w:tcBorders>
              <w:top w:val="nil"/>
              <w:bottom w:val="nil"/>
            </w:tcBorders>
            <w:shd w:val="clear" w:color="auto" w:fill="auto"/>
            <w:vAlign w:val="center"/>
          </w:tcPr>
          <w:p w14:paraId="1ED8A3B3"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27,808</w:t>
            </w:r>
          </w:p>
        </w:tc>
        <w:tc>
          <w:tcPr>
            <w:tcW w:w="2173" w:type="dxa"/>
            <w:tcBorders>
              <w:top w:val="nil"/>
              <w:bottom w:val="nil"/>
            </w:tcBorders>
            <w:shd w:val="clear" w:color="auto" w:fill="auto"/>
            <w:vAlign w:val="center"/>
          </w:tcPr>
          <w:p w14:paraId="780CDC38"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(27,808)</w:t>
            </w:r>
          </w:p>
        </w:tc>
        <w:tc>
          <w:tcPr>
            <w:tcW w:w="2174" w:type="dxa"/>
            <w:tcBorders>
              <w:top w:val="nil"/>
              <w:bottom w:val="nil"/>
            </w:tcBorders>
            <w:shd w:val="clear" w:color="auto" w:fill="auto"/>
            <w:vAlign w:val="center"/>
          </w:tcPr>
          <w:p w14:paraId="20695A84"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r>
      <w:tr w:rsidR="006A362F" w:rsidRPr="004A53AE" w14:paraId="42117A76"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8052A41" w14:textId="77777777" w:rsidR="006A362F" w:rsidRPr="004A53AE" w:rsidRDefault="006A362F" w:rsidP="004A53AE">
            <w:pPr>
              <w:pStyle w:val="08-Tabelageral"/>
              <w:jc w:val="left"/>
              <w:rPr>
                <w:rFonts w:cs="Arial"/>
                <w:szCs w:val="14"/>
                <w:lang w:val="en-US"/>
              </w:rPr>
            </w:pPr>
            <w:r w:rsidRPr="004A53AE">
              <w:rPr>
                <w:lang w:val="en-US"/>
              </w:rPr>
              <w:t>Remuneration of third-party capital</w:t>
            </w:r>
          </w:p>
        </w:tc>
        <w:tc>
          <w:tcPr>
            <w:tcW w:w="2173" w:type="dxa"/>
            <w:tcBorders>
              <w:top w:val="nil"/>
              <w:bottom w:val="nil"/>
            </w:tcBorders>
            <w:shd w:val="clear" w:color="auto" w:fill="auto"/>
            <w:vAlign w:val="center"/>
          </w:tcPr>
          <w:p w14:paraId="6932D94D"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2173" w:type="dxa"/>
            <w:tcBorders>
              <w:top w:val="nil"/>
              <w:bottom w:val="nil"/>
            </w:tcBorders>
            <w:shd w:val="clear" w:color="auto" w:fill="auto"/>
            <w:vAlign w:val="center"/>
          </w:tcPr>
          <w:p w14:paraId="5EC74912"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28,716</w:t>
            </w:r>
          </w:p>
        </w:tc>
        <w:tc>
          <w:tcPr>
            <w:tcW w:w="2174" w:type="dxa"/>
            <w:tcBorders>
              <w:top w:val="nil"/>
              <w:bottom w:val="nil"/>
            </w:tcBorders>
            <w:shd w:val="clear" w:color="auto" w:fill="auto"/>
            <w:vAlign w:val="center"/>
          </w:tcPr>
          <w:p w14:paraId="1E4B192C"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4A53AE">
              <w:rPr>
                <w:rFonts w:cs="Arial"/>
                <w:b/>
                <w:bCs/>
                <w:szCs w:val="14"/>
                <w:lang w:eastAsia="en-US"/>
              </w:rPr>
              <w:t>28,716</w:t>
            </w:r>
          </w:p>
        </w:tc>
      </w:tr>
      <w:tr w:rsidR="006A362F" w:rsidRPr="004A53AE" w14:paraId="73199AC7"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393D3AA" w14:textId="77777777" w:rsidR="006A362F" w:rsidRPr="004A53AE" w:rsidRDefault="006A362F" w:rsidP="004A53AE">
            <w:pPr>
              <w:pStyle w:val="08-Tabelageral"/>
              <w:ind w:left="113"/>
              <w:jc w:val="left"/>
              <w:rPr>
                <w:rFonts w:cs="Arial"/>
                <w:b w:val="0"/>
                <w:szCs w:val="14"/>
              </w:rPr>
            </w:pPr>
            <w:r w:rsidRPr="004A53AE">
              <w:rPr>
                <w:b w:val="0"/>
              </w:rPr>
              <w:t>Interest</w:t>
            </w:r>
          </w:p>
        </w:tc>
        <w:tc>
          <w:tcPr>
            <w:tcW w:w="2173" w:type="dxa"/>
            <w:tcBorders>
              <w:top w:val="nil"/>
              <w:bottom w:val="nil"/>
            </w:tcBorders>
            <w:shd w:val="clear" w:color="auto" w:fill="auto"/>
            <w:vAlign w:val="center"/>
          </w:tcPr>
          <w:p w14:paraId="492BEF95"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35930444"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27,808</w:t>
            </w:r>
          </w:p>
        </w:tc>
        <w:tc>
          <w:tcPr>
            <w:tcW w:w="2174" w:type="dxa"/>
            <w:tcBorders>
              <w:top w:val="nil"/>
              <w:bottom w:val="nil"/>
            </w:tcBorders>
            <w:shd w:val="clear" w:color="auto" w:fill="auto"/>
            <w:vAlign w:val="center"/>
          </w:tcPr>
          <w:p w14:paraId="64177613"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4A53AE">
              <w:rPr>
                <w:rFonts w:cs="Arial"/>
                <w:bCs/>
                <w:szCs w:val="14"/>
                <w:lang w:eastAsia="en-US"/>
              </w:rPr>
              <w:t>27,808</w:t>
            </w:r>
          </w:p>
        </w:tc>
      </w:tr>
      <w:tr w:rsidR="006A362F" w:rsidRPr="004A53AE" w14:paraId="36FD8DFB" w14:textId="77777777" w:rsidTr="006C432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853C95E" w14:textId="77777777" w:rsidR="006A362F" w:rsidRPr="004A53AE" w:rsidRDefault="006A362F" w:rsidP="004A53AE">
            <w:pPr>
              <w:pStyle w:val="08-Tabelageral"/>
              <w:ind w:left="113"/>
              <w:jc w:val="left"/>
              <w:rPr>
                <w:rFonts w:cs="Arial"/>
                <w:b w:val="0"/>
                <w:szCs w:val="14"/>
              </w:rPr>
            </w:pPr>
            <w:r w:rsidRPr="004A53AE">
              <w:rPr>
                <w:rStyle w:val="rynqvb"/>
                <w:b w:val="0"/>
                <w:lang w:val="en"/>
              </w:rPr>
              <w:t>Rents</w:t>
            </w:r>
          </w:p>
        </w:tc>
        <w:tc>
          <w:tcPr>
            <w:tcW w:w="2173" w:type="dxa"/>
            <w:tcBorders>
              <w:top w:val="nil"/>
              <w:bottom w:val="nil"/>
            </w:tcBorders>
            <w:shd w:val="clear" w:color="auto" w:fill="auto"/>
            <w:vAlign w:val="center"/>
          </w:tcPr>
          <w:p w14:paraId="0160E568"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w:t>
            </w:r>
          </w:p>
        </w:tc>
        <w:tc>
          <w:tcPr>
            <w:tcW w:w="2173" w:type="dxa"/>
            <w:tcBorders>
              <w:top w:val="nil"/>
              <w:bottom w:val="nil"/>
            </w:tcBorders>
            <w:shd w:val="clear" w:color="auto" w:fill="auto"/>
            <w:vAlign w:val="center"/>
          </w:tcPr>
          <w:p w14:paraId="7D4D7A7A"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908</w:t>
            </w:r>
          </w:p>
        </w:tc>
        <w:tc>
          <w:tcPr>
            <w:tcW w:w="2174" w:type="dxa"/>
            <w:tcBorders>
              <w:top w:val="nil"/>
              <w:bottom w:val="nil"/>
            </w:tcBorders>
            <w:shd w:val="clear" w:color="auto" w:fill="auto"/>
            <w:vAlign w:val="center"/>
          </w:tcPr>
          <w:p w14:paraId="2060A744"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908</w:t>
            </w:r>
          </w:p>
        </w:tc>
      </w:tr>
      <w:tr w:rsidR="006A362F" w:rsidRPr="004A53AE" w14:paraId="741F1C29" w14:textId="77777777" w:rsidTr="006C4325">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83CAB74" w14:textId="77777777" w:rsidR="006A362F" w:rsidRPr="004A53AE" w:rsidRDefault="006A362F" w:rsidP="004A53AE">
            <w:pPr>
              <w:pStyle w:val="08-Tabelageral"/>
              <w:jc w:val="left"/>
              <w:rPr>
                <w:rFonts w:cs="Arial"/>
                <w:szCs w:val="14"/>
              </w:rPr>
            </w:pPr>
            <w:r w:rsidRPr="004A53AE">
              <w:t>Equity remuneration</w:t>
            </w:r>
          </w:p>
        </w:tc>
        <w:tc>
          <w:tcPr>
            <w:tcW w:w="2173" w:type="dxa"/>
            <w:tcBorders>
              <w:top w:val="nil"/>
              <w:bottom w:val="nil"/>
            </w:tcBorders>
            <w:shd w:val="clear" w:color="auto" w:fill="auto"/>
            <w:vAlign w:val="center"/>
          </w:tcPr>
          <w:p w14:paraId="0A8A4FBE"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w:t>
            </w:r>
          </w:p>
        </w:tc>
        <w:tc>
          <w:tcPr>
            <w:tcW w:w="2173" w:type="dxa"/>
            <w:tcBorders>
              <w:top w:val="nil"/>
              <w:bottom w:val="nil"/>
            </w:tcBorders>
            <w:shd w:val="clear" w:color="auto" w:fill="auto"/>
            <w:vAlign w:val="center"/>
          </w:tcPr>
          <w:p w14:paraId="7721F440"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1,209,517</w:t>
            </w:r>
          </w:p>
        </w:tc>
        <w:tc>
          <w:tcPr>
            <w:tcW w:w="2174" w:type="dxa"/>
            <w:tcBorders>
              <w:top w:val="nil"/>
              <w:bottom w:val="nil"/>
            </w:tcBorders>
            <w:shd w:val="clear" w:color="auto" w:fill="auto"/>
            <w:vAlign w:val="center"/>
          </w:tcPr>
          <w:p w14:paraId="6CA43F59" w14:textId="77777777" w:rsidR="006A362F" w:rsidRPr="004A53AE" w:rsidRDefault="006A362F" w:rsidP="004A53AE">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4A53AE">
              <w:rPr>
                <w:rFonts w:cs="Arial"/>
                <w:b/>
                <w:bCs/>
                <w:szCs w:val="14"/>
                <w:lang w:eastAsia="en-US"/>
              </w:rPr>
              <w:t>1,209,517</w:t>
            </w:r>
          </w:p>
        </w:tc>
      </w:tr>
      <w:tr w:rsidR="006A362F" w:rsidRPr="00594344" w14:paraId="5DF98915" w14:textId="77777777" w:rsidTr="00013EC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68884136" w14:textId="77777777" w:rsidR="006A362F" w:rsidRPr="004A53AE" w:rsidRDefault="006A362F" w:rsidP="004A53AE">
            <w:pPr>
              <w:pStyle w:val="08-Tabelageral"/>
              <w:ind w:left="113"/>
              <w:jc w:val="left"/>
              <w:rPr>
                <w:rFonts w:cs="Arial"/>
                <w:b w:val="0"/>
                <w:szCs w:val="14"/>
                <w:lang w:val="en-US"/>
              </w:rPr>
            </w:pPr>
            <w:r w:rsidRPr="004A53AE">
              <w:rPr>
                <w:rStyle w:val="shorttext"/>
                <w:b w:val="0"/>
                <w:bCs w:val="0"/>
                <w:lang w:val="en"/>
              </w:rPr>
              <w:t>Retained earnings for the period</w:t>
            </w:r>
          </w:p>
        </w:tc>
        <w:tc>
          <w:tcPr>
            <w:tcW w:w="2173" w:type="dxa"/>
            <w:tcBorders>
              <w:top w:val="nil"/>
              <w:bottom w:val="single" w:sz="2" w:space="0" w:color="1F4E79" w:themeColor="accent1" w:themeShade="80"/>
            </w:tcBorders>
            <w:shd w:val="clear" w:color="auto" w:fill="auto"/>
            <w:vAlign w:val="center"/>
          </w:tcPr>
          <w:p w14:paraId="4E3A993F"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szCs w:val="14"/>
                <w:lang w:eastAsia="en-US"/>
              </w:rPr>
              <w:t>1,179,431</w:t>
            </w:r>
          </w:p>
        </w:tc>
        <w:tc>
          <w:tcPr>
            <w:tcW w:w="2173" w:type="dxa"/>
            <w:tcBorders>
              <w:top w:val="nil"/>
              <w:bottom w:val="single" w:sz="2" w:space="0" w:color="1F4E79" w:themeColor="accent1" w:themeShade="80"/>
            </w:tcBorders>
            <w:shd w:val="clear" w:color="auto" w:fill="auto"/>
            <w:vAlign w:val="center"/>
          </w:tcPr>
          <w:p w14:paraId="3915DD8E" w14:textId="77777777" w:rsidR="006A362F" w:rsidRPr="004A53AE"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rFonts w:cs="Arial"/>
                <w:bCs/>
                <w:szCs w:val="14"/>
                <w:lang w:eastAsia="en-US"/>
              </w:rPr>
              <w:t>30,086</w:t>
            </w:r>
          </w:p>
        </w:tc>
        <w:tc>
          <w:tcPr>
            <w:tcW w:w="2174" w:type="dxa"/>
            <w:tcBorders>
              <w:top w:val="nil"/>
              <w:bottom w:val="single" w:sz="2" w:space="0" w:color="1F4E79" w:themeColor="accent1" w:themeShade="80"/>
            </w:tcBorders>
            <w:shd w:val="clear" w:color="auto" w:fill="auto"/>
          </w:tcPr>
          <w:p w14:paraId="16E157FF" w14:textId="77777777" w:rsidR="006A362F" w:rsidRPr="007D290C" w:rsidRDefault="006A362F" w:rsidP="004A53AE">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4A53AE">
              <w:rPr>
                <w:lang w:eastAsia="en-US"/>
              </w:rPr>
              <w:t>1,209,517</w:t>
            </w:r>
          </w:p>
        </w:tc>
      </w:tr>
    </w:tbl>
    <w:p w14:paraId="490CD45A" w14:textId="77777777" w:rsidR="006A362F" w:rsidRDefault="006A362F" w:rsidP="0043117D">
      <w:pPr>
        <w:rPr>
          <w:lang w:val="en-US" w:eastAsia="pt-BR"/>
        </w:rPr>
      </w:pPr>
    </w:p>
    <w:p w14:paraId="25AB12F9" w14:textId="249C9072" w:rsidR="006A362F" w:rsidRPr="005262D9" w:rsidRDefault="006A362F" w:rsidP="005262D9">
      <w:pPr>
        <w:pStyle w:val="Ttulo1"/>
        <w:rPr>
          <w:b w:val="0"/>
        </w:rPr>
      </w:pPr>
      <w:bookmarkStart w:id="22" w:name="OLE_LINK5"/>
      <w:bookmarkStart w:id="23" w:name="_Toc134823568"/>
      <w:r w:rsidRPr="005262D9">
        <w:t xml:space="preserve">4 – </w:t>
      </w:r>
      <w:r w:rsidRPr="004105CA">
        <w:t>DESCRIPTION OF KEY ACCOUNTING POLICIES</w:t>
      </w:r>
      <w:bookmarkEnd w:id="23"/>
    </w:p>
    <w:p w14:paraId="2F03950D" w14:textId="77777777" w:rsidR="006A362F" w:rsidRDefault="006A362F" w:rsidP="004105CA">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Accounting policies are the specific principles, bases, conventions, rules and practices applied by BB Seguridade in the preparation and presentation of </w:t>
      </w:r>
      <w:r>
        <w:rPr>
          <w:rFonts w:eastAsia="Times New Roman" w:cs="Times New Roman"/>
          <w:spacing w:val="-2"/>
          <w:szCs w:val="18"/>
          <w:lang w:val="en" w:eastAsia="pt-BR"/>
        </w:rPr>
        <w:t>annual financial statements</w:t>
      </w:r>
      <w:r w:rsidRPr="004105CA">
        <w:rPr>
          <w:rFonts w:eastAsia="Times New Roman" w:cs="Times New Roman"/>
          <w:spacing w:val="-2"/>
          <w:szCs w:val="18"/>
          <w:lang w:val="en" w:eastAsia="pt-BR"/>
        </w:rPr>
        <w:t>. BB Seguridade applied accounting policies consistently to all periods presented in these</w:t>
      </w:r>
      <w:r>
        <w:rPr>
          <w:rFonts w:eastAsia="Times New Roman" w:cs="Times New Roman"/>
          <w:spacing w:val="-2"/>
          <w:szCs w:val="18"/>
          <w:lang w:val="en" w:eastAsia="pt-BR"/>
        </w:rPr>
        <w:t xml:space="preserve"> financial statements</w:t>
      </w:r>
      <w:r w:rsidRPr="004105CA">
        <w:rPr>
          <w:rFonts w:eastAsia="Times New Roman" w:cs="Times New Roman"/>
          <w:spacing w:val="-2"/>
          <w:szCs w:val="18"/>
          <w:lang w:val="en" w:eastAsia="pt-BR"/>
        </w:rPr>
        <w:t>.</w:t>
      </w:r>
    </w:p>
    <w:p w14:paraId="3779EF36" w14:textId="77777777" w:rsidR="006A362F" w:rsidRPr="004105CA" w:rsidRDefault="006A362F" w:rsidP="004105CA">
      <w:pPr>
        <w:spacing w:before="120" w:after="120"/>
        <w:jc w:val="both"/>
        <w:rPr>
          <w:rFonts w:eastAsia="Times New Roman" w:cs="Times New Roman"/>
          <w:spacing w:val="-2"/>
          <w:szCs w:val="18"/>
          <w:lang w:val="en" w:eastAsia="pt-BR"/>
        </w:rPr>
      </w:pPr>
      <w:r w:rsidRPr="003068E7">
        <w:rPr>
          <w:rFonts w:eastAsia="Times New Roman" w:cs="Times New Roman"/>
          <w:spacing w:val="-2"/>
          <w:szCs w:val="18"/>
          <w:lang w:val="en" w:eastAsia="pt-BR"/>
        </w:rPr>
        <w:t>The accounting practices used in the preparation of these interim financial statements are equivalent to those applied to the annual financial statements for the year ended 12.31.2022, except for the application of CPC 50 [IFRS 17] - Insurance Contracts, which came into force on 01.01.2023, as well as the end of the exemption from the adoption of CPC 48 [IFRS 9] – Financial Instruments for Insurance Companies, whose initial effectiveness accompanied CPC 50 [IFRS 17].</w:t>
      </w:r>
    </w:p>
    <w:p w14:paraId="5BDABC23" w14:textId="77777777" w:rsidR="006A362F" w:rsidRPr="00481176" w:rsidRDefault="006A362F" w:rsidP="004105CA">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a) Revenue and Expense Recognition</w:t>
      </w:r>
    </w:p>
    <w:p w14:paraId="71707C87" w14:textId="77777777" w:rsidR="006A362F" w:rsidRDefault="006A362F" w:rsidP="004105CA">
      <w:pPr>
        <w:spacing w:before="120" w:after="120"/>
        <w:jc w:val="both"/>
        <w:rPr>
          <w:rFonts w:eastAsia="Times New Roman" w:cs="Times New Roman"/>
          <w:spacing w:val="-2"/>
          <w:szCs w:val="18"/>
          <w:lang w:val="en" w:eastAsia="pt-BR"/>
        </w:rPr>
      </w:pPr>
      <w:r>
        <w:rPr>
          <w:rFonts w:eastAsia="Times New Roman" w:cs="Times New Roman"/>
          <w:spacing w:val="-2"/>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036643E1" w14:textId="77777777" w:rsidR="006A362F" w:rsidRDefault="006A362F" w:rsidP="004105CA">
      <w:pPr>
        <w:spacing w:before="120" w:after="120"/>
        <w:jc w:val="both"/>
        <w:rPr>
          <w:rFonts w:eastAsia="Times New Roman" w:cs="Arial"/>
          <w:spacing w:val="-2"/>
          <w:szCs w:val="18"/>
          <w:lang w:val="en-US" w:eastAsia="pt-BR"/>
        </w:rPr>
      </w:pPr>
      <w:r>
        <w:rPr>
          <w:rFonts w:eastAsia="Times New Roman" w:cs="Arial"/>
          <w:spacing w:val="-2"/>
          <w:szCs w:val="18"/>
          <w:lang w:val="en-US" w:eastAsia="pt-BR"/>
        </w:rPr>
        <w:t>This concept is applied to the main revenues arising from the activities of BB Seguridade and its investees, namely:</w:t>
      </w:r>
    </w:p>
    <w:p w14:paraId="0546B388" w14:textId="77777777" w:rsidR="006A362F" w:rsidRDefault="006A362F" w:rsidP="00481176">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a.1) </w:t>
      </w:r>
      <w:r w:rsidRPr="004105CA">
        <w:rPr>
          <w:rFonts w:eastAsia="Times New Roman" w:cs="Times New Roman"/>
          <w:b/>
          <w:color w:val="244061"/>
          <w:spacing w:val="-2"/>
          <w:szCs w:val="18"/>
          <w:lang w:val="en-US" w:eastAsia="pt-BR"/>
        </w:rPr>
        <w:t>Revenue from investments in shareholdings</w:t>
      </w:r>
      <w:r w:rsidRPr="00481176">
        <w:rPr>
          <w:rFonts w:eastAsia="Times New Roman" w:cs="Times New Roman"/>
          <w:b/>
          <w:color w:val="244061"/>
          <w:spacing w:val="-2"/>
          <w:szCs w:val="18"/>
          <w:lang w:val="en-US" w:eastAsia="pt-BR"/>
        </w:rPr>
        <w:t xml:space="preserv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 xml:space="preserve">Revenue from the application of the equity method for assessment of the investments in shareholdings are recognized in proportion to the BB Seguridade’s </w:t>
      </w:r>
      <w:r>
        <w:rPr>
          <w:rFonts w:eastAsia="Times New Roman" w:cs="Arial"/>
          <w:spacing w:val="-2"/>
          <w:szCs w:val="18"/>
          <w:lang w:val="en-US" w:eastAsia="pt-BR"/>
        </w:rPr>
        <w:t>equity</w:t>
      </w:r>
      <w:r w:rsidRPr="004105CA">
        <w:rPr>
          <w:rFonts w:eastAsia="Times New Roman" w:cs="Arial"/>
          <w:spacing w:val="-2"/>
          <w:szCs w:val="18"/>
          <w:lang w:val="en-US" w:eastAsia="pt-BR"/>
        </w:rPr>
        <w:t xml:space="preserve"> on the investees’ income, according to the CPC 18 (R2)</w:t>
      </w:r>
      <w:r>
        <w:rPr>
          <w:rFonts w:eastAsia="Times New Roman" w:cs="Arial"/>
          <w:spacing w:val="-2"/>
          <w:szCs w:val="18"/>
          <w:lang w:val="en-US" w:eastAsia="pt-BR"/>
        </w:rPr>
        <w:t xml:space="preserve"> [IAS 28]</w:t>
      </w:r>
      <w:r w:rsidRPr="004105CA">
        <w:rPr>
          <w:rFonts w:eastAsia="Times New Roman" w:cs="Arial"/>
          <w:spacing w:val="-2"/>
          <w:szCs w:val="18"/>
          <w:lang w:val="en-US" w:eastAsia="pt-BR"/>
        </w:rPr>
        <w:t xml:space="preserve"> – Investment in Controlled and Affiliated Companies and Joint Ventures.</w:t>
      </w:r>
    </w:p>
    <w:p w14:paraId="04622301" w14:textId="77777777" w:rsidR="006A362F" w:rsidRPr="004105CA" w:rsidRDefault="006A362F"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a.2) </w:t>
      </w:r>
      <w:r w:rsidRPr="004105CA">
        <w:rPr>
          <w:rFonts w:eastAsia="Times New Roman" w:cs="Times New Roman"/>
          <w:b/>
          <w:color w:val="244061"/>
          <w:spacing w:val="-2"/>
          <w:szCs w:val="18"/>
          <w:lang w:val="en-US" w:eastAsia="pt-BR"/>
        </w:rPr>
        <w:t xml:space="preserve">Revenue from commissions </w:t>
      </w:r>
      <w:r w:rsidRPr="00481176">
        <w:rPr>
          <w:rFonts w:eastAsia="Times New Roman" w:cs="Times New Roman"/>
          <w:b/>
          <w:color w:val="244061"/>
          <w:spacing w:val="-2"/>
          <w:szCs w:val="18"/>
          <w:lang w:val="en-US" w:eastAsia="pt-BR"/>
        </w:rPr>
        <w:t>–</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 xml:space="preserve">Revenue from commissions are recognized pro rata when its value, its related costs and the conclusion stage of the transaction can be measured </w:t>
      </w:r>
      <w:r>
        <w:rPr>
          <w:rFonts w:eastAsia="Times New Roman" w:cs="Arial"/>
          <w:spacing w:val="-2"/>
          <w:szCs w:val="18"/>
          <w:lang w:val="en-US" w:eastAsia="pt-BR"/>
        </w:rPr>
        <w:t>reliably</w:t>
      </w:r>
      <w:r w:rsidRPr="004105CA">
        <w:rPr>
          <w:rFonts w:eastAsia="Times New Roman" w:cs="Arial"/>
          <w:spacing w:val="-2"/>
          <w:szCs w:val="18"/>
          <w:lang w:val="en-US" w:eastAsia="pt-BR"/>
        </w:rPr>
        <w:t xml:space="preserve"> and when its related economic benefits are likely to be effective, according to the CPC 47</w:t>
      </w:r>
      <w:r>
        <w:rPr>
          <w:rFonts w:eastAsia="Times New Roman" w:cs="Arial"/>
          <w:spacing w:val="-2"/>
          <w:szCs w:val="18"/>
          <w:lang w:val="en-US" w:eastAsia="pt-BR"/>
        </w:rPr>
        <w:t xml:space="preserve"> [IFRS 15]</w:t>
      </w:r>
      <w:r w:rsidRPr="004105CA">
        <w:rPr>
          <w:rFonts w:eastAsia="Times New Roman" w:cs="Arial"/>
          <w:spacing w:val="-2"/>
          <w:szCs w:val="18"/>
          <w:lang w:val="en-US" w:eastAsia="pt-BR"/>
        </w:rPr>
        <w:t xml:space="preserve"> – Contract Revenue with Client.</w:t>
      </w:r>
    </w:p>
    <w:p w14:paraId="43E5927D"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lastRenderedPageBreak/>
        <w:t>In order to recognize its revenue, BB Seguridade uses a five-stage model concept to determine when to recognize the revenue: i) identification of the contract; ii) identification of the performance obligations; iii) determination of the price for the transaction; iv) allocation of the price for the transaction and v) recognition of revenue.</w:t>
      </w:r>
    </w:p>
    <w:p w14:paraId="593196EE"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obligation is diluted linearly over the lifetime of the product/insurance, or at a specific time (monthly products), where the performance obligation is due monthly, according to the characteristics of the products.</w:t>
      </w:r>
    </w:p>
    <w:p w14:paraId="5E781A47"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cases of return of the Premium to the insured parties, the broker reimburses, to the insurer, the commission received in proportion to the value refunded or not received by the insurer in relation to the remaining period of the policy.</w:t>
      </w:r>
    </w:p>
    <w:p w14:paraId="4094EC43"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insurance whose expiry date is not objectively established (monthly insurance), monthly payment of </w:t>
      </w:r>
      <w:r>
        <w:rPr>
          <w:rFonts w:eastAsia="Times New Roman" w:cs="Arial"/>
          <w:spacing w:val="-2"/>
          <w:szCs w:val="18"/>
          <w:lang w:val="en-US" w:eastAsia="pt-BR"/>
        </w:rPr>
        <w:t>premiums</w:t>
      </w:r>
      <w:r w:rsidRPr="004105CA">
        <w:rPr>
          <w:rFonts w:eastAsia="Times New Roman" w:cs="Arial"/>
          <w:spacing w:val="-2"/>
          <w:szCs w:val="18"/>
          <w:lang w:val="en-US" w:eastAsia="pt-BR"/>
        </w:rPr>
        <w:t xml:space="preserve"> is decisive for the continuity of the policies, and, in general, there are no refund of the commissions.</w:t>
      </w:r>
    </w:p>
    <w:p w14:paraId="2C389158" w14:textId="77777777" w:rsidR="006A362F" w:rsidRPr="00481176"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the monitoring and control of brokerage commissions, BB Seguridade uses the ERP (Enterprise Resource Planning) system, which has a specific module for brokerage, called “Motor de Cálculo”. The purpose of this module is to receive, in a standardized manner, all the necessary information from the investees and Banco do Brasil, allowing the automation of the quantitative and qualitative analyzes of the sales operations and accounts receivable operations of the security products, allowing greater control and reconciliation of brokerage values, in addition to allowing the automatic accounting. </w:t>
      </w:r>
      <w:r w:rsidRPr="008F2E50">
        <w:rPr>
          <w:rFonts w:eastAsia="Times New Roman" w:cs="Arial"/>
          <w:spacing w:val="-2"/>
          <w:szCs w:val="18"/>
          <w:lang w:val="en-US" w:eastAsia="pt-BR"/>
        </w:rPr>
        <w:t xml:space="preserve">Products from Brasilseg, Brasilcap, Brasilprev, Brasildental and </w:t>
      </w:r>
      <w:r>
        <w:rPr>
          <w:rFonts w:eastAsia="Times New Roman" w:cs="Arial"/>
          <w:spacing w:val="-2"/>
          <w:szCs w:val="18"/>
          <w:lang w:val="en-US" w:eastAsia="pt-BR"/>
        </w:rPr>
        <w:t>MAPFRE</w:t>
      </w:r>
      <w:r w:rsidRPr="008F2E50">
        <w:rPr>
          <w:rFonts w:eastAsia="Times New Roman" w:cs="Arial"/>
          <w:spacing w:val="-2"/>
          <w:szCs w:val="18"/>
          <w:lang w:val="en-US" w:eastAsia="pt-BR"/>
        </w:rPr>
        <w:t xml:space="preserve"> Seguros Gerais are already implemented in this tool.</w:t>
      </w:r>
    </w:p>
    <w:p w14:paraId="112CAFFE" w14:textId="77777777" w:rsidR="006A362F" w:rsidRPr="004105CA" w:rsidRDefault="006A362F"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a.3) </w:t>
      </w:r>
      <w:r w:rsidRPr="004105CA">
        <w:rPr>
          <w:rFonts w:eastAsia="Times New Roman" w:cs="Times New Roman"/>
          <w:b/>
          <w:color w:val="244061"/>
          <w:spacing w:val="-2"/>
          <w:szCs w:val="18"/>
          <w:lang w:val="en-US" w:eastAsia="pt-BR"/>
        </w:rPr>
        <w:t>Financial revenues and expenses</w:t>
      </w:r>
      <w:r>
        <w:rPr>
          <w:rFonts w:eastAsia="Times New Roman" w:cs="Times New Roman"/>
          <w:b/>
          <w:color w:val="244061"/>
          <w:spacing w:val="-2"/>
          <w:szCs w:val="18"/>
          <w:lang w:val="en-US" w:eastAsia="pt-BR"/>
        </w:rPr>
        <w:t xml:space="preserve"> </w:t>
      </w:r>
      <w:r w:rsidRPr="00481176">
        <w:rPr>
          <w:rFonts w:eastAsia="Times New Roman" w:cs="Times New Roman"/>
          <w:b/>
          <w:color w:val="244061"/>
          <w:spacing w:val="-2"/>
          <w:szCs w:val="18"/>
          <w:lang w:val="en-US" w:eastAsia="pt-BR"/>
        </w:rPr>
        <w:t>–</w:t>
      </w:r>
      <w:r w:rsidRPr="00481176">
        <w:rPr>
          <w:rFonts w:eastAsia="Times New Roman" w:cs="Arial"/>
          <w:b/>
          <w:spacing w:val="-2"/>
          <w:szCs w:val="18"/>
          <w:lang w:val="en-US" w:eastAsia="pt-BR"/>
        </w:rPr>
        <w:t xml:space="preserve"> </w:t>
      </w:r>
      <w:r w:rsidRPr="004105CA">
        <w:rPr>
          <w:rFonts w:eastAsia="Times New Roman" w:cs="Arial"/>
          <w:spacing w:val="-2"/>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7A6860A3" w14:textId="77777777" w:rsidR="006A362F"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the case of instruments measured at fair value through income (in accordance with item c.3 below), the fair value is determined as described in item c.4.</w:t>
      </w:r>
    </w:p>
    <w:p w14:paraId="1150445B" w14:textId="77777777" w:rsidR="006A362F" w:rsidRPr="00481176" w:rsidRDefault="006A362F" w:rsidP="004105CA">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b) Cash and cash equivalents</w:t>
      </w:r>
    </w:p>
    <w:p w14:paraId="4F5B0357" w14:textId="77777777" w:rsidR="006A362F" w:rsidRDefault="006A362F" w:rsidP="00481176">
      <w:pPr>
        <w:spacing w:before="120" w:after="120"/>
        <w:jc w:val="both"/>
        <w:rPr>
          <w:rFonts w:eastAsia="Times New Roman" w:cs="Arial"/>
          <w:spacing w:val="-2"/>
          <w:szCs w:val="18"/>
          <w:lang w:val="en-US" w:eastAsia="pt-BR"/>
        </w:rPr>
      </w:pPr>
      <w:r w:rsidRPr="00754BED">
        <w:rPr>
          <w:rFonts w:eastAsia="Times New Roman" w:cs="Arial"/>
          <w:spacing w:val="-2"/>
          <w:szCs w:val="18"/>
          <w:lang w:val="en-US" w:eastAsia="pt-BR"/>
        </w:rPr>
        <w:t>Cash and cash equivalents are represented by cash available in national currency and investments in committed operations, with high liquidity and insignificant risk of change in value, with maturity equal to or less than 90 days.</w:t>
      </w:r>
    </w:p>
    <w:p w14:paraId="719C07DB" w14:textId="77777777" w:rsidR="006A362F" w:rsidRPr="00481176" w:rsidRDefault="006A362F" w:rsidP="00481176">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c) Financial instruments</w:t>
      </w:r>
    </w:p>
    <w:p w14:paraId="09E641F1"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financial instruments are classified in relation to the business model and the contractual characteristics of the cash flows of the instruments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617C64E2"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instruments are initially measured at fair value plus the transaction cost, except when financial assets and liabilities are recorded at fair value through the income. </w:t>
      </w:r>
    </w:p>
    <w:p w14:paraId="7C3723FD"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assets and liabilities can be classified into one of the categories: i) financial instrument measured at fair value through the income, ii) financial instrument measured at amortized cost and; iii) financial instrument measured at fair value through other comprehensive income. </w:t>
      </w:r>
    </w:p>
    <w:p w14:paraId="6A6CA4B5" w14:textId="77777777" w:rsidR="006A362F" w:rsidRPr="004105CA" w:rsidRDefault="006A362F" w:rsidP="004105CA">
      <w:pPr>
        <w:spacing w:before="120" w:after="120"/>
        <w:jc w:val="both"/>
        <w:rPr>
          <w:rFonts w:eastAsia="Times New Roman" w:cs="Arial"/>
          <w:spacing w:val="-2"/>
          <w:szCs w:val="18"/>
          <w:lang w:val="en-US" w:eastAsia="pt-BR"/>
        </w:rPr>
      </w:pPr>
      <w:r w:rsidRPr="00754BED">
        <w:rPr>
          <w:rFonts w:eastAsia="Times New Roman" w:cs="Arial"/>
          <w:spacing w:val="-2"/>
          <w:szCs w:val="18"/>
          <w:lang w:val="en-US" w:eastAsia="pt-BR"/>
        </w:rPr>
        <w:t>The main financial instruments of BB Seguridade and its subsidiaries are securities held in custody at Banco do Brasil (</w:t>
      </w:r>
      <w:r>
        <w:rPr>
          <w:rFonts w:eastAsia="Times New Roman" w:cs="Arial"/>
          <w:spacing w:val="-2"/>
          <w:szCs w:val="18"/>
          <w:lang w:val="en-US" w:eastAsia="pt-BR"/>
        </w:rPr>
        <w:t>repurchase agreement</w:t>
      </w:r>
      <w:r w:rsidRPr="00754BED">
        <w:rPr>
          <w:rFonts w:eastAsia="Times New Roman" w:cs="Arial"/>
          <w:spacing w:val="-2"/>
          <w:szCs w:val="18"/>
          <w:lang w:val="en-US" w:eastAsia="pt-BR"/>
        </w:rPr>
        <w:t xml:space="preserve"> operations and LFTs - Financial Treasury Bills). During the </w:t>
      </w:r>
      <w:r>
        <w:rPr>
          <w:rFonts w:eastAsia="Times New Roman" w:cs="Arial"/>
          <w:spacing w:val="-2"/>
          <w:szCs w:val="18"/>
          <w:lang w:val="en-US" w:eastAsia="pt-BR"/>
        </w:rPr>
        <w:t>periods</w:t>
      </w:r>
      <w:r w:rsidRPr="00754BED">
        <w:rPr>
          <w:rFonts w:eastAsia="Times New Roman" w:cs="Arial"/>
          <w:spacing w:val="-2"/>
          <w:szCs w:val="18"/>
          <w:lang w:val="en-US" w:eastAsia="pt-BR"/>
        </w:rPr>
        <w:t>, there was no use of derivative instruments by BB Seguridade.</w:t>
      </w:r>
    </w:p>
    <w:p w14:paraId="64F7A113" w14:textId="77777777" w:rsidR="006A362F" w:rsidRPr="004105CA" w:rsidRDefault="006A362F"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c.1) Amortized Cost -</w:t>
      </w:r>
      <w:r w:rsidRPr="00481176">
        <w:rPr>
          <w:rFonts w:eastAsia="Times New Roman" w:cs="Arial"/>
          <w:spacing w:val="-2"/>
          <w:szCs w:val="18"/>
          <w:lang w:val="en-US" w:eastAsia="pt-BR"/>
        </w:rPr>
        <w:t xml:space="preserve"> </w:t>
      </w:r>
      <w:r w:rsidRPr="003F1C03">
        <w:rPr>
          <w:rFonts w:eastAsia="Times New Roman" w:cs="Arial"/>
          <w:spacing w:val="-2"/>
          <w:szCs w:val="18"/>
          <w:lang w:val="en-US" w:eastAsia="pt-BR"/>
        </w:rPr>
        <w:t xml:space="preserve">This category includes financial assets held </w:t>
      </w:r>
      <w:r w:rsidRPr="004105CA">
        <w:rPr>
          <w:rFonts w:eastAsia="Times New Roman" w:cs="Arial"/>
          <w:spacing w:val="-2"/>
          <w:szCs w:val="18"/>
          <w:lang w:val="en-US" w:eastAsia="pt-BR"/>
        </w:rPr>
        <w:t>(i) for the purpose of receiving its contractual cash flow rather than for sale with realization of profits or losses and (ii) whose contractual terms generates cash flows at specified dates exclusively for principal payments and interest payments on the outstanding principal value.</w:t>
      </w:r>
    </w:p>
    <w:p w14:paraId="0AEB3045" w14:textId="77777777" w:rsidR="006A362F"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Financial bills are recognized as financial assets measured at amortized cost. Changes in these assets are recognized in the income for the fiscal year in the financial revenues or expenses, depending on the result obtained.</w:t>
      </w:r>
    </w:p>
    <w:p w14:paraId="7BA77CC9" w14:textId="77777777" w:rsidR="006A362F" w:rsidRPr="00481176" w:rsidRDefault="006A362F" w:rsidP="004105CA">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For the </w:t>
      </w:r>
      <w:r w:rsidRPr="003068E7">
        <w:rPr>
          <w:rFonts w:eastAsia="Times New Roman" w:cs="Arial"/>
          <w:spacing w:val="-2"/>
          <w:szCs w:val="18"/>
          <w:lang w:val="en-US" w:eastAsia="pt-BR"/>
        </w:rPr>
        <w:t>period</w:t>
      </w:r>
      <w:r w:rsidRPr="003D0F89">
        <w:rPr>
          <w:rFonts w:eastAsia="Times New Roman" w:cs="Arial"/>
          <w:spacing w:val="-2"/>
          <w:szCs w:val="18"/>
          <w:lang w:val="en-US" w:eastAsia="pt-BR"/>
        </w:rPr>
        <w:t>, the Group did not have financial assets classified in this category.</w:t>
      </w:r>
    </w:p>
    <w:p w14:paraId="636B3449" w14:textId="77777777" w:rsidR="006A362F" w:rsidRPr="004105CA" w:rsidRDefault="006A362F"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c.2) Fair value through other comprehensive income - VJORA - </w:t>
      </w:r>
      <w:r w:rsidRPr="003F1C03">
        <w:rPr>
          <w:rFonts w:eastAsia="Times New Roman" w:cs="Arial"/>
          <w:spacing w:val="-2"/>
          <w:szCs w:val="18"/>
          <w:lang w:val="en-US" w:eastAsia="pt-BR"/>
        </w:rPr>
        <w:t>This category includes financial assets held</w:t>
      </w:r>
      <w:r w:rsidRPr="004105CA">
        <w:rPr>
          <w:rFonts w:eastAsia="Times New Roman" w:cs="Arial"/>
          <w:spacing w:val="-2"/>
          <w:szCs w:val="18"/>
          <w:lang w:val="en-US" w:eastAsia="pt-BR"/>
        </w:rPr>
        <w:t xml:space="preserve"> (i) both for the receipt of its contractual cash flow and for sale with realization of profits or losses and (ii) whose contractual terms generates cash flows at specified dates exclusively for principal payments and interest payments on the outstanding principal value. </w:t>
      </w:r>
    </w:p>
    <w:p w14:paraId="22C1CBBC" w14:textId="77777777" w:rsidR="006A362F" w:rsidRPr="00481176" w:rsidRDefault="006A362F" w:rsidP="004105CA">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For the </w:t>
      </w:r>
      <w:r w:rsidRPr="003068E7">
        <w:rPr>
          <w:rFonts w:eastAsia="Times New Roman" w:cs="Arial"/>
          <w:spacing w:val="-2"/>
          <w:szCs w:val="18"/>
          <w:lang w:val="en-US" w:eastAsia="pt-BR"/>
        </w:rPr>
        <w:t>period</w:t>
      </w:r>
      <w:r w:rsidRPr="003D0F89">
        <w:rPr>
          <w:rFonts w:eastAsia="Times New Roman" w:cs="Arial"/>
          <w:spacing w:val="-2"/>
          <w:szCs w:val="18"/>
          <w:lang w:val="en-US" w:eastAsia="pt-BR"/>
        </w:rPr>
        <w:t>, the Group did not have financial assets classified in this category.</w:t>
      </w:r>
    </w:p>
    <w:p w14:paraId="7FB19E65" w14:textId="77777777" w:rsidR="006A362F" w:rsidRDefault="006A362F"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c.3) Fair value through profit or loss (VJR)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Financial assets that are not measured at amortized cost or at fair value through other comprehensive income are classified in this category.</w:t>
      </w:r>
    </w:p>
    <w:p w14:paraId="5C16843F" w14:textId="77777777" w:rsidR="006A362F" w:rsidRDefault="006A362F" w:rsidP="004105CA">
      <w:pPr>
        <w:spacing w:before="120" w:after="120"/>
        <w:jc w:val="both"/>
        <w:rPr>
          <w:rFonts w:eastAsia="Times New Roman" w:cs="Arial"/>
          <w:spacing w:val="-2"/>
          <w:szCs w:val="18"/>
          <w:lang w:val="en-US" w:eastAsia="pt-BR"/>
        </w:rPr>
      </w:pPr>
      <w:r w:rsidRPr="002A3AA5">
        <w:rPr>
          <w:rFonts w:eastAsia="Times New Roman" w:cs="Arial"/>
          <w:spacing w:val="-2"/>
          <w:szCs w:val="18"/>
          <w:lang w:val="en-US" w:eastAsia="pt-BR"/>
        </w:rPr>
        <w:t>Repurchase agreements backed by federal public securities and LFTs - Financial Treasury Bills are recognized as financial assets measured at fair value through profit or loss.</w:t>
      </w:r>
    </w:p>
    <w:p w14:paraId="66DC52F4" w14:textId="77777777" w:rsidR="006A362F" w:rsidRPr="004105CA" w:rsidRDefault="006A362F"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lastRenderedPageBreak/>
        <w:t>c.4) Determination of fair value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Fair value is the price that would be received for the sale of an asset or would be paid by the transfer of a liability in a non-forced transaction between market participants at the measurement date.</w:t>
      </w:r>
    </w:p>
    <w:p w14:paraId="2D675453"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701ACD64" w14:textId="77777777" w:rsidR="006A362F" w:rsidRPr="004105CA"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situations where there is no market price for a particular financial instrument, its fair value is estimated on the basis of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4F465BFB" w14:textId="77777777" w:rsidR="006A362F" w:rsidRDefault="006A362F"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internal pricing models may involve some level of estimation and judgment by the Administration, whose intensity will depend, among other factors, on the complexity of the financial instrument.</w:t>
      </w:r>
    </w:p>
    <w:p w14:paraId="59438054" w14:textId="77777777" w:rsidR="006A362F" w:rsidRPr="003068E7" w:rsidRDefault="006A362F" w:rsidP="003068E7">
      <w:pPr>
        <w:spacing w:before="120" w:after="120"/>
        <w:jc w:val="both"/>
        <w:rPr>
          <w:rFonts w:eastAsia="Times New Roman" w:cs="Arial"/>
          <w:spacing w:val="-2"/>
          <w:szCs w:val="18"/>
          <w:lang w:val="en-US" w:eastAsia="pt-BR"/>
        </w:rPr>
      </w:pPr>
      <w:r w:rsidRPr="001D6A11">
        <w:rPr>
          <w:rFonts w:eastAsia="Times New Roman" w:cs="Times New Roman"/>
          <w:b/>
          <w:color w:val="244061"/>
          <w:spacing w:val="-2"/>
          <w:szCs w:val="18"/>
          <w:lang w:val="en-US" w:eastAsia="pt-BR"/>
        </w:rPr>
        <w:t>c.5) Financial Instruments for Insurers</w:t>
      </w:r>
      <w:r w:rsidRPr="003068E7">
        <w:rPr>
          <w:rFonts w:eastAsia="Times New Roman" w:cs="Arial"/>
          <w:spacing w:val="-2"/>
          <w:szCs w:val="18"/>
          <w:lang w:val="en-US" w:eastAsia="pt-BR"/>
        </w:rPr>
        <w:t xml:space="preserve"> - With regard to the adoption of CPC 48 [IFRS 9] by the entities supervised by SUSEP, the autarchy received the financial instrument rule, through SUSEP Circular No. 678, of October 10, 2022, in which no contrary to other guidelines and circulars, for periods starting from January 2024.</w:t>
      </w:r>
    </w:p>
    <w:p w14:paraId="0D9EEFAF" w14:textId="77777777" w:rsidR="006A362F" w:rsidRPr="003068E7" w:rsidRDefault="006A362F" w:rsidP="003068E7">
      <w:pPr>
        <w:spacing w:before="120" w:after="120"/>
        <w:jc w:val="both"/>
        <w:rPr>
          <w:rFonts w:eastAsia="Times New Roman" w:cs="Arial"/>
          <w:spacing w:val="-2"/>
          <w:szCs w:val="18"/>
          <w:lang w:val="en-US" w:eastAsia="pt-BR"/>
        </w:rPr>
      </w:pPr>
      <w:r w:rsidRPr="003068E7">
        <w:rPr>
          <w:rFonts w:eastAsia="Times New Roman" w:cs="Arial"/>
          <w:spacing w:val="-2"/>
          <w:szCs w:val="18"/>
          <w:lang w:val="en-US" w:eastAsia="pt-BR"/>
        </w:rPr>
        <w:t>Although CPC 48 [IFRS 9] is not yet in force for companies supervised by SUSEP, insurers must prepare accounting information in the new standard, in order to comply with the accounting standards applicable to BB Seguridade.</w:t>
      </w:r>
    </w:p>
    <w:p w14:paraId="255DC5E5" w14:textId="77777777" w:rsidR="006A362F" w:rsidRPr="00481176" w:rsidRDefault="006A362F" w:rsidP="003068E7">
      <w:pPr>
        <w:spacing w:before="120" w:after="120"/>
        <w:jc w:val="both"/>
        <w:rPr>
          <w:rFonts w:eastAsia="Times New Roman" w:cs="Arial"/>
          <w:spacing w:val="-2"/>
          <w:szCs w:val="18"/>
          <w:lang w:val="en-US" w:eastAsia="pt-BR"/>
        </w:rPr>
      </w:pPr>
      <w:r w:rsidRPr="003068E7">
        <w:rPr>
          <w:rFonts w:eastAsia="Times New Roman" w:cs="Arial"/>
          <w:spacing w:val="-2"/>
          <w:szCs w:val="18"/>
          <w:lang w:val="en-US" w:eastAsia="pt-BR"/>
        </w:rPr>
        <w:t>The impacts of adopting CPC 48 [IFRS 9] on investees are presented in Note 07 – Investments in Shareholdings.</w:t>
      </w:r>
    </w:p>
    <w:p w14:paraId="197DBA4F" w14:textId="77777777" w:rsidR="006A362F" w:rsidRPr="00481176" w:rsidRDefault="006A362F" w:rsidP="00481176">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w:t>
      </w:r>
      <w:r>
        <w:rPr>
          <w:rFonts w:eastAsia="Times New Roman" w:cs="Times New Roman"/>
          <w:b/>
          <w:color w:val="244061"/>
          <w:spacing w:val="-2"/>
          <w:szCs w:val="18"/>
          <w:lang w:val="en-US" w:eastAsia="pt-BR"/>
        </w:rPr>
        <w:t>6</w:t>
      </w:r>
      <w:r w:rsidRPr="00481176">
        <w:rPr>
          <w:rFonts w:eastAsia="Times New Roman" w:cs="Times New Roman"/>
          <w:b/>
          <w:color w:val="244061"/>
          <w:spacing w:val="-2"/>
          <w:szCs w:val="18"/>
          <w:lang w:val="en-US" w:eastAsia="pt-BR"/>
        </w:rPr>
        <w:t>) Financial liabilities -</w:t>
      </w:r>
      <w:r w:rsidRPr="00481176">
        <w:rPr>
          <w:rFonts w:eastAsia="Times New Roman" w:cs="Arial"/>
          <w:spacing w:val="-2"/>
          <w:szCs w:val="18"/>
          <w:lang w:val="en-US" w:eastAsia="pt-BR"/>
        </w:rPr>
        <w:t xml:space="preserve"> </w:t>
      </w:r>
      <w:r w:rsidRPr="000A77E1">
        <w:rPr>
          <w:rFonts w:eastAsia="Times New Roman" w:cs="Arial"/>
          <w:spacing w:val="-2"/>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eastAsia="Times New Roman" w:cs="Arial"/>
          <w:spacing w:val="-2"/>
          <w:szCs w:val="18"/>
          <w:lang w:val="en-US" w:eastAsia="pt-BR"/>
        </w:rPr>
        <w:t xml:space="preserve"> </w:t>
      </w:r>
    </w:p>
    <w:p w14:paraId="0761338E" w14:textId="77777777" w:rsidR="006A362F" w:rsidRPr="00481176" w:rsidRDefault="006A362F" w:rsidP="00481176">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d) Write-off of Financial Assets and Financial Liabilities</w:t>
      </w:r>
    </w:p>
    <w:p w14:paraId="370393AC" w14:textId="77777777" w:rsidR="006A362F" w:rsidRPr="000A77E1" w:rsidRDefault="006A362F" w:rsidP="000A77E1">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d.1) Financial assets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asset is written off when: (i)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1F44F318" w14:textId="77777777" w:rsidR="006A362F" w:rsidRPr="00481176"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rights and obligations retained in the transfer are separately recognized as assets and as liabilities, when appropriate. If the control over the asset is retained, the Group continues to recognize it in the extent of its continuing involvement, which is determined by the extent to which it remains exposed to changes in the value of the transferred asset.</w:t>
      </w:r>
    </w:p>
    <w:p w14:paraId="332EAFBE" w14:textId="77777777" w:rsidR="006A362F" w:rsidRPr="00481176" w:rsidRDefault="006A362F" w:rsidP="00481176">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d.2) Financial liabilities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2118E591" w14:textId="77777777" w:rsidR="006A362F" w:rsidRPr="00481176" w:rsidRDefault="006A362F" w:rsidP="00481176">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 xml:space="preserve">e) </w:t>
      </w:r>
      <w:r w:rsidRPr="000A77E1">
        <w:rPr>
          <w:rFonts w:eastAsia="Times New Roman" w:cs="Times New Roman"/>
          <w:b/>
          <w:color w:val="244061"/>
          <w:spacing w:val="-2"/>
          <w:szCs w:val="18"/>
          <w:lang w:val="en-US" w:eastAsia="pt-BR"/>
        </w:rPr>
        <w:t>Reduction in the Recoverable Value of Financial Assets – Impairment</w:t>
      </w:r>
    </w:p>
    <w:p w14:paraId="532BA179"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recoverable value of financial assets (impairment),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4BDE88D5"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3334201B"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impairment of commissions receivable, the simplified approach allowed by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for commercial receivables was used, in which the recognition of expected credit losses follows the model for the entire life of the instrument.</w:t>
      </w:r>
    </w:p>
    <w:p w14:paraId="71C085A5"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financial asset may be devalued, an assessment to check if there is any objective evidence of impairment of its financial assets is carried out at BB Seguridade, in accordance with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w:t>
      </w:r>
    </w:p>
    <w:p w14:paraId="01D402FB" w14:textId="77777777" w:rsidR="006A362F" w:rsidRDefault="006A362F" w:rsidP="00481176">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During the </w:t>
      </w:r>
      <w:r>
        <w:rPr>
          <w:rFonts w:eastAsia="Times New Roman" w:cs="Arial"/>
          <w:spacing w:val="-2"/>
          <w:szCs w:val="18"/>
          <w:lang w:val="en-US" w:eastAsia="pt-BR"/>
        </w:rPr>
        <w:t>period</w:t>
      </w:r>
      <w:r w:rsidRPr="003D0F89">
        <w:rPr>
          <w:rFonts w:eastAsia="Times New Roman" w:cs="Arial"/>
          <w:spacing w:val="-2"/>
          <w:szCs w:val="18"/>
          <w:lang w:val="en-US" w:eastAsia="pt-BR"/>
        </w:rPr>
        <w:t>, there were no losses due to devaluation of the financial assets of the BB Seguridade group.</w:t>
      </w:r>
    </w:p>
    <w:p w14:paraId="3D830A5C" w14:textId="77777777" w:rsidR="006A362F" w:rsidRPr="00481176" w:rsidRDefault="006A362F"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f</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Share Premium and Other Intangible Assets</w:t>
      </w:r>
    </w:p>
    <w:p w14:paraId="67314795"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68942001"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Seguridade. The cost of intangible assets acquired in a business combination is its fair value at the acquisition date. </w:t>
      </w:r>
      <w:r w:rsidRPr="007561BA">
        <w:rPr>
          <w:rFonts w:eastAsia="Times New Roman" w:cs="Arial"/>
          <w:spacing w:val="-2"/>
          <w:szCs w:val="18"/>
          <w:lang w:val="en-US" w:eastAsia="pt-BR"/>
        </w:rPr>
        <w:t>The other acquired intangible assets, not linked to the business combination, are initially measured at cost.</w:t>
      </w:r>
    </w:p>
    <w:p w14:paraId="159CB064"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lastRenderedPageBreak/>
        <w:t>The useful live of intangible assets is considered to be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3727A0A1"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064A1217"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costs incurred related to the acquisition, production and development of software are capitalized and registered as intangible assets. Expenditures from the research phase are registered as expenses.</w:t>
      </w:r>
    </w:p>
    <w:p w14:paraId="62A4A869" w14:textId="77777777" w:rsidR="006A362F"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expense with the amortization of intangible assets with definite useful life and impairment losses are recognized in the income for the </w:t>
      </w:r>
      <w:r>
        <w:rPr>
          <w:rFonts w:eastAsia="Times New Roman" w:cs="Arial"/>
          <w:spacing w:val="-2"/>
          <w:szCs w:val="18"/>
          <w:lang w:val="en-US" w:eastAsia="pt-BR"/>
        </w:rPr>
        <w:t>period</w:t>
      </w:r>
      <w:r w:rsidRPr="000A77E1">
        <w:rPr>
          <w:rFonts w:eastAsia="Times New Roman" w:cs="Arial"/>
          <w:spacing w:val="-2"/>
          <w:szCs w:val="18"/>
          <w:lang w:val="en-US" w:eastAsia="pt-BR"/>
        </w:rPr>
        <w:t xml:space="preserve"> in the line “Other” of the Income Statement.</w:t>
      </w:r>
    </w:p>
    <w:p w14:paraId="61DDBCDA" w14:textId="77777777" w:rsidR="006A362F" w:rsidRPr="00481176" w:rsidRDefault="006A362F"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g</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Reduction in the Recoverable Value of Non-Financial Assets – Impairment</w:t>
      </w:r>
    </w:p>
    <w:p w14:paraId="12A2E8F1"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0ECF0EB1"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38734510"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 the event that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392D4976"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1967F4C2" w14:textId="77777777" w:rsidR="006A362F" w:rsidRDefault="006A362F" w:rsidP="000A77E1">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 xml:space="preserve">During the </w:t>
      </w:r>
      <w:r>
        <w:rPr>
          <w:rFonts w:eastAsia="Times New Roman" w:cs="Arial"/>
          <w:spacing w:val="-2"/>
          <w:szCs w:val="18"/>
          <w:lang w:val="en-US" w:eastAsia="pt-BR"/>
        </w:rPr>
        <w:t>period</w:t>
      </w:r>
      <w:r w:rsidRPr="003D0F89">
        <w:rPr>
          <w:rFonts w:eastAsia="Times New Roman" w:cs="Arial"/>
          <w:spacing w:val="-2"/>
          <w:szCs w:val="18"/>
          <w:lang w:val="en-US" w:eastAsia="pt-BR"/>
        </w:rPr>
        <w:t>, there were no losses due to the devaluation of non-financial assets of the BB Seguridade group.</w:t>
      </w:r>
    </w:p>
    <w:p w14:paraId="4425757E" w14:textId="77777777" w:rsidR="006A362F" w:rsidRPr="00481176" w:rsidRDefault="006A362F"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h</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Investments in Shareholdings</w:t>
      </w:r>
    </w:p>
    <w:p w14:paraId="6C193365" w14:textId="77777777" w:rsidR="006A362F"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eastAsia="Times New Roman" w:cs="Arial"/>
          <w:spacing w:val="-2"/>
          <w:szCs w:val="18"/>
          <w:lang w:val="en-US" w:eastAsia="pt-BR"/>
        </w:rPr>
        <w:t xml:space="preserve"> [IAS 28]</w:t>
      </w:r>
      <w:r w:rsidRPr="000A77E1">
        <w:rPr>
          <w:rFonts w:eastAsia="Times New Roman" w:cs="Arial"/>
          <w:spacing w:val="-2"/>
          <w:szCs w:val="18"/>
          <w:lang w:val="en-US" w:eastAsia="pt-BR"/>
        </w:rPr>
        <w:t xml:space="preserve"> – Investment in Controlled and Affiliated Companies and Joint Ventures.</w:t>
      </w:r>
    </w:p>
    <w:p w14:paraId="1DD5949E" w14:textId="77777777" w:rsidR="006A362F" w:rsidRPr="007561BA" w:rsidRDefault="006A362F" w:rsidP="007561BA">
      <w:pPr>
        <w:spacing w:before="120" w:after="120"/>
        <w:jc w:val="both"/>
        <w:rPr>
          <w:rFonts w:eastAsia="Times New Roman" w:cs="Arial"/>
          <w:spacing w:val="-2"/>
          <w:szCs w:val="18"/>
          <w:lang w:val="en-US" w:eastAsia="pt-BR"/>
        </w:rPr>
      </w:pPr>
      <w:r w:rsidRPr="007561BA">
        <w:rPr>
          <w:rFonts w:eastAsia="Times New Roman" w:cs="Arial"/>
          <w:spacing w:val="-2"/>
          <w:szCs w:val="18"/>
          <w:lang w:val="en-US" w:eastAsia="pt-BR"/>
        </w:rPr>
        <w:t xml:space="preserve">Investments in equity interests in the companies BB Seguros Participações S.A. and BB Corretora de Seguros </w:t>
      </w:r>
      <w:r>
        <w:rPr>
          <w:rFonts w:eastAsia="Times New Roman" w:cs="Arial"/>
          <w:spacing w:val="-2"/>
          <w:szCs w:val="18"/>
          <w:lang w:val="en-US" w:eastAsia="pt-BR"/>
        </w:rPr>
        <w:t>e</w:t>
      </w:r>
      <w:r w:rsidRPr="007561BA">
        <w:rPr>
          <w:rFonts w:eastAsia="Times New Roman" w:cs="Arial"/>
          <w:spacing w:val="-2"/>
          <w:szCs w:val="18"/>
          <w:lang w:val="en-US" w:eastAsia="pt-BR"/>
        </w:rPr>
        <w:t xml:space="preserve"> Administradora de Bens S.A. are classified as investments in subsidiaries and valued using the equity method and are consolidated.</w:t>
      </w:r>
    </w:p>
    <w:p w14:paraId="25B32CAB" w14:textId="77777777" w:rsidR="006A362F" w:rsidRDefault="006A362F" w:rsidP="000A77E1">
      <w:pPr>
        <w:spacing w:before="120" w:after="120"/>
        <w:jc w:val="both"/>
        <w:rPr>
          <w:rFonts w:eastAsia="Times New Roman" w:cs="Arial"/>
          <w:spacing w:val="-2"/>
          <w:szCs w:val="18"/>
          <w:lang w:val="en-US" w:eastAsia="pt-BR"/>
        </w:rPr>
      </w:pPr>
      <w:r w:rsidRPr="00240529">
        <w:rPr>
          <w:rFonts w:eastAsia="Times New Roman" w:cs="Arial"/>
          <w:spacing w:val="-2"/>
          <w:szCs w:val="18"/>
          <w:lang w:val="en-US" w:eastAsia="pt-BR"/>
        </w:rPr>
        <w:t xml:space="preserve">Investments in equity interests in the companies BB </w:t>
      </w:r>
      <w:r>
        <w:rPr>
          <w:rFonts w:eastAsia="Times New Roman" w:cs="Arial"/>
          <w:spacing w:val="-2"/>
          <w:szCs w:val="18"/>
          <w:lang w:val="en-US" w:eastAsia="pt-BR"/>
        </w:rPr>
        <w:t>MAPFRE</w:t>
      </w:r>
      <w:r w:rsidRPr="00240529">
        <w:rPr>
          <w:rFonts w:eastAsia="Times New Roman" w:cs="Arial"/>
          <w:spacing w:val="-2"/>
          <w:szCs w:val="18"/>
          <w:lang w:val="en-US" w:eastAsia="pt-BR"/>
        </w:rPr>
        <w:t xml:space="preserve"> Participações S.A., Brasilprev Seguros e Previdência S.A., Brasilcap Capitalização S.A., Brasildental Operadora de Planos Odontológicos S.A. and Ciclic Corretora de Seguros S.A. are valued using the equity method, whether classified as investments in associates or joint ventures.</w:t>
      </w:r>
    </w:p>
    <w:p w14:paraId="65C56998" w14:textId="77777777" w:rsidR="006A362F" w:rsidRDefault="006A362F" w:rsidP="000A77E1">
      <w:pPr>
        <w:spacing w:before="120" w:after="120"/>
        <w:jc w:val="both"/>
        <w:rPr>
          <w:rFonts w:eastAsia="Times New Roman" w:cs="Arial"/>
          <w:spacing w:val="-2"/>
          <w:szCs w:val="18"/>
          <w:lang w:val="en-US" w:eastAsia="pt-BR"/>
        </w:rPr>
      </w:pPr>
      <w:r w:rsidRPr="003068E7">
        <w:rPr>
          <w:rFonts w:eastAsia="Times New Roman" w:cs="Arial"/>
          <w:spacing w:val="-2"/>
          <w:szCs w:val="18"/>
          <w:lang w:val="en-US" w:eastAsia="pt-BR"/>
        </w:rPr>
        <w:t>In accordance with CPC 18 [IAS 28], the equity value of investees, for purposes of applying the equity method, will be recognized based on the balance sheet or verification balance prepared, on the same date, or within two months of lag. Due to operational issues, as of January 2023, the accounting recognition of the investment in Brasildental, through the equity method, is being carried out with a delay of one month. For the other companies, the dates coincide with the accounting closing date of the BB Seguridade Group.</w:t>
      </w:r>
    </w:p>
    <w:p w14:paraId="6170E560" w14:textId="77777777" w:rsidR="006A362F"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 situations where the investees use different accounting practices in events and transactions of the same nature in similar circumstances, the necessary adjustments are carried out to make the financial statements of the investees suitable to the accounting practices adopted by the investor.</w:t>
      </w:r>
    </w:p>
    <w:p w14:paraId="431C8910" w14:textId="77777777" w:rsidR="006A362F" w:rsidRPr="00481176" w:rsidRDefault="006A362F"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i</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Provisions, Contingent Liabilities and Legal Obligations</w:t>
      </w:r>
    </w:p>
    <w:p w14:paraId="38C307F3"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recognition, measurement and disclosure of contingent liabilities and legal obligations are carried out in accordance with the criteria defined in the CPC 25 </w:t>
      </w:r>
      <w:r>
        <w:rPr>
          <w:rFonts w:eastAsia="Times New Roman" w:cs="Arial"/>
          <w:spacing w:val="-2"/>
          <w:szCs w:val="18"/>
          <w:lang w:val="en-US" w:eastAsia="pt-BR"/>
        </w:rPr>
        <w:t xml:space="preserve">[IAS 37] </w:t>
      </w:r>
      <w:r w:rsidRPr="000A77E1">
        <w:rPr>
          <w:rFonts w:eastAsia="Times New Roman" w:cs="Arial"/>
          <w:spacing w:val="-2"/>
          <w:szCs w:val="18"/>
          <w:lang w:val="en-US" w:eastAsia="pt-BR"/>
        </w:rPr>
        <w:t>– Provisions, Contingent Liabilities and Contingent Assets.</w:t>
      </w:r>
    </w:p>
    <w:p w14:paraId="2D14C6A7"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Provisions related to legal and administrative proceedings are recognized in the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1115B230" w14:textId="77777777" w:rsidR="006A362F" w:rsidRPr="000A77E1"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lastRenderedPageBreak/>
        <w:t>Contingent liabilities classified as possible losses are not recognized in the accounts, and should only be disclosed in the explanatory notes, and those classified as remote do not require provision and disclosure.</w:t>
      </w:r>
    </w:p>
    <w:p w14:paraId="086193CA" w14:textId="77777777" w:rsidR="006A362F" w:rsidRDefault="006A362F"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226F5047" w14:textId="77777777" w:rsidR="006A362F" w:rsidRPr="00481176" w:rsidRDefault="006A362F"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j</w:t>
      </w:r>
      <w:r w:rsidRPr="00481176">
        <w:rPr>
          <w:rFonts w:eastAsia="Times New Roman" w:cs="Times New Roman"/>
          <w:b/>
          <w:color w:val="244061"/>
          <w:spacing w:val="-2"/>
          <w:szCs w:val="18"/>
          <w:lang w:val="en-US" w:eastAsia="pt-BR"/>
        </w:rPr>
        <w:t>) Taxes</w:t>
      </w:r>
    </w:p>
    <w:p w14:paraId="2367677F" w14:textId="77777777" w:rsidR="006A362F" w:rsidRDefault="006A362F" w:rsidP="00481176">
      <w:pPr>
        <w:spacing w:before="120" w:after="120"/>
        <w:jc w:val="both"/>
        <w:rPr>
          <w:rFonts w:eastAsia="Times New Roman" w:cs="Arial"/>
          <w:szCs w:val="20"/>
          <w:lang w:val="en-US" w:eastAsia="pt-BR"/>
        </w:rPr>
      </w:pPr>
      <w:r>
        <w:rPr>
          <w:rFonts w:eastAsia="Times New Roman" w:cs="Arial"/>
          <w:szCs w:val="20"/>
          <w:lang w:val="en-US" w:eastAsia="pt-BR"/>
        </w:rPr>
        <w:t>Taxes are calculated based on the rates shown in the table below:</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6574"/>
        <w:gridCol w:w="1532"/>
        <w:gridCol w:w="1533"/>
      </w:tblGrid>
      <w:tr w:rsidR="006A362F" w:rsidRPr="00BD0B87" w14:paraId="394EE723" w14:textId="77777777" w:rsidTr="003F1C03">
        <w:trPr>
          <w:trHeight w:val="238"/>
          <w:jc w:val="center"/>
        </w:trPr>
        <w:tc>
          <w:tcPr>
            <w:tcW w:w="6379" w:type="dxa"/>
            <w:tcBorders>
              <w:top w:val="single" w:sz="2" w:space="0" w:color="1F4E79" w:themeColor="accent1" w:themeShade="80"/>
              <w:bottom w:val="single" w:sz="2" w:space="0" w:color="1F4E79" w:themeColor="accent1" w:themeShade="80"/>
            </w:tcBorders>
            <w:shd w:val="clear" w:color="auto" w:fill="auto"/>
            <w:vAlign w:val="center"/>
          </w:tcPr>
          <w:p w14:paraId="50FA3359" w14:textId="77777777" w:rsidR="006A362F" w:rsidRPr="00BD0B87" w:rsidRDefault="006A362F" w:rsidP="003F1C03">
            <w:pPr>
              <w:spacing w:after="0"/>
              <w:rPr>
                <w:rFonts w:cs="Arial"/>
                <w:b/>
                <w:szCs w:val="18"/>
              </w:rPr>
            </w:pPr>
            <w:r w:rsidRPr="00BD0B87">
              <w:rPr>
                <w:rFonts w:eastAsia="Times New Roman" w:cs="Arial"/>
                <w:b/>
                <w:spacing w:val="-2"/>
                <w:sz w:val="14"/>
                <w:szCs w:val="18"/>
                <w:lang w:eastAsia="pt-BR"/>
              </w:rPr>
              <w:t>Taxes</w:t>
            </w:r>
          </w:p>
        </w:tc>
        <w:tc>
          <w:tcPr>
            <w:tcW w:w="1487" w:type="dxa"/>
            <w:tcBorders>
              <w:top w:val="single" w:sz="2" w:space="0" w:color="1F4E79" w:themeColor="accent1" w:themeShade="80"/>
              <w:bottom w:val="single" w:sz="2" w:space="0" w:color="1F4E79" w:themeColor="accent1" w:themeShade="80"/>
            </w:tcBorders>
            <w:vAlign w:val="center"/>
          </w:tcPr>
          <w:p w14:paraId="2990D0B9" w14:textId="77777777" w:rsidR="006A362F" w:rsidRDefault="006A362F" w:rsidP="003F1C03">
            <w:pPr>
              <w:spacing w:after="0"/>
              <w:jc w:val="right"/>
              <w:rPr>
                <w:rFonts w:eastAsia="Times New Roman" w:cs="Arial"/>
                <w:b/>
                <w:spacing w:val="-2"/>
                <w:sz w:val="14"/>
                <w:szCs w:val="18"/>
                <w:lang w:eastAsia="pt-BR"/>
              </w:rPr>
            </w:pPr>
            <w:r>
              <w:rPr>
                <w:rFonts w:eastAsia="Times New Roman" w:cs="Arial"/>
                <w:b/>
                <w:spacing w:val="-2"/>
                <w:sz w:val="14"/>
                <w:szCs w:val="18"/>
                <w:lang w:eastAsia="pt-BR"/>
              </w:rPr>
              <w:t xml:space="preserve">Mar </w:t>
            </w:r>
            <w:r w:rsidRPr="00BD0B87">
              <w:rPr>
                <w:rFonts w:eastAsia="Times New Roman" w:cs="Arial"/>
                <w:b/>
                <w:spacing w:val="-2"/>
                <w:sz w:val="14"/>
                <w:szCs w:val="18"/>
                <w:lang w:eastAsia="pt-BR"/>
              </w:rPr>
              <w:t>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3</w:t>
            </w:r>
          </w:p>
        </w:tc>
        <w:tc>
          <w:tcPr>
            <w:tcW w:w="1488" w:type="dxa"/>
            <w:tcBorders>
              <w:top w:val="single" w:sz="2" w:space="0" w:color="1F4E79" w:themeColor="accent1" w:themeShade="80"/>
              <w:bottom w:val="single" w:sz="2" w:space="0" w:color="1F4E79" w:themeColor="accent1" w:themeShade="80"/>
            </w:tcBorders>
            <w:vAlign w:val="center"/>
          </w:tcPr>
          <w:p w14:paraId="33A4188F" w14:textId="77777777" w:rsidR="006A362F" w:rsidRDefault="006A362F" w:rsidP="003F1C03">
            <w:pPr>
              <w:spacing w:after="0"/>
              <w:jc w:val="right"/>
              <w:rPr>
                <w:rFonts w:eastAsia="Times New Roman" w:cs="Arial"/>
                <w:b/>
                <w:spacing w:val="-2"/>
                <w:sz w:val="14"/>
                <w:szCs w:val="18"/>
                <w:lang w:eastAsia="pt-BR"/>
              </w:rPr>
            </w:pPr>
            <w:r>
              <w:rPr>
                <w:rFonts w:eastAsia="Times New Roman" w:cs="Arial"/>
                <w:b/>
                <w:spacing w:val="-2"/>
                <w:sz w:val="14"/>
                <w:szCs w:val="18"/>
                <w:lang w:eastAsia="pt-BR"/>
              </w:rPr>
              <w:t>Dec</w:t>
            </w:r>
            <w:r w:rsidRPr="00BD0B87">
              <w:rPr>
                <w:rFonts w:eastAsia="Times New Roman" w:cs="Arial"/>
                <w:b/>
                <w:spacing w:val="-2"/>
                <w:sz w:val="14"/>
                <w:szCs w:val="18"/>
                <w:lang w:eastAsia="pt-BR"/>
              </w:rPr>
              <w:t xml:space="preserve"> 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2</w:t>
            </w:r>
          </w:p>
        </w:tc>
      </w:tr>
      <w:tr w:rsidR="006A362F" w:rsidRPr="00653274" w14:paraId="7C48A035" w14:textId="77777777" w:rsidTr="003F1C03">
        <w:trPr>
          <w:trHeight w:val="238"/>
          <w:jc w:val="center"/>
        </w:trPr>
        <w:tc>
          <w:tcPr>
            <w:tcW w:w="6379" w:type="dxa"/>
            <w:tcBorders>
              <w:top w:val="single" w:sz="2" w:space="0" w:color="1F4E79" w:themeColor="accent1" w:themeShade="80"/>
              <w:bottom w:val="nil"/>
            </w:tcBorders>
            <w:shd w:val="clear" w:color="auto" w:fill="auto"/>
            <w:vAlign w:val="center"/>
          </w:tcPr>
          <w:p w14:paraId="2306049B" w14:textId="77777777" w:rsidR="006A362F" w:rsidRPr="00653274" w:rsidRDefault="006A362F" w:rsidP="003F1C03">
            <w:pPr>
              <w:keepNext/>
              <w:keepLines/>
              <w:spacing w:before="40" w:after="40" w:line="240" w:lineRule="auto"/>
              <w:rPr>
                <w:rFonts w:eastAsia="Times New Roman" w:cs="Arial"/>
                <w:b/>
                <w:bCs/>
                <w:spacing w:val="-2"/>
                <w:sz w:val="14"/>
                <w:szCs w:val="14"/>
                <w:lang w:eastAsia="pt-BR"/>
              </w:rPr>
            </w:pPr>
            <w:r>
              <w:rPr>
                <w:rFonts w:eastAsia="Times New Roman" w:cs="Arial"/>
                <w:spacing w:val="-2"/>
                <w:sz w:val="14"/>
                <w:szCs w:val="18"/>
                <w:lang w:eastAsia="pt-BR"/>
              </w:rPr>
              <w:t>Individual Income Tax (IRPJ)</w:t>
            </w:r>
            <w:r>
              <w:rPr>
                <w:rFonts w:eastAsia="Times New Roman" w:cs="Arial"/>
                <w:spacing w:val="-2"/>
                <w:sz w:val="14"/>
                <w:szCs w:val="18"/>
                <w:vertAlign w:val="superscript"/>
                <w:lang w:eastAsia="pt-BR"/>
              </w:rPr>
              <w:t xml:space="preserve"> (</w:t>
            </w:r>
            <w:r>
              <w:rPr>
                <w:rFonts w:eastAsia="Times New Roman" w:cs="Arial"/>
                <w:spacing w:val="-2"/>
                <w:sz w:val="14"/>
                <w:szCs w:val="18"/>
                <w:lang w:eastAsia="pt-BR"/>
              </w:rPr>
              <w:t>¹</w:t>
            </w:r>
            <w:r>
              <w:rPr>
                <w:rFonts w:eastAsia="Times New Roman" w:cs="Arial"/>
                <w:spacing w:val="-2"/>
                <w:sz w:val="14"/>
                <w:szCs w:val="18"/>
                <w:vertAlign w:val="superscript"/>
                <w:lang w:eastAsia="pt-BR"/>
              </w:rPr>
              <w:t>)</w:t>
            </w:r>
          </w:p>
        </w:tc>
        <w:tc>
          <w:tcPr>
            <w:tcW w:w="1487" w:type="dxa"/>
            <w:tcBorders>
              <w:top w:val="single" w:sz="2" w:space="0" w:color="1F4E79" w:themeColor="accent1" w:themeShade="80"/>
              <w:bottom w:val="nil"/>
            </w:tcBorders>
          </w:tcPr>
          <w:p w14:paraId="38EB6E73"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c>
          <w:tcPr>
            <w:tcW w:w="1488" w:type="dxa"/>
            <w:tcBorders>
              <w:top w:val="single" w:sz="2" w:space="0" w:color="1F4E79" w:themeColor="accent1" w:themeShade="80"/>
              <w:bottom w:val="nil"/>
            </w:tcBorders>
          </w:tcPr>
          <w:p w14:paraId="3AF8F7D6"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r>
      <w:tr w:rsidR="006A362F" w:rsidRPr="00653274" w14:paraId="22A928DF" w14:textId="77777777" w:rsidTr="003F1C03">
        <w:trPr>
          <w:trHeight w:val="238"/>
          <w:jc w:val="center"/>
        </w:trPr>
        <w:tc>
          <w:tcPr>
            <w:tcW w:w="6379" w:type="dxa"/>
            <w:tcBorders>
              <w:top w:val="nil"/>
            </w:tcBorders>
            <w:shd w:val="clear" w:color="auto" w:fill="auto"/>
            <w:vAlign w:val="center"/>
          </w:tcPr>
          <w:p w14:paraId="09371ECC" w14:textId="77777777" w:rsidR="006A362F" w:rsidRPr="00653274" w:rsidRDefault="006A362F"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Social Contribution on Net Income (CSLL)</w:t>
            </w:r>
          </w:p>
        </w:tc>
        <w:tc>
          <w:tcPr>
            <w:tcW w:w="1487" w:type="dxa"/>
            <w:tcBorders>
              <w:top w:val="nil"/>
            </w:tcBorders>
          </w:tcPr>
          <w:p w14:paraId="22A5303C"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c>
          <w:tcPr>
            <w:tcW w:w="1488" w:type="dxa"/>
            <w:tcBorders>
              <w:top w:val="nil"/>
            </w:tcBorders>
          </w:tcPr>
          <w:p w14:paraId="36382326"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r>
      <w:tr w:rsidR="006A362F" w:rsidRPr="00653274" w14:paraId="3D52B379" w14:textId="77777777" w:rsidTr="003F1C03">
        <w:trPr>
          <w:trHeight w:val="238"/>
          <w:jc w:val="center"/>
        </w:trPr>
        <w:tc>
          <w:tcPr>
            <w:tcW w:w="6379" w:type="dxa"/>
            <w:shd w:val="clear" w:color="auto" w:fill="auto"/>
            <w:vAlign w:val="center"/>
          </w:tcPr>
          <w:p w14:paraId="4E91B21A" w14:textId="77777777" w:rsidR="006A362F" w:rsidRPr="00653274" w:rsidRDefault="006A362F"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PIS (Social Integration Program) / Pasep (Investment Program for Civil Servants)</w:t>
            </w:r>
          </w:p>
        </w:tc>
        <w:tc>
          <w:tcPr>
            <w:tcW w:w="1487" w:type="dxa"/>
          </w:tcPr>
          <w:p w14:paraId="466A6709"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c>
          <w:tcPr>
            <w:tcW w:w="1488" w:type="dxa"/>
          </w:tcPr>
          <w:p w14:paraId="7AFFAB11"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r>
      <w:tr w:rsidR="006A362F" w:rsidRPr="00653274" w14:paraId="778D6BF1" w14:textId="77777777" w:rsidTr="003F1C03">
        <w:trPr>
          <w:trHeight w:val="238"/>
          <w:jc w:val="center"/>
        </w:trPr>
        <w:tc>
          <w:tcPr>
            <w:tcW w:w="6379" w:type="dxa"/>
            <w:shd w:val="clear" w:color="auto" w:fill="auto"/>
            <w:vAlign w:val="center"/>
          </w:tcPr>
          <w:p w14:paraId="28BBEC05" w14:textId="77777777" w:rsidR="006A362F" w:rsidRPr="00653274" w:rsidRDefault="006A362F"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 (COFINS)</w:t>
            </w:r>
          </w:p>
        </w:tc>
        <w:tc>
          <w:tcPr>
            <w:tcW w:w="1487" w:type="dxa"/>
          </w:tcPr>
          <w:p w14:paraId="4C5A4519"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c>
          <w:tcPr>
            <w:tcW w:w="1488" w:type="dxa"/>
          </w:tcPr>
          <w:p w14:paraId="3E199C49"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r>
      <w:tr w:rsidR="006A362F" w:rsidRPr="00653274" w14:paraId="13E26D69" w14:textId="77777777" w:rsidTr="003F1C03">
        <w:trPr>
          <w:trHeight w:val="238"/>
          <w:jc w:val="center"/>
        </w:trPr>
        <w:tc>
          <w:tcPr>
            <w:tcW w:w="6379" w:type="dxa"/>
            <w:shd w:val="clear" w:color="auto" w:fill="auto"/>
            <w:vAlign w:val="center"/>
          </w:tcPr>
          <w:p w14:paraId="0772EB13" w14:textId="77777777" w:rsidR="006A362F" w:rsidRPr="0004479F" w:rsidRDefault="006A362F" w:rsidP="003F1C03">
            <w:pPr>
              <w:keepNext/>
              <w:keepLines/>
              <w:spacing w:before="40" w:after="40" w:line="240" w:lineRule="auto"/>
              <w:rPr>
                <w:rFonts w:eastAsia="Times New Roman" w:cs="Arial"/>
                <w:b/>
                <w:bCs/>
                <w:spacing w:val="-2"/>
                <w:sz w:val="14"/>
                <w:szCs w:val="14"/>
                <w:lang w:val="en-US" w:eastAsia="pt-BR"/>
              </w:rPr>
            </w:pPr>
            <w:r w:rsidRPr="0004479F">
              <w:rPr>
                <w:rFonts w:eastAsia="Times New Roman" w:cs="Arial"/>
                <w:spacing w:val="-2"/>
                <w:sz w:val="14"/>
                <w:szCs w:val="18"/>
                <w:lang w:val="en-US" w:eastAsia="pt-BR"/>
              </w:rPr>
              <w:t>Contribution to PIS / Pasep on income from financial investments</w:t>
            </w:r>
          </w:p>
        </w:tc>
        <w:tc>
          <w:tcPr>
            <w:tcW w:w="1487" w:type="dxa"/>
          </w:tcPr>
          <w:p w14:paraId="5EB0E861"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c>
          <w:tcPr>
            <w:tcW w:w="1488" w:type="dxa"/>
          </w:tcPr>
          <w:p w14:paraId="43CFBF15"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r>
      <w:tr w:rsidR="006A362F" w:rsidRPr="00653274" w14:paraId="0482AE6A" w14:textId="77777777" w:rsidTr="003F1C03">
        <w:trPr>
          <w:trHeight w:val="238"/>
          <w:jc w:val="center"/>
        </w:trPr>
        <w:tc>
          <w:tcPr>
            <w:tcW w:w="6379" w:type="dxa"/>
            <w:shd w:val="clear" w:color="auto" w:fill="auto"/>
            <w:vAlign w:val="center"/>
          </w:tcPr>
          <w:p w14:paraId="708C1462" w14:textId="77777777" w:rsidR="006A362F" w:rsidRPr="00653274" w:rsidRDefault="006A362F"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w:t>
            </w:r>
            <w:r>
              <w:rPr>
                <w:rFonts w:eastAsia="Times New Roman" w:cs="Arial"/>
                <w:spacing w:val="-2"/>
                <w:sz w:val="14"/>
                <w:szCs w:val="18"/>
                <w:vertAlign w:val="superscript"/>
                <w:lang w:val="en-US" w:eastAsia="pt-BR"/>
              </w:rPr>
              <w:t xml:space="preserve"> </w:t>
            </w:r>
            <w:r>
              <w:rPr>
                <w:rFonts w:eastAsia="Times New Roman" w:cs="Arial"/>
                <w:spacing w:val="-2"/>
                <w:sz w:val="14"/>
                <w:szCs w:val="18"/>
                <w:lang w:val="en-US" w:eastAsia="pt-BR"/>
              </w:rPr>
              <w:t xml:space="preserve">(COFINS) </w:t>
            </w:r>
            <w:r w:rsidRPr="007561BA">
              <w:rPr>
                <w:rFonts w:eastAsia="Times New Roman" w:cs="Arial"/>
                <w:spacing w:val="-2"/>
                <w:sz w:val="14"/>
                <w:szCs w:val="18"/>
                <w:lang w:val="en-US" w:eastAsia="pt-BR"/>
              </w:rPr>
              <w:t>on income from financial investments</w:t>
            </w:r>
          </w:p>
        </w:tc>
        <w:tc>
          <w:tcPr>
            <w:tcW w:w="1487" w:type="dxa"/>
          </w:tcPr>
          <w:p w14:paraId="48F6D921"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c>
          <w:tcPr>
            <w:tcW w:w="1488" w:type="dxa"/>
          </w:tcPr>
          <w:p w14:paraId="40F4A59F"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r>
      <w:tr w:rsidR="006A362F" w:rsidRPr="00653274" w14:paraId="63994348" w14:textId="77777777" w:rsidTr="003F1C03">
        <w:trPr>
          <w:trHeight w:val="238"/>
          <w:jc w:val="center"/>
        </w:trPr>
        <w:tc>
          <w:tcPr>
            <w:tcW w:w="6379" w:type="dxa"/>
            <w:tcBorders>
              <w:bottom w:val="single" w:sz="2" w:space="0" w:color="1F4E79" w:themeColor="accent1" w:themeShade="80"/>
            </w:tcBorders>
            <w:shd w:val="clear" w:color="auto" w:fill="auto"/>
            <w:vAlign w:val="center"/>
          </w:tcPr>
          <w:p w14:paraId="2469D055" w14:textId="77777777" w:rsidR="006A362F" w:rsidRPr="00490672" w:rsidRDefault="006A362F" w:rsidP="003F1C03">
            <w:pPr>
              <w:keepNext/>
              <w:keepLines/>
              <w:spacing w:before="40" w:after="40" w:line="240" w:lineRule="auto"/>
              <w:rPr>
                <w:rFonts w:eastAsia="Times New Roman" w:cs="Arial"/>
                <w:b/>
                <w:bCs/>
                <w:spacing w:val="-2"/>
                <w:sz w:val="14"/>
                <w:szCs w:val="14"/>
                <w:vertAlign w:val="superscript"/>
                <w:lang w:eastAsia="pt-BR"/>
              </w:rPr>
            </w:pPr>
            <w:r>
              <w:rPr>
                <w:rFonts w:eastAsia="Times New Roman" w:cs="Arial"/>
                <w:spacing w:val="-2"/>
                <w:sz w:val="14"/>
                <w:szCs w:val="18"/>
                <w:lang w:eastAsia="pt-BR"/>
              </w:rPr>
              <w:t>Service Tax – ISS</w:t>
            </w:r>
            <w:r>
              <w:rPr>
                <w:rFonts w:eastAsia="Times New Roman" w:cs="Arial"/>
                <w:spacing w:val="-2"/>
                <w:sz w:val="14"/>
                <w:szCs w:val="18"/>
                <w:vertAlign w:val="superscript"/>
                <w:lang w:eastAsia="pt-BR"/>
              </w:rPr>
              <w:t>(2)</w:t>
            </w:r>
          </w:p>
        </w:tc>
        <w:tc>
          <w:tcPr>
            <w:tcW w:w="1487" w:type="dxa"/>
            <w:tcBorders>
              <w:bottom w:val="single" w:sz="2" w:space="0" w:color="1F4E79" w:themeColor="accent1" w:themeShade="80"/>
            </w:tcBorders>
          </w:tcPr>
          <w:p w14:paraId="0A6A0CB9"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c>
          <w:tcPr>
            <w:tcW w:w="1488" w:type="dxa"/>
            <w:tcBorders>
              <w:bottom w:val="single" w:sz="2" w:space="0" w:color="1F4E79" w:themeColor="accent1" w:themeShade="80"/>
            </w:tcBorders>
          </w:tcPr>
          <w:p w14:paraId="2176BF65" w14:textId="77777777" w:rsidR="006A362F" w:rsidRPr="00481176" w:rsidRDefault="006A362F"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r>
    </w:tbl>
    <w:p w14:paraId="09B706D6" w14:textId="77777777" w:rsidR="006A362F" w:rsidRDefault="006A362F" w:rsidP="00BF40A9">
      <w:pPr>
        <w:keepLines/>
        <w:tabs>
          <w:tab w:val="left" w:pos="284"/>
        </w:tabs>
        <w:spacing w:before="40" w:after="0" w:line="240" w:lineRule="auto"/>
        <w:jc w:val="both"/>
        <w:rPr>
          <w:rFonts w:eastAsia="Times New Roman" w:cs="Arial"/>
          <w:spacing w:val="-2"/>
          <w:sz w:val="14"/>
          <w:szCs w:val="18"/>
          <w:lang w:val="en-US" w:eastAsia="pt-BR"/>
        </w:rPr>
      </w:pPr>
      <w:r>
        <w:rPr>
          <w:rFonts w:eastAsia="Times New Roman" w:cs="Arial"/>
          <w:spacing w:val="-2"/>
          <w:sz w:val="14"/>
          <w:szCs w:val="18"/>
          <w:lang w:val="en-US" w:eastAsia="pt-BR"/>
        </w:rPr>
        <w:t>(1) Includes basic (15%) and additional (10%) rates</w:t>
      </w:r>
    </w:p>
    <w:p w14:paraId="4D8E05E0" w14:textId="77777777" w:rsidR="006A362F" w:rsidRDefault="006A362F" w:rsidP="00BF40A9">
      <w:pPr>
        <w:keepLines/>
        <w:tabs>
          <w:tab w:val="left" w:pos="284"/>
        </w:tabs>
        <w:spacing w:before="40" w:after="0" w:line="240" w:lineRule="auto"/>
        <w:ind w:left="284" w:hanging="284"/>
        <w:jc w:val="both"/>
        <w:rPr>
          <w:rFonts w:eastAsia="Times New Roman" w:cs="Arial"/>
          <w:spacing w:val="-2"/>
          <w:sz w:val="14"/>
          <w:szCs w:val="18"/>
          <w:lang w:val="en-US" w:eastAsia="pt-BR"/>
        </w:rPr>
      </w:pPr>
      <w:r>
        <w:rPr>
          <w:rFonts w:eastAsia="Times New Roman" w:cs="Arial"/>
          <w:spacing w:val="-2"/>
          <w:sz w:val="14"/>
          <w:szCs w:val="18"/>
          <w:lang w:val="en-US" w:eastAsia="pt-BR"/>
        </w:rPr>
        <w:t xml:space="preserve">(2) </w:t>
      </w:r>
      <w:r w:rsidRPr="001B3D85">
        <w:rPr>
          <w:rFonts w:eastAsia="Times New Roman" w:cs="Arial"/>
          <w:spacing w:val="-2"/>
          <w:sz w:val="14"/>
          <w:szCs w:val="18"/>
          <w:lang w:val="en-US" w:eastAsia="pt-BR"/>
        </w:rPr>
        <w:t>Incident on the services provided by BB Corretora.</w:t>
      </w:r>
    </w:p>
    <w:p w14:paraId="5C843CD0" w14:textId="77777777" w:rsidR="006A362F" w:rsidRPr="00481176" w:rsidRDefault="006A362F" w:rsidP="00490672">
      <w:pPr>
        <w:keepLines/>
        <w:tabs>
          <w:tab w:val="left" w:pos="284"/>
        </w:tabs>
        <w:spacing w:before="40" w:after="0" w:line="240" w:lineRule="auto"/>
        <w:ind w:left="284" w:hanging="284"/>
        <w:jc w:val="both"/>
        <w:rPr>
          <w:rFonts w:eastAsia="Times New Roman" w:cs="Arial"/>
          <w:spacing w:val="-2"/>
          <w:sz w:val="14"/>
          <w:szCs w:val="18"/>
          <w:lang w:val="en-US" w:eastAsia="pt-BR"/>
        </w:rPr>
      </w:pPr>
    </w:p>
    <w:p w14:paraId="581DDA9E" w14:textId="77777777" w:rsidR="006A362F" w:rsidRDefault="006A362F" w:rsidP="00BF40A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deferred tax assets and deferred tax liabilities are constituted by the application of the current tax rates on their respective bases. For constitution, maintenance and write-off of deferred tax assets, the criteria established by the CPC 32 [IAS 12] – Taxes on Profit are observed, and they are supported by a realization capacity study.</w:t>
      </w:r>
    </w:p>
    <w:p w14:paraId="0C58BE30" w14:textId="77777777" w:rsidR="006A362F" w:rsidRPr="00F37243" w:rsidRDefault="006A362F"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k</w:t>
      </w:r>
      <w:r w:rsidRPr="00F37243">
        <w:rPr>
          <w:rFonts w:eastAsia="Times New Roman" w:cs="Times New Roman"/>
          <w:b/>
          <w:color w:val="244061"/>
          <w:spacing w:val="-2"/>
          <w:szCs w:val="18"/>
          <w:lang w:val="en-US" w:eastAsia="pt-BR"/>
        </w:rPr>
        <w:t>) Segment Disclosure</w:t>
      </w:r>
    </w:p>
    <w:p w14:paraId="4384E24C" w14:textId="77777777" w:rsidR="006A362F" w:rsidRDefault="006A362F" w:rsidP="00BF40A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CPC 22 [IFRS 8] – Information per Segment requires the disclosure of financial information of the entity's operating segments based on the internal disclosures that are used by the Management to allocate resources and to assess its financial and economic performance.</w:t>
      </w:r>
    </w:p>
    <w:p w14:paraId="5BEA538D" w14:textId="77777777" w:rsidR="006A362F" w:rsidRPr="00481176" w:rsidRDefault="006A362F"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l</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Interest on Net Equity and Dividends</w:t>
      </w:r>
    </w:p>
    <w:p w14:paraId="47942F2D" w14:textId="77777777" w:rsidR="006A362F" w:rsidRDefault="006A362F" w:rsidP="000A10CA">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interim financial statements as a direct reduction in the stockholders' equity. </w:t>
      </w:r>
    </w:p>
    <w:p w14:paraId="1AE29ADB" w14:textId="77777777" w:rsidR="006A362F" w:rsidRDefault="006A362F" w:rsidP="000A10CA">
      <w:pPr>
        <w:spacing w:before="120" w:after="120"/>
        <w:jc w:val="both"/>
        <w:rPr>
          <w:rFonts w:eastAsia="Times New Roman" w:cs="Arial"/>
          <w:spacing w:val="-2"/>
          <w:szCs w:val="18"/>
          <w:lang w:val="en-US" w:eastAsia="pt-BR"/>
        </w:rPr>
      </w:pPr>
      <w:r>
        <w:rPr>
          <w:rFonts w:eastAsia="Times New Roman" w:cs="Arial"/>
          <w:spacing w:val="-2"/>
          <w:szCs w:val="18"/>
          <w:lang w:val="en-US" w:eastAsia="pt-BR"/>
        </w:rPr>
        <w:t>Under the current dividends policy, BB Seguridade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025B7E4E" w14:textId="77777777" w:rsidR="006A362F" w:rsidRPr="00481176" w:rsidRDefault="006A362F" w:rsidP="000A10CA">
      <w:pPr>
        <w:spacing w:before="120" w:after="120"/>
        <w:jc w:val="both"/>
        <w:rPr>
          <w:rFonts w:eastAsia="Times New Roman" w:cs="Arial"/>
          <w:spacing w:val="-2"/>
          <w:szCs w:val="18"/>
          <w:lang w:val="en-US" w:eastAsia="pt-BR"/>
        </w:rPr>
      </w:pPr>
      <w:r w:rsidRPr="00C85CE7">
        <w:rPr>
          <w:rFonts w:eastAsia="Times New Roman" w:cs="Arial"/>
          <w:spacing w:val="-2"/>
          <w:szCs w:val="18"/>
          <w:lang w:val="en-US" w:eastAsia="pt-BR"/>
        </w:rPr>
        <w:t xml:space="preserve">During the </w:t>
      </w:r>
      <w:r>
        <w:rPr>
          <w:rFonts w:eastAsia="Times New Roman" w:cs="Arial"/>
          <w:spacing w:val="-2"/>
          <w:szCs w:val="18"/>
          <w:lang w:val="en-US" w:eastAsia="pt-BR"/>
        </w:rPr>
        <w:t>period</w:t>
      </w:r>
      <w:r w:rsidRPr="00C85CE7">
        <w:rPr>
          <w:rFonts w:eastAsia="Times New Roman" w:cs="Arial"/>
          <w:spacing w:val="-2"/>
          <w:szCs w:val="18"/>
          <w:lang w:val="en-US" w:eastAsia="pt-BR"/>
        </w:rPr>
        <w:t>, there was no recognition and payment of interest on shareholders' equity.</w:t>
      </w:r>
    </w:p>
    <w:p w14:paraId="0B093966" w14:textId="77777777" w:rsidR="006A362F" w:rsidRPr="00EB4ACA" w:rsidRDefault="006A362F"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m</w:t>
      </w:r>
      <w:r w:rsidRPr="00EB4ACA">
        <w:rPr>
          <w:rFonts w:eastAsia="Times New Roman" w:cs="Times New Roman"/>
          <w:b/>
          <w:color w:val="244061"/>
          <w:spacing w:val="-2"/>
          <w:szCs w:val="18"/>
          <w:lang w:val="en-US" w:eastAsia="pt-BR"/>
        </w:rPr>
        <w:t>) Earning per share</w:t>
      </w:r>
    </w:p>
    <w:p w14:paraId="7BEBC755" w14:textId="77777777" w:rsidR="006A362F" w:rsidRDefault="006A362F" w:rsidP="000A10CA">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Seguridade was calculated by dividing the net profit attributable to the shareholders by the weighted average number of total common shares, excluding treasury shares. BB Seguridade has no option instruments, subscription bonus or their equivalents that provide for its holder the right to acquire shares. Thus, basic and diluted earnings per share are equivalents. </w:t>
      </w:r>
    </w:p>
    <w:p w14:paraId="1F4B1171" w14:textId="77777777" w:rsidR="006A362F" w:rsidRPr="001358CA" w:rsidRDefault="006A362F" w:rsidP="00273CA3">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n</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Leases</w:t>
      </w:r>
    </w:p>
    <w:p w14:paraId="1DE8D346" w14:textId="77777777" w:rsidR="006A362F" w:rsidRPr="000A10CA" w:rsidRDefault="006A362F" w:rsidP="000A10CA">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 xml:space="preserve">The recognition, measurement and disclosure of leases are carried out in accordance with the criteria defined in the CPC 06 (R2) </w:t>
      </w:r>
      <w:r>
        <w:rPr>
          <w:rFonts w:eastAsia="Times New Roman" w:cs="Times New Roman"/>
          <w:spacing w:val="-2"/>
          <w:szCs w:val="18"/>
          <w:lang w:val="en-US" w:eastAsia="pt-BR"/>
        </w:rPr>
        <w:t>[</w:t>
      </w:r>
      <w:r w:rsidRPr="000A10CA">
        <w:rPr>
          <w:rFonts w:eastAsia="Times New Roman" w:cs="Times New Roman"/>
          <w:spacing w:val="-2"/>
          <w:szCs w:val="18"/>
          <w:lang w:val="en-US" w:eastAsia="pt-BR"/>
        </w:rPr>
        <w:t>IFRS 16</w:t>
      </w:r>
      <w:r>
        <w:rPr>
          <w:rFonts w:eastAsia="Times New Roman" w:cs="Times New Roman"/>
          <w:spacing w:val="-2"/>
          <w:szCs w:val="18"/>
          <w:lang w:val="en-US" w:eastAsia="pt-BR"/>
        </w:rPr>
        <w:t>]</w:t>
      </w:r>
      <w:r w:rsidRPr="000A10CA">
        <w:rPr>
          <w:rFonts w:eastAsia="Times New Roman" w:cs="Times New Roman"/>
          <w:spacing w:val="-2"/>
          <w:szCs w:val="18"/>
          <w:lang w:val="en-US" w:eastAsia="pt-BR"/>
        </w:rPr>
        <w:t xml:space="preserve"> – Leases. BB Seguridade and its controlled companies do not have significant lease operations.</w:t>
      </w:r>
    </w:p>
    <w:p w14:paraId="07FDF941" w14:textId="77777777" w:rsidR="006A362F" w:rsidRPr="000A10CA" w:rsidRDefault="006A362F" w:rsidP="000A10CA">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Lease operations are present in insurance companies and health operators in which BB Seguridade has an interest. For insurance companies, the Superintendência de Seguros Privados (</w:t>
      </w:r>
      <w:r>
        <w:rPr>
          <w:rFonts w:eastAsia="Times New Roman" w:cs="Times New Roman"/>
          <w:spacing w:val="-2"/>
          <w:szCs w:val="18"/>
          <w:lang w:val="en-US" w:eastAsia="pt-BR"/>
        </w:rPr>
        <w:t>SUSEP</w:t>
      </w:r>
      <w:r w:rsidRPr="000A10CA">
        <w:rPr>
          <w:rFonts w:eastAsia="Times New Roman" w:cs="Times New Roman"/>
          <w:spacing w:val="-2"/>
          <w:szCs w:val="18"/>
          <w:lang w:val="en-US" w:eastAsia="pt-BR"/>
        </w:rPr>
        <w:t>) approved, through Circular No. 615, of September 2020, the adoption of the CPC 06 (R2)</w:t>
      </w:r>
      <w:r>
        <w:rPr>
          <w:rFonts w:eastAsia="Times New Roman" w:cs="Times New Roman"/>
          <w:spacing w:val="-2"/>
          <w:szCs w:val="18"/>
          <w:lang w:val="en-US" w:eastAsia="pt-BR"/>
        </w:rPr>
        <w:t xml:space="preserve"> [IFRS 16]</w:t>
      </w:r>
      <w:r w:rsidRPr="000A10CA">
        <w:rPr>
          <w:rFonts w:eastAsia="Times New Roman" w:cs="Times New Roman"/>
          <w:spacing w:val="-2"/>
          <w:szCs w:val="18"/>
          <w:lang w:val="en-US" w:eastAsia="pt-BR"/>
        </w:rPr>
        <w:t xml:space="preserve"> – Leases, effective from January 1, 2021. </w:t>
      </w:r>
      <w:r w:rsidRPr="00A63204">
        <w:rPr>
          <w:rFonts w:eastAsia="Times New Roman" w:cs="Times New Roman"/>
          <w:spacing w:val="-2"/>
          <w:szCs w:val="18"/>
          <w:lang w:val="en-US" w:eastAsia="pt-BR"/>
        </w:rPr>
        <w:t>For health operators, the National Supplementary Health Agency (ANS) approved, through Normative Resolution No. 472, of September 2021, the adoption of that standard as of January 1, 2022.</w:t>
      </w:r>
    </w:p>
    <w:p w14:paraId="354FD767" w14:textId="77777777" w:rsidR="006A362F" w:rsidRPr="000A10CA" w:rsidRDefault="006A362F" w:rsidP="000A10CA">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When there is a divergence in the accounting practice adopted by the investor in relation to the affiliate companies, adjustment procedures are necessary for purposes of standardization. Considering the current lease operations of the affiliate companies, the necessary adjustments in investments were carried out in order standardize the practices.</w:t>
      </w:r>
    </w:p>
    <w:p w14:paraId="53076B60" w14:textId="77777777" w:rsidR="006A362F" w:rsidRDefault="006A362F" w:rsidP="000A10CA">
      <w:pPr>
        <w:spacing w:before="120" w:after="120"/>
        <w:jc w:val="both"/>
        <w:rPr>
          <w:rFonts w:eastAsia="Times New Roman" w:cs="Times New Roman"/>
          <w:spacing w:val="-2"/>
          <w:szCs w:val="18"/>
          <w:lang w:val="en-US" w:eastAsia="pt-BR"/>
        </w:rPr>
      </w:pPr>
      <w:r w:rsidRPr="00A63204">
        <w:rPr>
          <w:rFonts w:eastAsia="Times New Roman" w:cs="Times New Roman"/>
          <w:spacing w:val="-2"/>
          <w:szCs w:val="18"/>
          <w:lang w:val="en-US" w:eastAsia="pt-BR"/>
        </w:rPr>
        <w:t>The companies Brasilseg, Aliança do Brasil Seguros, Brasilprev and Brasilcap (from January 1, 2021) and Brasildental (from January 1, 2022) started to adopt CPC 06 (R2) [IFRS 16] – Leases, since then, there is no divergence of accounting practice related to the treatment of leases, leaving only the balance of difference in practice from periods prior to the adoption of the CPC, shown in Note 07 – Investments in Equity Interests.</w:t>
      </w:r>
    </w:p>
    <w:p w14:paraId="5EAF1D5C" w14:textId="77777777" w:rsidR="006A362F" w:rsidRPr="00010454" w:rsidRDefault="006A362F" w:rsidP="00F368A5">
      <w:pPr>
        <w:spacing w:before="120" w:after="120"/>
        <w:jc w:val="both"/>
        <w:rPr>
          <w:rFonts w:eastAsia="Times New Roman" w:cs="Times New Roman"/>
          <w:b/>
          <w:color w:val="1F3864" w:themeColor="accent5" w:themeShade="80"/>
          <w:spacing w:val="-2"/>
          <w:szCs w:val="18"/>
          <w:lang w:val="en-US" w:eastAsia="pt-BR"/>
        </w:rPr>
      </w:pPr>
      <w:r w:rsidRPr="00010454">
        <w:rPr>
          <w:rFonts w:eastAsia="Times New Roman" w:cs="Times New Roman"/>
          <w:b/>
          <w:color w:val="1F3864" w:themeColor="accent5" w:themeShade="80"/>
          <w:spacing w:val="-2"/>
          <w:szCs w:val="18"/>
          <w:lang w:val="en-US" w:eastAsia="pt-BR"/>
        </w:rPr>
        <w:t xml:space="preserve">o) </w:t>
      </w:r>
      <w:r w:rsidRPr="0048783D">
        <w:rPr>
          <w:rFonts w:eastAsia="Times New Roman" w:cs="Times New Roman"/>
          <w:b/>
          <w:color w:val="1F3864" w:themeColor="accent5" w:themeShade="80"/>
          <w:spacing w:val="-2"/>
          <w:szCs w:val="18"/>
          <w:lang w:val="en-US" w:eastAsia="pt-BR"/>
        </w:rPr>
        <w:t>Insurance Contracts</w:t>
      </w:r>
    </w:p>
    <w:p w14:paraId="7F064A4E" w14:textId="77777777" w:rsidR="006A362F" w:rsidRPr="0048783D" w:rsidRDefault="006A362F" w:rsidP="00010454">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lastRenderedPageBreak/>
        <w:t>Recognition, measurement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2F5D8427" w14:textId="77777777" w:rsidR="006A362F" w:rsidRPr="0048783D" w:rsidRDefault="006A362F" w:rsidP="00010454">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The operational investees that commercialize insurance contracts apply the insurance contract grouping levels, by harvest, portfolio and groups. According to the characteristics of insurance contracts, the application of accounting models is divided into:</w:t>
      </w:r>
    </w:p>
    <w:p w14:paraId="31A3A2B6" w14:textId="77777777" w:rsidR="006A362F" w:rsidRPr="0048783D" w:rsidRDefault="006A362F" w:rsidP="006A362F">
      <w:pPr>
        <w:pStyle w:val="PargrafodaLista"/>
        <w:numPr>
          <w:ilvl w:val="0"/>
          <w:numId w:val="36"/>
        </w:num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BBA - Building Block Approach (General Measurement Model): standard model for all insurance contracts based on future cash flow estimates segregated into three main components: i)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p>
    <w:p w14:paraId="6DA5F216" w14:textId="77777777" w:rsidR="006A362F" w:rsidRPr="0048783D" w:rsidRDefault="006A362F" w:rsidP="006A362F">
      <w:pPr>
        <w:pStyle w:val="PargrafodaLista"/>
        <w:numPr>
          <w:ilvl w:val="0"/>
          <w:numId w:val="36"/>
        </w:num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p>
    <w:p w14:paraId="12452B42" w14:textId="77777777" w:rsidR="006A362F" w:rsidRPr="0048783D" w:rsidRDefault="006A362F" w:rsidP="006A362F">
      <w:pPr>
        <w:pStyle w:val="PargrafodaLista"/>
        <w:numPr>
          <w:ilvl w:val="0"/>
          <w:numId w:val="36"/>
        </w:num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VFA - Variable Fee Approach: model for treating insurance contracts with underlying return components.</w:t>
      </w:r>
    </w:p>
    <w:p w14:paraId="029940CC"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When recognizing the BBA model, it is necessary to consider future cash flow estimates, as well as adjustments to present value and non-financial risks, in order to assess whether insurance contracts are in surplus or in deficit. If the future cash flow is positive, the contractual service margin is recognized in liabilities and is converted into revenue over the term of the insurance contracts. However, if the cash flow is negative, insurance contracts are considered onerous, as they have a deficit contractual service margin, and the amounts must be accounted for immediately in income.</w:t>
      </w:r>
    </w:p>
    <w:p w14:paraId="4C577FF7"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In the PAA model, based on the remaining coverage liability, similar to the current methodology of unearned premiums, liability amounts are recognized in income according to the period of effectiveness of the insurance contracts.</w:t>
      </w:r>
    </w:p>
    <w:p w14:paraId="53D506DD"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The individual companies BB Seguridade, BB Seguros and BB Corretora do not have operations that are within the scope of the insurance contract rule. However, the operating investees that sell insurance contracts and are therefore affected by the aforementioned accounting standards are Brasilseg and Aliança do Brasil Seguros, controlled by the holding company BB MAPFRE Participações S.A., Brasilprev and Brasildental.</w:t>
      </w:r>
    </w:p>
    <w:p w14:paraId="2E753EDA"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Brasilcap's products are not within the scope of CPC 50 [IFRS 17] and the impacts related to CPC 48 [IFRS 9] have already been recognized at BB Seguridade since 2018, through the harmonization of accounting practices.</w:t>
      </w:r>
    </w:p>
    <w:p w14:paraId="62F9009E"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The respective impacts on investee companies are presented in Note 07 – Investment in Shareholdings.</w:t>
      </w:r>
    </w:p>
    <w:p w14:paraId="05999BEC" w14:textId="77777777" w:rsidR="006A362F" w:rsidRPr="0048783D" w:rsidRDefault="006A362F" w:rsidP="0048783D">
      <w:pPr>
        <w:spacing w:before="120" w:after="120"/>
        <w:jc w:val="both"/>
        <w:rPr>
          <w:rFonts w:eastAsia="Times New Roman" w:cs="Times New Roman"/>
          <w:b/>
          <w:color w:val="1F3864" w:themeColor="accent5" w:themeShade="80"/>
          <w:spacing w:val="-2"/>
          <w:szCs w:val="18"/>
          <w:lang w:val="en-US" w:eastAsia="pt-BR"/>
        </w:rPr>
      </w:pPr>
      <w:r w:rsidRPr="0048783D">
        <w:rPr>
          <w:rFonts w:eastAsia="Times New Roman" w:cs="Times New Roman"/>
          <w:b/>
          <w:color w:val="1F3864" w:themeColor="accent5" w:themeShade="80"/>
          <w:spacing w:val="-2"/>
          <w:szCs w:val="18"/>
          <w:lang w:val="en-US" w:eastAsia="pt-BR"/>
        </w:rPr>
        <w:t>p) Initial Adoption of CPC 50 [IFRS 17] and CPC 48 [IFRS 9]</w:t>
      </w:r>
    </w:p>
    <w:p w14:paraId="70FF5D23"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Although CPC 50 [IFRS 17] and CPC 48 [IFRS 9] standards have not yet been approved by SUSEP and ANS (except CPC</w:t>
      </w:r>
      <w:r>
        <w:rPr>
          <w:rFonts w:eastAsia="Times New Roman" w:cs="Times New Roman"/>
          <w:bCs/>
          <w:spacing w:val="-2"/>
          <w:szCs w:val="18"/>
          <w:lang w:val="en-US" w:eastAsia="pt-BR"/>
        </w:rPr>
        <w:t> </w:t>
      </w:r>
      <w:r w:rsidRPr="0048783D">
        <w:rPr>
          <w:rFonts w:eastAsia="Times New Roman" w:cs="Times New Roman"/>
          <w:bCs/>
          <w:spacing w:val="-2"/>
          <w:szCs w:val="18"/>
          <w:lang w:val="en-US" w:eastAsia="pt-BR"/>
        </w:rPr>
        <w:t>48 [IFRS 9], which was approved by SUSEP to come into force in 2024), the respective operational investees of BB Seguridade that sell insurance contracts and have financial instruments within the scope of the referred standards must prepare their financial statements in the new standard, in order to comply with the accounting standards applicable to BB Seguridade.</w:t>
      </w:r>
    </w:p>
    <w:p w14:paraId="0FA4EE98"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In this sense, at the initial moment of adoption, the impacts on shareholders' equity and investments in equity interests were reflected in the interim financial statements of BB Seguridade and, later, the subsequent impacts through equity equivalence. Operating investees adopted the exemption granted by the CPC and IFRS for the adoption of CPC 48 [IFRS 9] together with CPC 50 [IFRS 17].</w:t>
      </w:r>
    </w:p>
    <w:p w14:paraId="4561FFD4"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For purposes of comparability and presentation of the financial statements, BB Seguridade presents in the interim financial statements the opening balance corresponding to January 1, 2022 and comparative information, in order to enable the understanding of the relevant adjustments and/or reclassifications of the impacts of the adoption of said standards, as provided for in CPC 23 (R1) [IAS 8] - Accounting Policies, Change of Estimate and Error Correction.</w:t>
      </w:r>
    </w:p>
    <w:p w14:paraId="5BA05436"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Despite the initial adoption of accounting standards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30CB808C" w14:textId="77777777" w:rsidR="006A362F" w:rsidRPr="0048783D" w:rsidRDefault="006A362F" w:rsidP="0048783D">
      <w:pPr>
        <w:spacing w:before="120" w:after="120"/>
        <w:jc w:val="both"/>
        <w:rPr>
          <w:rFonts w:eastAsia="Times New Roman" w:cs="Times New Roman"/>
          <w:bCs/>
          <w:spacing w:val="-2"/>
          <w:szCs w:val="18"/>
          <w:lang w:val="en-US" w:eastAsia="pt-BR"/>
        </w:rPr>
      </w:pPr>
      <w:r w:rsidRPr="0048783D">
        <w:rPr>
          <w:rFonts w:eastAsia="Times New Roman" w:cs="Times New Roman"/>
          <w:bCs/>
          <w:spacing w:val="-2"/>
          <w:szCs w:val="18"/>
          <w:lang w:val="en-US" w:eastAsia="pt-BR"/>
        </w:rPr>
        <w:t>Likewise, considering that the regulatory and corporate rules for insurance companies and health plan operators will not be affected by the aforementioned accounting standards, no impacts are expected on the distribution of dividends or on the capital management of such companies arising from the harmonization of its accounting practices to those of BB Seguridade and BB Seguros.</w:t>
      </w:r>
    </w:p>
    <w:p w14:paraId="0A0F480A" w14:textId="77777777" w:rsidR="006A362F" w:rsidRPr="0048783D" w:rsidRDefault="006A362F" w:rsidP="005F2641">
      <w:pPr>
        <w:spacing w:before="120" w:after="120"/>
        <w:jc w:val="both"/>
        <w:rPr>
          <w:rFonts w:eastAsia="Times New Roman" w:cs="Arial"/>
          <w:bCs/>
          <w:spacing w:val="-2"/>
          <w:szCs w:val="18"/>
          <w:lang w:val="en-US" w:eastAsia="pt-BR"/>
        </w:rPr>
      </w:pPr>
      <w:r w:rsidRPr="0048783D">
        <w:rPr>
          <w:rFonts w:eastAsia="Times New Roman" w:cs="Times New Roman"/>
          <w:bCs/>
          <w:spacing w:val="-2"/>
          <w:szCs w:val="18"/>
          <w:lang w:val="en-US" w:eastAsia="pt-BR"/>
        </w:rPr>
        <w:t>The impacts of the initial adoption of the respective standards, as well as comparative information, are presented in Note 03 – Presentation of Interim Financial Statements.</w:t>
      </w:r>
    </w:p>
    <w:bookmarkEnd w:id="22"/>
    <w:p w14:paraId="5827FE9F" w14:textId="3761419D" w:rsidR="00633486" w:rsidRDefault="00633486" w:rsidP="006A362F">
      <w:pPr>
        <w:pStyle w:val="Ttulo1"/>
      </w:pPr>
    </w:p>
    <w:p w14:paraId="3973566B" w14:textId="2EACD482" w:rsidR="00991E72" w:rsidRPr="0092740A" w:rsidRDefault="00991E72" w:rsidP="006A362F">
      <w:pPr>
        <w:pStyle w:val="Ttulo1"/>
        <w:rPr>
          <w:b w:val="0"/>
        </w:rPr>
      </w:pPr>
      <w:bookmarkStart w:id="24" w:name="_Toc134823569"/>
      <w:r w:rsidRPr="0092740A">
        <w:t>5 – RISK MANAGEMENT</w:t>
      </w:r>
      <w:bookmarkEnd w:id="24"/>
    </w:p>
    <w:p w14:paraId="18C70C42" w14:textId="77777777" w:rsidR="00991E72" w:rsidRPr="00993FCA" w:rsidRDefault="00991E72" w:rsidP="00991E72">
      <w:pPr>
        <w:pStyle w:val="05-Textonormal"/>
        <w:rPr>
          <w:lang w:val="en-US"/>
        </w:rPr>
      </w:pPr>
      <w:r w:rsidRPr="00993FCA">
        <w:rPr>
          <w:lang w:val="en-US"/>
        </w:rPr>
        <w:lastRenderedPageBreak/>
        <w:t xml:space="preserve">The risk management at BB Seguridade follows the guidelines established in its </w:t>
      </w:r>
      <w:r w:rsidRPr="00993FCA">
        <w:rPr>
          <w:lang w:val="en"/>
        </w:rPr>
        <w:t>Capital, Risk, Internal Controls and Compliance Management Policy</w:t>
      </w:r>
      <w:r w:rsidRPr="00993FCA">
        <w:rPr>
          <w:lang w:val="en-US"/>
        </w:rPr>
        <w:t>, approved by the Board of Directors and disclosed to the market through the investors’ relations website.</w:t>
      </w:r>
    </w:p>
    <w:p w14:paraId="272DFB19" w14:textId="77777777" w:rsidR="00991E72" w:rsidRPr="00FF21C9" w:rsidRDefault="00991E72" w:rsidP="00991E72">
      <w:pPr>
        <w:pStyle w:val="05-Textonormal"/>
        <w:rPr>
          <w:lang w:val="en-US"/>
        </w:rPr>
      </w:pPr>
      <w:r w:rsidRPr="00993FCA">
        <w:rPr>
          <w:lang w:val="en-US"/>
        </w:rPr>
        <w:t xml:space="preserve">The Company understands that its risk exposure originates from its interests, and therefore the </w:t>
      </w:r>
      <w:r w:rsidRPr="00993FCA">
        <w:rPr>
          <w:lang w:val="en"/>
        </w:rPr>
        <w:t xml:space="preserve">Capital, Risk, Internal Controls and Compliance Management Policy </w:t>
      </w:r>
      <w:r w:rsidRPr="00993FCA">
        <w:rPr>
          <w:lang w:val="en-US"/>
        </w:rPr>
        <w:t>contemplates two risk management dimensions: risk management (risks arising from the operations of BB Seguridade and its subsidiaries) and risk governance (risks arising from associates/joint ventures).</w:t>
      </w:r>
    </w:p>
    <w:p w14:paraId="2A06AD9F" w14:textId="77777777" w:rsidR="00991E72" w:rsidRPr="00993FCA" w:rsidRDefault="00991E72" w:rsidP="00991E72">
      <w:pPr>
        <w:pStyle w:val="05-Textonormal"/>
        <w:rPr>
          <w:lang w:val="en-US"/>
        </w:rPr>
      </w:pPr>
      <w:r w:rsidRPr="00993FCA">
        <w:rPr>
          <w:lang w:val="en-US"/>
        </w:rPr>
        <w:t>By means of its Risk Appetite Statement, approved by the Board of Directors, the Company defines the maximum levels of risks that it accepts to incur in the fulfillment of its objectives.</w:t>
      </w:r>
    </w:p>
    <w:p w14:paraId="5D3F87CC" w14:textId="77777777" w:rsidR="00991E72" w:rsidRPr="00993FCA" w:rsidRDefault="00991E72" w:rsidP="00991E72">
      <w:pPr>
        <w:pStyle w:val="05-Textonormal"/>
        <w:rPr>
          <w:lang w:val="en-US"/>
        </w:rPr>
      </w:pPr>
      <w:r w:rsidRPr="00A53B07">
        <w:rPr>
          <w:lang w:val="en-US"/>
        </w:rPr>
        <w:t>The risk management process at BB Seguridade is based on the international framework of ISO 31000:2018 and comprises the steps of setting the context, identifying, analy</w:t>
      </w:r>
      <w:r>
        <w:rPr>
          <w:lang w:val="en-US"/>
        </w:rPr>
        <w:t>sis</w:t>
      </w:r>
      <w:r w:rsidRPr="00A53B07">
        <w:rPr>
          <w:lang w:val="en-US"/>
        </w:rPr>
        <w:t>, evaluating and treating risks. Transversal to each steps of risk management, there are consultations with interested parties, monitoring and critical analysis, which help in continuous improvement. This process is internally documented in the Group’s Risk Management, Internal Controls and Compliance Model.</w:t>
      </w:r>
    </w:p>
    <w:p w14:paraId="6949918C" w14:textId="77777777" w:rsidR="00991E72" w:rsidRPr="00993FCA" w:rsidRDefault="00991E72" w:rsidP="00991E72">
      <w:pPr>
        <w:pStyle w:val="05-Textonormal"/>
        <w:rPr>
          <w:lang w:val="en-US"/>
        </w:rPr>
      </w:pPr>
      <w:r w:rsidRPr="00A53B07">
        <w:rPr>
          <w:lang w:val="en"/>
        </w:rPr>
        <w:t>BB Seguridade's risk management is integrated into the corporate strategy, from the preparation of planning, as well as during the execution of the strategy, scenario analysis and decision-making support at all levels of the Company.</w:t>
      </w:r>
    </w:p>
    <w:p w14:paraId="46618C0A" w14:textId="77777777" w:rsidR="00991E72" w:rsidRPr="00993FCA" w:rsidRDefault="00991E72" w:rsidP="00991E72">
      <w:pPr>
        <w:pStyle w:val="05-Textonormal"/>
        <w:rPr>
          <w:lang w:val="en-US"/>
        </w:rPr>
      </w:pPr>
      <w:r w:rsidRPr="00993FCA">
        <w:rPr>
          <w:lang w:val="en-US"/>
        </w:rPr>
        <w:t>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Seguridade holds interests. For this to work properly, the areas are segregated from the business and Internal Audit areas.</w:t>
      </w:r>
    </w:p>
    <w:p w14:paraId="27462FDB"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a) Risk management at BB Seguridade and its subsidiaries</w:t>
      </w:r>
    </w:p>
    <w:p w14:paraId="4AA69E54" w14:textId="77777777" w:rsidR="00991E72" w:rsidRPr="00993FCA" w:rsidRDefault="00991E72" w:rsidP="00991E72">
      <w:pPr>
        <w:pStyle w:val="05-Textonormal"/>
        <w:rPr>
          <w:lang w:val="en-US"/>
        </w:rPr>
      </w:pPr>
      <w:r w:rsidRPr="00993FCA">
        <w:rPr>
          <w:lang w:val="en-US"/>
        </w:rPr>
        <w:t>The risk management framework adopted by BB Seguridade,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7514D813" w14:textId="77777777" w:rsidR="00991E72" w:rsidRPr="00993FCA" w:rsidRDefault="00991E72" w:rsidP="00991E72">
      <w:pPr>
        <w:pStyle w:val="05-Textonormal"/>
        <w:rPr>
          <w:lang w:val="en-US"/>
        </w:rPr>
      </w:pPr>
      <w:r w:rsidRPr="00993FCA">
        <w:rPr>
          <w:lang w:val="en-US"/>
        </w:rPr>
        <w:t xml:space="preserve">The risk management mechanisms and tools also include, among others: segregation of duties; joint decisions; </w:t>
      </w:r>
      <w:r w:rsidRPr="00993FCA">
        <w:rPr>
          <w:lang w:val="en"/>
        </w:rPr>
        <w:t>Information Security and Cybernetics Policy</w:t>
      </w:r>
      <w:r w:rsidRPr="00993FCA">
        <w:rPr>
          <w:lang w:val="en-US"/>
        </w:rPr>
        <w:t>, Preventing and Combating Money Laundering and Terrorist Financing Policy</w:t>
      </w:r>
      <w:r>
        <w:rPr>
          <w:lang w:val="en-US"/>
        </w:rPr>
        <w:t xml:space="preserve">, in line with Circular Susep 612/2020 </w:t>
      </w:r>
      <w:r w:rsidRPr="00724F86">
        <w:rPr>
          <w:lang w:val="en-US"/>
        </w:rPr>
        <w:t>and subsequent amendments</w:t>
      </w:r>
      <w:r w:rsidRPr="00993FCA">
        <w:rPr>
          <w:lang w:val="en-US"/>
        </w:rPr>
        <w:t>; Preventing and Combating Corruption Policy, Code of Ethics and Conduct and an Integrity Program in line with Law 12,846/2013 (Anti-Corruption Law) and</w:t>
      </w:r>
      <w:r>
        <w:rPr>
          <w:lang w:val="en-US"/>
        </w:rPr>
        <w:t xml:space="preserve"> the Decree 11,</w:t>
      </w:r>
      <w:r w:rsidRPr="00993FCA">
        <w:rPr>
          <w:lang w:val="en-US"/>
        </w:rPr>
        <w:t>129/</w:t>
      </w:r>
      <w:r>
        <w:rPr>
          <w:lang w:val="en-US"/>
        </w:rPr>
        <w:t>2022</w:t>
      </w:r>
      <w:r w:rsidRPr="00993FCA">
        <w:rPr>
          <w:lang w:val="en"/>
        </w:rPr>
        <w:t xml:space="preserve"> </w:t>
      </w:r>
      <w:r w:rsidRPr="00993FCA">
        <w:rPr>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3BB24FC2" w14:textId="77777777" w:rsidR="00991E72" w:rsidRPr="00993FCA" w:rsidRDefault="00991E72" w:rsidP="00991E72">
      <w:pPr>
        <w:pStyle w:val="05-Textonormal"/>
        <w:rPr>
          <w:lang w:val="en-US"/>
        </w:rPr>
      </w:pPr>
      <w:r w:rsidRPr="00993FCA">
        <w:rPr>
          <w:lang w:val="en-US"/>
        </w:rPr>
        <w:t>The Executive Board is supported by the Continuity and Crisis Management Committee, which advises on the assessment and mitigation of risks of discontinuity, incidents or crises.</w:t>
      </w:r>
    </w:p>
    <w:p w14:paraId="42AA8CE2" w14:textId="77777777" w:rsidR="00991E72" w:rsidRPr="00993FCA" w:rsidRDefault="00991E72" w:rsidP="00991E72">
      <w:pPr>
        <w:pStyle w:val="05-Textonormal"/>
        <w:rPr>
          <w:lang w:val="en-US"/>
        </w:rPr>
      </w:pPr>
      <w:r w:rsidRPr="00993FCA">
        <w:rPr>
          <w:lang w:val="en-US"/>
        </w:rPr>
        <w:t xml:space="preserve">BB Seguridade's governance structure also comprises the Risk </w:t>
      </w:r>
      <w:r>
        <w:rPr>
          <w:lang w:val="en-US"/>
        </w:rPr>
        <w:t xml:space="preserve">and Capital </w:t>
      </w:r>
      <w:r w:rsidRPr="00993FCA">
        <w:rPr>
          <w:lang w:val="en-US"/>
        </w:rPr>
        <w:t>Committee, a statutory agency to advise the Board of Directors, which is responsible, among other things, for assessing and monitoring the Group's risk exposures.</w:t>
      </w:r>
    </w:p>
    <w:p w14:paraId="23EB97EA" w14:textId="77777777" w:rsidR="00991E72" w:rsidRPr="00993FCA" w:rsidRDefault="00991E72" w:rsidP="00991E72">
      <w:pPr>
        <w:pStyle w:val="05-Textonormal"/>
        <w:rPr>
          <w:lang w:val="en-US"/>
        </w:rPr>
      </w:pPr>
      <w:r w:rsidRPr="00993FCA">
        <w:rPr>
          <w:lang w:val="en-US"/>
        </w:rPr>
        <w:t>The Audit Committee, a statutory agency, is responsible, among other things, for sharing, with the Board of Directors, the risks, weaknesses or concerns that may have a significant impact on the Company's financial conditions and business.</w:t>
      </w:r>
    </w:p>
    <w:p w14:paraId="202FAF5F" w14:textId="77777777" w:rsidR="00991E72" w:rsidRPr="00993FCA" w:rsidRDefault="00991E72" w:rsidP="00991E72">
      <w:pPr>
        <w:pStyle w:val="05-Textonormal"/>
        <w:rPr>
          <w:lang w:val="en-US"/>
        </w:rPr>
      </w:pPr>
      <w:r w:rsidRPr="00993FCA">
        <w:rPr>
          <w:lang w:val="en-US"/>
        </w:rPr>
        <w:t>Information related to risk management and internal controls is periodically reported to the Collegiate Board of Directors, the Administrative Counsil and the Fiscal Council.</w:t>
      </w:r>
    </w:p>
    <w:p w14:paraId="60678E4D"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a.1) Risks associated with investments in financial assets</w:t>
      </w:r>
    </w:p>
    <w:p w14:paraId="7FCB020D" w14:textId="77777777" w:rsidR="00991E72" w:rsidRPr="00993FCA" w:rsidRDefault="00991E72" w:rsidP="00991E72">
      <w:pPr>
        <w:pStyle w:val="05-Textonormal"/>
        <w:rPr>
          <w:lang w:val="en-US"/>
        </w:rPr>
      </w:pPr>
      <w:r>
        <w:rPr>
          <w:lang w:val="en-US"/>
        </w:rPr>
        <w:t>T</w:t>
      </w:r>
      <w:r w:rsidRPr="00993FCA">
        <w:rPr>
          <w:lang w:val="en-US"/>
        </w:rPr>
        <w:t xml:space="preserve">he Group has a Financial Investment Policy, approved by the Board of Directors and applicable to all companies of the Group, that sets out the criteria relating to the nature, term and acceptable risks of the financial investments. The current policy allows the investment only in federal government bonds, repurchase agreement </w:t>
      </w:r>
      <w:r w:rsidRPr="00CE4AD4">
        <w:rPr>
          <w:lang w:val="en-US"/>
        </w:rPr>
        <w:t>guaranteed</w:t>
      </w:r>
      <w:r>
        <w:rPr>
          <w:lang w:val="en-US"/>
        </w:rPr>
        <w:t xml:space="preserve"> </w:t>
      </w:r>
      <w:r w:rsidRPr="00993FCA">
        <w:rPr>
          <w:lang w:val="en-US"/>
        </w:rPr>
        <w:t>by federal government bonds and extra-market investment funds.</w:t>
      </w:r>
    </w:p>
    <w:p w14:paraId="2A1AA403" w14:textId="77777777" w:rsidR="00991E72" w:rsidRPr="00993FCA" w:rsidRDefault="00991E72" w:rsidP="00991E72">
      <w:pPr>
        <w:pStyle w:val="05-Textonormal"/>
        <w:rPr>
          <w:lang w:val="en-US"/>
        </w:rPr>
      </w:pPr>
      <w:r w:rsidRPr="00993FCA">
        <w:rPr>
          <w:lang w:val="en-US"/>
        </w:rPr>
        <w:t>The investments in financial assets of BB Seguridade and its subsidiaries, classified as cash equivalents, are concentrated on repurchase agreements backe</w:t>
      </w:r>
      <w:r>
        <w:rPr>
          <w:lang w:val="en-US"/>
        </w:rPr>
        <w:t>d by Federal Government Bonds (N</w:t>
      </w:r>
      <w:r w:rsidRPr="00993FCA">
        <w:rPr>
          <w:lang w:val="en-US"/>
        </w:rPr>
        <w:t xml:space="preserve">ote 15). Other investments in financial assets classified as financial instruments are invested in fixed-income long-term mutual fund </w:t>
      </w:r>
      <w:r>
        <w:rPr>
          <w:lang w:val="en-US"/>
        </w:rPr>
        <w:t xml:space="preserve">and </w:t>
      </w:r>
      <w:r w:rsidRPr="000B28AF">
        <w:rPr>
          <w:lang w:val="en-US"/>
        </w:rPr>
        <w:t xml:space="preserve">federal government bonds </w:t>
      </w:r>
      <w:r>
        <w:rPr>
          <w:lang w:val="en-US"/>
        </w:rPr>
        <w:t>(N</w:t>
      </w:r>
      <w:r w:rsidRPr="00993FCA">
        <w:rPr>
          <w:lang w:val="en-US"/>
        </w:rPr>
        <w:t>ote 16).</w:t>
      </w:r>
    </w:p>
    <w:p w14:paraId="5B12C128"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a.2) Market Risk</w:t>
      </w:r>
    </w:p>
    <w:p w14:paraId="798912F7" w14:textId="77777777" w:rsidR="00991E72" w:rsidRPr="00993FCA" w:rsidRDefault="00991E72" w:rsidP="00991E72">
      <w:pPr>
        <w:pStyle w:val="05-Textonormal"/>
        <w:rPr>
          <w:lang w:val="en-US"/>
        </w:rPr>
      </w:pPr>
      <w:r w:rsidRPr="00993FCA">
        <w:rPr>
          <w:lang w:val="en-US"/>
        </w:rPr>
        <w:lastRenderedPageBreak/>
        <w:t>Market risk is defined as the possibility of negative impacts resulting from fluctuation in the market values of positions in financial instruments held by the Group. At BB Seguridade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1AA97C1A" w14:textId="77777777" w:rsidR="00991E72" w:rsidRPr="00993FCA" w:rsidRDefault="00991E72" w:rsidP="00991E72">
      <w:pPr>
        <w:pStyle w:val="05-Textonormal"/>
        <w:rPr>
          <w:lang w:val="en-US"/>
        </w:rPr>
      </w:pPr>
      <w:r w:rsidRPr="00993FCA">
        <w:rPr>
          <w:lang w:val="en-US"/>
        </w:rPr>
        <w:t>The market risk is managed based in the Financial Investment Policy, that defines which assets may comprise the portfolio and the VaR (Value at Risk) limit, calculated for 21 business days, with the portfolio volatility estimated using the exponentially weighted moving average (EWMA) and 95% confidence level. The indicator is monitored by the Finance and Investment Committee and by the Executive Board.</w:t>
      </w:r>
    </w:p>
    <w:p w14:paraId="730ABA59"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Market risk exposure in investments in financial assets</w:t>
      </w:r>
    </w:p>
    <w:p w14:paraId="7D9BDE6A" w14:textId="77777777" w:rsidR="00991E72" w:rsidRPr="003F1E22" w:rsidRDefault="00991E72" w:rsidP="00991E72">
      <w:pPr>
        <w:spacing w:after="0"/>
        <w:jc w:val="right"/>
        <w:rPr>
          <w:rFonts w:cs="Arial"/>
          <w:b/>
          <w:bCs/>
          <w:sz w:val="14"/>
          <w:szCs w:val="14"/>
          <w:lang w:val="en-US" w:eastAsia="pt-BR"/>
        </w:rPr>
      </w:pPr>
      <w:r w:rsidRPr="003F1E22">
        <w:rPr>
          <w:rFonts w:cs="Arial"/>
          <w:b/>
          <w:bCs/>
          <w:sz w:val="14"/>
          <w:szCs w:val="14"/>
          <w:lang w:val="en-US" w:eastAsia="pt-BR"/>
        </w:rPr>
        <w:t>R$ thousand</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991E72" w:rsidRPr="00993FCA" w14:paraId="14006E47" w14:textId="77777777" w:rsidTr="00991E72">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5FB092E6" w14:textId="77777777" w:rsidR="00991E72" w:rsidRPr="00D71583" w:rsidRDefault="00991E72" w:rsidP="00991E72">
            <w:pPr>
              <w:jc w:val="center"/>
              <w:rPr>
                <w:rFonts w:cs="Arial"/>
                <w:color w:val="auto"/>
                <w:sz w:val="14"/>
                <w:szCs w:val="14"/>
              </w:rPr>
            </w:pPr>
            <w:r w:rsidRPr="00D71583">
              <w:rPr>
                <w:rFonts w:cs="Arial"/>
                <w:color w:val="auto"/>
                <w:sz w:val="14"/>
                <w:szCs w:val="14"/>
              </w:rPr>
              <w:t xml:space="preserve">Impact in the </w:t>
            </w:r>
            <w:r w:rsidRPr="00D71583">
              <w:rPr>
                <w:rFonts w:cs="Arial"/>
                <w:sz w:val="14"/>
                <w:szCs w:val="14"/>
              </w:rPr>
              <w:t>Portfolio</w:t>
            </w:r>
          </w:p>
        </w:tc>
      </w:tr>
      <w:tr w:rsidR="00991E72" w:rsidRPr="00993FCA" w14:paraId="0D507C3D"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6F9362C5" w14:textId="77777777" w:rsidR="00991E72" w:rsidRPr="00993FCA" w:rsidRDefault="00991E72" w:rsidP="00991E72">
            <w:pPr>
              <w:jc w:val="center"/>
              <w:rPr>
                <w:rFonts w:cs="Arial"/>
                <w:color w:val="auto"/>
                <w:szCs w:val="18"/>
              </w:rPr>
            </w:pPr>
          </w:p>
        </w:tc>
        <w:tc>
          <w:tcPr>
            <w:tcW w:w="353" w:type="dxa"/>
            <w:tcBorders>
              <w:top w:val="single" w:sz="2" w:space="0" w:color="1F4E79" w:themeColor="accent1" w:themeShade="80"/>
              <w:bottom w:val="nil"/>
            </w:tcBorders>
            <w:shd w:val="clear" w:color="auto" w:fill="auto"/>
          </w:tcPr>
          <w:p w14:paraId="04411CA0" w14:textId="77777777" w:rsidR="00991E72" w:rsidRPr="00993FCA"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b/>
                <w:color w:val="auto"/>
                <w:szCs w:val="18"/>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50F3DFBF" w14:textId="77777777" w:rsidR="00991E72" w:rsidRPr="00F73A24"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sidRPr="00F73A24">
              <w:rPr>
                <w:rFonts w:cs="Arial"/>
                <w:b/>
                <w:color w:val="auto"/>
                <w:sz w:val="14"/>
                <w:szCs w:val="14"/>
              </w:rPr>
              <w:t>Parent Company</w:t>
            </w:r>
          </w:p>
        </w:tc>
        <w:tc>
          <w:tcPr>
            <w:tcW w:w="242" w:type="dxa"/>
            <w:tcBorders>
              <w:top w:val="single" w:sz="2" w:space="0" w:color="1F4E79" w:themeColor="accent1" w:themeShade="80"/>
              <w:bottom w:val="nil"/>
            </w:tcBorders>
            <w:shd w:val="clear" w:color="auto" w:fill="auto"/>
            <w:vAlign w:val="center"/>
          </w:tcPr>
          <w:p w14:paraId="36DB7003" w14:textId="77777777" w:rsidR="00991E72" w:rsidRPr="00D71583"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1B6503D3" w14:textId="77777777" w:rsidR="00991E72" w:rsidRPr="00D71583" w:rsidRDefault="00991E72" w:rsidP="00991E72">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sidRPr="00F73A24">
              <w:rPr>
                <w:rFonts w:cs="Arial"/>
                <w:b/>
                <w:color w:val="auto"/>
                <w:sz w:val="14"/>
                <w:szCs w:val="14"/>
              </w:rPr>
              <w:t>Consolidated</w:t>
            </w:r>
          </w:p>
        </w:tc>
      </w:tr>
      <w:tr w:rsidR="00991E72" w:rsidRPr="00993FCA" w14:paraId="5881B3EE"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63BAE7AE" w14:textId="77777777" w:rsidR="00991E72" w:rsidRPr="00993FCA" w:rsidRDefault="00991E72" w:rsidP="00991E72">
            <w:pPr>
              <w:pStyle w:val="08-Tabelageral"/>
              <w:jc w:val="left"/>
              <w:rPr>
                <w:rFonts w:cs="Arial"/>
                <w:b w:val="0"/>
                <w:color w:val="auto"/>
              </w:rPr>
            </w:pPr>
          </w:p>
        </w:tc>
        <w:tc>
          <w:tcPr>
            <w:tcW w:w="353" w:type="dxa"/>
            <w:tcBorders>
              <w:top w:val="nil"/>
              <w:bottom w:val="nil"/>
            </w:tcBorders>
            <w:shd w:val="clear" w:color="auto" w:fill="auto"/>
          </w:tcPr>
          <w:p w14:paraId="1456EEE8" w14:textId="77777777" w:rsidR="00991E72" w:rsidRPr="00993FCA" w:rsidRDefault="00991E72" w:rsidP="00991E72">
            <w:pPr>
              <w:pStyle w:val="08-Tabelageral"/>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060" w:type="dxa"/>
            <w:tcBorders>
              <w:top w:val="single" w:sz="2" w:space="0" w:color="1F4E79" w:themeColor="accent1" w:themeShade="80"/>
              <w:bottom w:val="nil"/>
            </w:tcBorders>
            <w:shd w:val="clear" w:color="auto" w:fill="auto"/>
            <w:vAlign w:val="center"/>
          </w:tcPr>
          <w:p w14:paraId="6617F4F3"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Mar</w:t>
            </w:r>
            <w:r w:rsidRPr="00D71583">
              <w:rPr>
                <w:rFonts w:cs="Arial"/>
                <w:b/>
                <w:color w:val="auto"/>
                <w:szCs w:val="14"/>
              </w:rPr>
              <w:t xml:space="preserve"> 31, 202</w:t>
            </w:r>
            <w:r>
              <w:rPr>
                <w:rFonts w:cs="Arial"/>
                <w:b/>
                <w:color w:val="auto"/>
                <w:szCs w:val="14"/>
              </w:rPr>
              <w:t>3</w:t>
            </w:r>
          </w:p>
        </w:tc>
        <w:tc>
          <w:tcPr>
            <w:tcW w:w="630" w:type="dxa"/>
            <w:tcBorders>
              <w:top w:val="single" w:sz="2" w:space="0" w:color="1F4E79" w:themeColor="accent1" w:themeShade="80"/>
              <w:bottom w:val="nil"/>
            </w:tcBorders>
            <w:shd w:val="clear" w:color="auto" w:fill="auto"/>
            <w:vAlign w:val="center"/>
          </w:tcPr>
          <w:p w14:paraId="401CF0BC"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1418" w:type="dxa"/>
            <w:tcBorders>
              <w:top w:val="single" w:sz="2" w:space="0" w:color="1F4E79" w:themeColor="accent1" w:themeShade="80"/>
              <w:bottom w:val="nil"/>
            </w:tcBorders>
            <w:shd w:val="clear" w:color="auto" w:fill="auto"/>
            <w:vAlign w:val="center"/>
          </w:tcPr>
          <w:p w14:paraId="314C29B3"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71583">
              <w:rPr>
                <w:rFonts w:cs="Arial"/>
                <w:b/>
                <w:color w:val="auto"/>
                <w:szCs w:val="14"/>
              </w:rPr>
              <w:t>Dec 31, 202</w:t>
            </w:r>
            <w:r>
              <w:rPr>
                <w:rFonts w:cs="Arial"/>
                <w:b/>
                <w:color w:val="auto"/>
                <w:szCs w:val="14"/>
              </w:rPr>
              <w:t>2</w:t>
            </w:r>
          </w:p>
        </w:tc>
        <w:tc>
          <w:tcPr>
            <w:tcW w:w="579" w:type="dxa"/>
            <w:tcBorders>
              <w:top w:val="single" w:sz="2" w:space="0" w:color="1F4E79" w:themeColor="accent1" w:themeShade="80"/>
              <w:bottom w:val="nil"/>
            </w:tcBorders>
            <w:shd w:val="clear" w:color="auto" w:fill="auto"/>
            <w:vAlign w:val="center"/>
          </w:tcPr>
          <w:p w14:paraId="51E883DB"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242" w:type="dxa"/>
            <w:tcBorders>
              <w:top w:val="nil"/>
              <w:bottom w:val="nil"/>
            </w:tcBorders>
            <w:shd w:val="clear" w:color="auto" w:fill="auto"/>
            <w:vAlign w:val="center"/>
          </w:tcPr>
          <w:p w14:paraId="60173B81"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63" w:type="dxa"/>
            <w:tcBorders>
              <w:top w:val="single" w:sz="2" w:space="0" w:color="1F4E79" w:themeColor="accent1" w:themeShade="80"/>
              <w:bottom w:val="nil"/>
            </w:tcBorders>
            <w:shd w:val="clear" w:color="auto" w:fill="auto"/>
            <w:vAlign w:val="center"/>
          </w:tcPr>
          <w:p w14:paraId="7652A09F"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Pr>
                <w:rFonts w:cs="Arial"/>
                <w:b/>
                <w:color w:val="auto"/>
                <w:szCs w:val="14"/>
              </w:rPr>
              <w:t>Mar</w:t>
            </w:r>
            <w:r w:rsidRPr="00D71583">
              <w:rPr>
                <w:rFonts w:cs="Arial"/>
                <w:b/>
                <w:color w:val="auto"/>
                <w:szCs w:val="14"/>
              </w:rPr>
              <w:t xml:space="preserve"> 31, 202</w:t>
            </w:r>
            <w:r>
              <w:rPr>
                <w:rFonts w:cs="Arial"/>
                <w:b/>
                <w:color w:val="auto"/>
                <w:szCs w:val="14"/>
              </w:rPr>
              <w:t>3</w:t>
            </w:r>
          </w:p>
        </w:tc>
        <w:tc>
          <w:tcPr>
            <w:tcW w:w="709" w:type="dxa"/>
            <w:tcBorders>
              <w:top w:val="single" w:sz="2" w:space="0" w:color="1F4E79" w:themeColor="accent1" w:themeShade="80"/>
              <w:bottom w:val="nil"/>
            </w:tcBorders>
            <w:shd w:val="clear" w:color="auto" w:fill="auto"/>
            <w:vAlign w:val="center"/>
          </w:tcPr>
          <w:p w14:paraId="5AE8EF04"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1417" w:type="dxa"/>
            <w:tcBorders>
              <w:top w:val="single" w:sz="2" w:space="0" w:color="1F4E79" w:themeColor="accent1" w:themeShade="80"/>
              <w:bottom w:val="nil"/>
            </w:tcBorders>
            <w:shd w:val="clear" w:color="auto" w:fill="auto"/>
            <w:vAlign w:val="center"/>
          </w:tcPr>
          <w:p w14:paraId="35266504"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71583">
              <w:rPr>
                <w:rFonts w:cs="Arial"/>
                <w:b/>
                <w:color w:val="auto"/>
                <w:szCs w:val="14"/>
              </w:rPr>
              <w:t>Dec 31, 202</w:t>
            </w:r>
            <w:r>
              <w:rPr>
                <w:rFonts w:cs="Arial"/>
                <w:b/>
                <w:color w:val="auto"/>
                <w:szCs w:val="14"/>
              </w:rPr>
              <w:t>2</w:t>
            </w:r>
          </w:p>
        </w:tc>
        <w:tc>
          <w:tcPr>
            <w:tcW w:w="567" w:type="dxa"/>
            <w:tcBorders>
              <w:top w:val="single" w:sz="2" w:space="0" w:color="1F4E79" w:themeColor="accent1" w:themeShade="80"/>
              <w:bottom w:val="nil"/>
            </w:tcBorders>
            <w:shd w:val="clear" w:color="auto" w:fill="auto"/>
            <w:vAlign w:val="center"/>
          </w:tcPr>
          <w:p w14:paraId="1CFE07E6" w14:textId="77777777" w:rsidR="00991E72" w:rsidRPr="00D71583" w:rsidRDefault="00991E72" w:rsidP="00991E7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r>
      <w:tr w:rsidR="00991E72" w:rsidRPr="00993FCA" w14:paraId="6AA5CC08"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02E0A634" w14:textId="77777777" w:rsidR="00991E72" w:rsidRPr="00D71583" w:rsidRDefault="00991E72" w:rsidP="00991E72">
            <w:pPr>
              <w:pStyle w:val="08-Tabelageral"/>
              <w:jc w:val="left"/>
              <w:rPr>
                <w:rFonts w:cs="Arial"/>
                <w:b w:val="0"/>
                <w:color w:val="auto"/>
                <w:szCs w:val="14"/>
              </w:rPr>
            </w:pPr>
            <w:r w:rsidRPr="00D71583">
              <w:rPr>
                <w:rFonts w:cs="Arial"/>
                <w:b w:val="0"/>
                <w:iCs/>
                <w:color w:val="auto"/>
                <w:szCs w:val="14"/>
              </w:rPr>
              <w:t>Value at Risk (VaR</w:t>
            </w:r>
            <w:r w:rsidRPr="00D71583">
              <w:rPr>
                <w:rFonts w:cs="Arial"/>
                <w:b w:val="0"/>
                <w:color w:val="auto"/>
                <w:szCs w:val="14"/>
              </w:rPr>
              <w:t>)</w:t>
            </w:r>
          </w:p>
        </w:tc>
        <w:tc>
          <w:tcPr>
            <w:tcW w:w="353" w:type="dxa"/>
            <w:tcBorders>
              <w:top w:val="nil"/>
              <w:bottom w:val="single" w:sz="2" w:space="0" w:color="1F4E79" w:themeColor="accent1" w:themeShade="80"/>
            </w:tcBorders>
            <w:shd w:val="clear" w:color="auto" w:fill="auto"/>
            <w:vAlign w:val="center"/>
          </w:tcPr>
          <w:p w14:paraId="7F54CC37" w14:textId="77777777" w:rsidR="00991E72" w:rsidRPr="00993FCA" w:rsidRDefault="00991E72" w:rsidP="00991E72">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60" w:type="dxa"/>
            <w:tcBorders>
              <w:top w:val="nil"/>
              <w:bottom w:val="single" w:sz="2" w:space="0" w:color="1F4E79" w:themeColor="accent1" w:themeShade="80"/>
            </w:tcBorders>
            <w:shd w:val="clear" w:color="auto" w:fill="auto"/>
            <w:vAlign w:val="center"/>
          </w:tcPr>
          <w:p w14:paraId="732B4414"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w:t>
            </w:r>
          </w:p>
        </w:tc>
        <w:tc>
          <w:tcPr>
            <w:tcW w:w="630" w:type="dxa"/>
            <w:tcBorders>
              <w:top w:val="nil"/>
              <w:bottom w:val="single" w:sz="2" w:space="0" w:color="1F4E79" w:themeColor="accent1" w:themeShade="80"/>
            </w:tcBorders>
            <w:shd w:val="clear" w:color="auto" w:fill="auto"/>
            <w:vAlign w:val="center"/>
          </w:tcPr>
          <w:p w14:paraId="5DDFABF9"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1418" w:type="dxa"/>
            <w:tcBorders>
              <w:top w:val="nil"/>
              <w:bottom w:val="single" w:sz="2" w:space="0" w:color="1F4E79" w:themeColor="accent1" w:themeShade="80"/>
            </w:tcBorders>
            <w:shd w:val="clear" w:color="auto" w:fill="auto"/>
            <w:vAlign w:val="center"/>
          </w:tcPr>
          <w:p w14:paraId="68D56145"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0</w:t>
            </w:r>
          </w:p>
        </w:tc>
        <w:tc>
          <w:tcPr>
            <w:tcW w:w="579" w:type="dxa"/>
            <w:tcBorders>
              <w:top w:val="nil"/>
              <w:bottom w:val="single" w:sz="2" w:space="0" w:color="1F4E79" w:themeColor="accent1" w:themeShade="80"/>
            </w:tcBorders>
            <w:shd w:val="clear" w:color="auto" w:fill="auto"/>
            <w:vAlign w:val="center"/>
          </w:tcPr>
          <w:p w14:paraId="5D0190E5"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242" w:type="dxa"/>
            <w:tcBorders>
              <w:top w:val="nil"/>
              <w:bottom w:val="single" w:sz="2" w:space="0" w:color="1F4E79" w:themeColor="accent1" w:themeShade="80"/>
            </w:tcBorders>
            <w:shd w:val="clear" w:color="auto" w:fill="auto"/>
            <w:vAlign w:val="center"/>
          </w:tcPr>
          <w:p w14:paraId="2020928F"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4E79" w:themeColor="accent1" w:themeShade="80"/>
            </w:tcBorders>
            <w:shd w:val="clear" w:color="auto" w:fill="auto"/>
            <w:vAlign w:val="center"/>
          </w:tcPr>
          <w:p w14:paraId="1CA34AF9"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348</w:t>
            </w:r>
          </w:p>
        </w:tc>
        <w:tc>
          <w:tcPr>
            <w:tcW w:w="709" w:type="dxa"/>
            <w:tcBorders>
              <w:top w:val="nil"/>
              <w:bottom w:val="single" w:sz="2" w:space="0" w:color="1F4E79" w:themeColor="accent1" w:themeShade="80"/>
            </w:tcBorders>
            <w:shd w:val="clear" w:color="auto" w:fill="auto"/>
            <w:vAlign w:val="center"/>
          </w:tcPr>
          <w:p w14:paraId="3F7FEFD3"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1417" w:type="dxa"/>
            <w:tcBorders>
              <w:top w:val="nil"/>
              <w:bottom w:val="single" w:sz="2" w:space="0" w:color="1F4E79" w:themeColor="accent1" w:themeShade="80"/>
            </w:tcBorders>
            <w:shd w:val="clear" w:color="auto" w:fill="auto"/>
            <w:vAlign w:val="center"/>
          </w:tcPr>
          <w:p w14:paraId="2A20426D"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auto"/>
                <w:szCs w:val="14"/>
              </w:rPr>
              <w:t>4</w:t>
            </w:r>
          </w:p>
        </w:tc>
        <w:tc>
          <w:tcPr>
            <w:tcW w:w="567" w:type="dxa"/>
            <w:tcBorders>
              <w:top w:val="nil"/>
              <w:bottom w:val="single" w:sz="2" w:space="0" w:color="1F4E79" w:themeColor="accent1" w:themeShade="80"/>
            </w:tcBorders>
            <w:shd w:val="clear" w:color="auto" w:fill="auto"/>
            <w:vAlign w:val="center"/>
          </w:tcPr>
          <w:p w14:paraId="32A12218" w14:textId="77777777" w:rsidR="00991E72" w:rsidRPr="00D71583" w:rsidRDefault="00991E72" w:rsidP="00991E7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r>
    </w:tbl>
    <w:p w14:paraId="75913C86" w14:textId="77777777" w:rsidR="00991E72" w:rsidRPr="00993FCA" w:rsidRDefault="00991E72" w:rsidP="00991E72">
      <w:pPr>
        <w:pStyle w:val="07-Legenda"/>
        <w:rPr>
          <w:lang w:val="en-US"/>
        </w:rPr>
      </w:pPr>
    </w:p>
    <w:p w14:paraId="5FCBD6EA"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Sensitivity analysis on market risk factors</w:t>
      </w:r>
    </w:p>
    <w:p w14:paraId="2A00C120" w14:textId="77777777" w:rsidR="00991E72" w:rsidRPr="00993FCA" w:rsidRDefault="00991E72" w:rsidP="00991E72">
      <w:pPr>
        <w:pStyle w:val="05-Textonormal"/>
        <w:rPr>
          <w:lang w:val="en-US"/>
        </w:rPr>
      </w:pPr>
      <w:r w:rsidRPr="00993FCA">
        <w:rPr>
          <w:lang w:val="en-US"/>
        </w:rPr>
        <w:t xml:space="preserve">On </w:t>
      </w:r>
      <w:r>
        <w:rPr>
          <w:lang w:val="en-US"/>
        </w:rPr>
        <w:t xml:space="preserve">March </w:t>
      </w:r>
      <w:r w:rsidRPr="00993FCA">
        <w:rPr>
          <w:lang w:val="en-US"/>
        </w:rPr>
        <w:t>3</w:t>
      </w:r>
      <w:r>
        <w:rPr>
          <w:lang w:val="en-US"/>
        </w:rPr>
        <w:t>1</w:t>
      </w:r>
      <w:r w:rsidRPr="00993FCA">
        <w:rPr>
          <w:lang w:val="en-US"/>
        </w:rPr>
        <w:t>, 202</w:t>
      </w:r>
      <w:r>
        <w:rPr>
          <w:lang w:val="en-US"/>
        </w:rPr>
        <w:t>3</w:t>
      </w:r>
      <w:r w:rsidRPr="00993FCA">
        <w:rPr>
          <w:lang w:val="en-US"/>
        </w:rPr>
        <w:t>, there were no derivative instruments in the Group's portfolio, which was entirely composed of post-fixed financial instruments linked to Selic rate. Based on the studies carried out, there is no relevant exposure to market risk factors.</w:t>
      </w:r>
    </w:p>
    <w:p w14:paraId="79FDB499"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a.3) Credit Risk</w:t>
      </w:r>
    </w:p>
    <w:p w14:paraId="150658D5" w14:textId="77777777" w:rsidR="00991E72" w:rsidRPr="00993FCA" w:rsidRDefault="00991E72" w:rsidP="00991E72">
      <w:pPr>
        <w:pStyle w:val="05-Textonormal"/>
        <w:rPr>
          <w:lang w:val="en-US"/>
        </w:rPr>
      </w:pPr>
      <w:r w:rsidRPr="00993FCA">
        <w:rPr>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Seguridade and its subsidiaries, the exposure to this risk arises from the investment portfolio in financial assets, </w:t>
      </w:r>
      <w:r w:rsidRPr="00FF21C9">
        <w:rPr>
          <w:lang w:val="en-US"/>
        </w:rPr>
        <w:t>which is composed of Bonds issued by private counterparties</w:t>
      </w:r>
      <w:r w:rsidRPr="00993FCA">
        <w:rPr>
          <w:lang w:val="en-US"/>
        </w:rPr>
        <w:t>. H</w:t>
      </w:r>
      <w:r w:rsidRPr="00993FCA">
        <w:rPr>
          <w:lang w:val="en"/>
        </w:rPr>
        <w:t>owever, currently, the portfolio does not include securities issued by private counterparties. Therefore, exposure to this risk is not relevant.</w:t>
      </w:r>
    </w:p>
    <w:p w14:paraId="2F8A919C" w14:textId="77777777" w:rsidR="00991E72" w:rsidRPr="00993FCA" w:rsidRDefault="00991E72" w:rsidP="00991E72">
      <w:pPr>
        <w:pStyle w:val="05-Textonormal"/>
        <w:rPr>
          <w:lang w:val="en-US"/>
        </w:rPr>
      </w:pPr>
      <w:r w:rsidRPr="00993FCA">
        <w:rPr>
          <w:lang w:val="en"/>
        </w:rPr>
        <w:t>The credit risk arising from the payment of brokerage for products sold by BB Corretora is considered duly mitigated due to the nature of the Group's operation, since most of the business takes place through the Banco do Brasil channel, whose brokerage is transferred automatically.</w:t>
      </w:r>
    </w:p>
    <w:p w14:paraId="7200EA48" w14:textId="77777777" w:rsidR="00991E72" w:rsidRPr="004F76D8" w:rsidRDefault="00991E72" w:rsidP="00991E72">
      <w:pPr>
        <w:pStyle w:val="05-Textonormal"/>
        <w:rPr>
          <w:b/>
          <w:color w:val="1F4E79" w:themeColor="accent1" w:themeShade="80"/>
          <w:lang w:val="en-US"/>
        </w:rPr>
      </w:pPr>
      <w:r w:rsidRPr="004F76D8">
        <w:rPr>
          <w:b/>
          <w:color w:val="1F4E79" w:themeColor="accent1" w:themeShade="80"/>
          <w:lang w:val="en-US"/>
        </w:rPr>
        <w:t>Credit risk exposure in investments in financial assets</w:t>
      </w:r>
    </w:p>
    <w:p w14:paraId="2828B97A" w14:textId="77777777" w:rsidR="00991E72" w:rsidRDefault="00991E72" w:rsidP="00991E72">
      <w:pPr>
        <w:pStyle w:val="06-Rmil"/>
        <w:rPr>
          <w:lang w:val="en-US"/>
        </w:rPr>
      </w:pPr>
      <w:r w:rsidRPr="003F1E22">
        <w:rPr>
          <w:lang w:val="en-US"/>
        </w:rPr>
        <w:t>R$ thousand</w:t>
      </w:r>
    </w:p>
    <w:tbl>
      <w:tblPr>
        <w:tblStyle w:val="TabeladeLista6Colorida-nfase510"/>
        <w:tblW w:w="9639" w:type="dxa"/>
        <w:jc w:val="center"/>
        <w:tblInd w:w="0" w:type="dxa"/>
        <w:tblLayout w:type="fixed"/>
        <w:tblLook w:val="04A0" w:firstRow="1" w:lastRow="0" w:firstColumn="1" w:lastColumn="0" w:noHBand="0" w:noVBand="1"/>
      </w:tblPr>
      <w:tblGrid>
        <w:gridCol w:w="1951"/>
        <w:gridCol w:w="1256"/>
        <w:gridCol w:w="699"/>
        <w:gridCol w:w="1117"/>
        <w:gridCol w:w="700"/>
        <w:gridCol w:w="283"/>
        <w:gridCol w:w="1117"/>
        <w:gridCol w:w="700"/>
        <w:gridCol w:w="1117"/>
        <w:gridCol w:w="559"/>
        <w:gridCol w:w="140"/>
      </w:tblGrid>
      <w:tr w:rsidR="00991E72" w:rsidRPr="00D71583" w14:paraId="05B3B120" w14:textId="77777777" w:rsidTr="006A362F">
        <w:trPr>
          <w:gridAfter w:val="1"/>
          <w:cnfStyle w:val="100000000000" w:firstRow="1" w:lastRow="0" w:firstColumn="0" w:lastColumn="0" w:oddVBand="0" w:evenVBand="0" w:oddHBand="0" w:evenHBand="0" w:firstRowFirstColumn="0" w:firstRowLastColumn="0" w:lastRowFirstColumn="0" w:lastRowLastColumn="0"/>
          <w:wAfter w:w="142" w:type="dxa"/>
          <w:trHeight w:hRule="exact" w:val="238"/>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1F4E79" w:themeColor="accent1" w:themeShade="80"/>
            </w:tcBorders>
            <w:shd w:val="clear" w:color="auto" w:fill="auto"/>
            <w:vAlign w:val="center"/>
          </w:tcPr>
          <w:p w14:paraId="3D6057C2" w14:textId="77777777" w:rsidR="00991E72" w:rsidRPr="00D71583" w:rsidRDefault="00991E72" w:rsidP="00991E72">
            <w:pPr>
              <w:rPr>
                <w:rFonts w:cs="Arial"/>
                <w:szCs w:val="18"/>
              </w:rPr>
            </w:pPr>
            <w:r w:rsidRPr="00D71583">
              <w:rPr>
                <w:rFonts w:cs="Arial"/>
                <w:sz w:val="14"/>
                <w:szCs w:val="18"/>
              </w:rPr>
              <w:t xml:space="preserve">Financial Assets </w:t>
            </w:r>
            <w:r w:rsidRPr="00D71583">
              <w:rPr>
                <w:rFonts w:cs="Arial"/>
                <w:sz w:val="14"/>
                <w:szCs w:val="18"/>
                <w:vertAlign w:val="superscript"/>
              </w:rPr>
              <w:t>(1)</w:t>
            </w:r>
          </w:p>
        </w:tc>
        <w:tc>
          <w:tcPr>
            <w:tcW w:w="3827" w:type="dxa"/>
            <w:gridSpan w:val="4"/>
            <w:tcBorders>
              <w:top w:val="single" w:sz="2" w:space="0" w:color="1F4E79" w:themeColor="accent1" w:themeShade="80"/>
              <w:bottom w:val="single" w:sz="2" w:space="0" w:color="1F4E79" w:themeColor="accent1" w:themeShade="80"/>
            </w:tcBorders>
            <w:shd w:val="clear" w:color="auto" w:fill="auto"/>
            <w:vAlign w:val="center"/>
          </w:tcPr>
          <w:p w14:paraId="34139088" w14:textId="77777777" w:rsidR="00991E72" w:rsidRPr="00D71583"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71583">
              <w:rPr>
                <w:rFonts w:cs="Arial"/>
                <w:sz w:val="14"/>
                <w:szCs w:val="18"/>
              </w:rPr>
              <w:t>Parent</w:t>
            </w:r>
          </w:p>
        </w:tc>
        <w:tc>
          <w:tcPr>
            <w:tcW w:w="284" w:type="dxa"/>
            <w:tcBorders>
              <w:top w:val="single" w:sz="2" w:space="0" w:color="1F4E79" w:themeColor="accent1" w:themeShade="80"/>
              <w:bottom w:val="nil"/>
            </w:tcBorders>
            <w:shd w:val="clear" w:color="auto" w:fill="auto"/>
            <w:vAlign w:val="center"/>
          </w:tcPr>
          <w:p w14:paraId="6D9C9030" w14:textId="77777777" w:rsidR="00991E72" w:rsidRPr="00D71583"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43" w:type="dxa"/>
            <w:gridSpan w:val="4"/>
            <w:tcBorders>
              <w:top w:val="single" w:sz="2" w:space="0" w:color="1F4E79" w:themeColor="accent1" w:themeShade="80"/>
              <w:bottom w:val="single" w:sz="2" w:space="0" w:color="1F4E79" w:themeColor="accent1" w:themeShade="80"/>
            </w:tcBorders>
            <w:shd w:val="clear" w:color="auto" w:fill="auto"/>
            <w:vAlign w:val="center"/>
          </w:tcPr>
          <w:p w14:paraId="2A547906" w14:textId="77777777" w:rsidR="00991E72" w:rsidRPr="00D71583"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71583">
              <w:rPr>
                <w:rFonts w:cs="Arial"/>
                <w:sz w:val="14"/>
                <w:szCs w:val="18"/>
              </w:rPr>
              <w:t>Consolidated</w:t>
            </w:r>
          </w:p>
        </w:tc>
      </w:tr>
      <w:tr w:rsidR="00991E72" w:rsidRPr="00D71583" w14:paraId="6C0B8793" w14:textId="77777777" w:rsidTr="006A362F">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nil"/>
            </w:tcBorders>
            <w:shd w:val="clear" w:color="auto" w:fill="auto"/>
          </w:tcPr>
          <w:p w14:paraId="599ED936" w14:textId="77777777" w:rsidR="00991E72" w:rsidRPr="00D71583" w:rsidRDefault="00991E72" w:rsidP="00991E72">
            <w:pPr>
              <w:keepNext/>
              <w:keepLines/>
              <w:spacing w:before="40" w:after="40"/>
              <w:rPr>
                <w:rFonts w:eastAsia="Times New Roman" w:cs="Arial"/>
                <w:b w:val="0"/>
                <w:spacing w:val="-2"/>
                <w:sz w:val="14"/>
                <w:szCs w:val="18"/>
                <w:lang w:eastAsia="pt-BR"/>
              </w:rPr>
            </w:pPr>
          </w:p>
        </w:tc>
        <w:tc>
          <w:tcPr>
            <w:tcW w:w="1276" w:type="dxa"/>
            <w:tcBorders>
              <w:top w:val="single" w:sz="2" w:space="0" w:color="1F4E79" w:themeColor="accent1" w:themeShade="80"/>
              <w:bottom w:val="nil"/>
            </w:tcBorders>
            <w:shd w:val="clear" w:color="auto" w:fill="auto"/>
            <w:vAlign w:val="center"/>
          </w:tcPr>
          <w:p w14:paraId="3DFFDC7C"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Mar</w:t>
            </w:r>
            <w:r w:rsidRPr="00D71583">
              <w:rPr>
                <w:rFonts w:eastAsia="Times New Roman" w:cs="Arial"/>
                <w:b/>
                <w:spacing w:val="-2"/>
                <w:sz w:val="14"/>
                <w:szCs w:val="18"/>
                <w:lang w:eastAsia="pt-BR"/>
              </w:rPr>
              <w:t xml:space="preserve"> 31, 202</w:t>
            </w:r>
            <w:r>
              <w:rPr>
                <w:rFonts w:eastAsia="Times New Roman" w:cs="Arial"/>
                <w:b/>
                <w:spacing w:val="-2"/>
                <w:sz w:val="14"/>
                <w:szCs w:val="18"/>
                <w:lang w:eastAsia="pt-BR"/>
              </w:rPr>
              <w:t>3</w:t>
            </w:r>
          </w:p>
        </w:tc>
        <w:tc>
          <w:tcPr>
            <w:tcW w:w="708" w:type="dxa"/>
            <w:tcBorders>
              <w:top w:val="single" w:sz="2" w:space="0" w:color="1F4E79" w:themeColor="accent1" w:themeShade="80"/>
              <w:bottom w:val="nil"/>
            </w:tcBorders>
            <w:shd w:val="clear" w:color="auto" w:fill="auto"/>
            <w:vAlign w:val="center"/>
          </w:tcPr>
          <w:p w14:paraId="1BBA6228"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1134" w:type="dxa"/>
            <w:tcBorders>
              <w:top w:val="single" w:sz="2" w:space="0" w:color="1F4E79" w:themeColor="accent1" w:themeShade="80"/>
              <w:bottom w:val="nil"/>
            </w:tcBorders>
            <w:shd w:val="clear" w:color="auto" w:fill="auto"/>
            <w:vAlign w:val="center"/>
          </w:tcPr>
          <w:p w14:paraId="58545B97"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w:t>
            </w:r>
            <w:r>
              <w:rPr>
                <w:rFonts w:eastAsia="Times New Roman" w:cs="Arial"/>
                <w:b/>
                <w:spacing w:val="-2"/>
                <w:sz w:val="14"/>
                <w:szCs w:val="18"/>
                <w:lang w:eastAsia="pt-BR"/>
              </w:rPr>
              <w:t>2</w:t>
            </w:r>
          </w:p>
        </w:tc>
        <w:tc>
          <w:tcPr>
            <w:tcW w:w="709" w:type="dxa"/>
            <w:tcBorders>
              <w:top w:val="single" w:sz="2" w:space="0" w:color="1F4E79" w:themeColor="accent1" w:themeShade="80"/>
              <w:bottom w:val="nil"/>
            </w:tcBorders>
            <w:shd w:val="clear" w:color="auto" w:fill="auto"/>
            <w:vAlign w:val="center"/>
          </w:tcPr>
          <w:p w14:paraId="374A9F80"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284" w:type="dxa"/>
            <w:tcBorders>
              <w:top w:val="nil"/>
              <w:bottom w:val="nil"/>
            </w:tcBorders>
            <w:shd w:val="clear" w:color="auto" w:fill="auto"/>
            <w:vAlign w:val="center"/>
          </w:tcPr>
          <w:p w14:paraId="44D5BDB4"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134" w:type="dxa"/>
            <w:tcBorders>
              <w:top w:val="single" w:sz="2" w:space="0" w:color="1F4E79" w:themeColor="accent1" w:themeShade="80"/>
              <w:bottom w:val="nil"/>
            </w:tcBorders>
            <w:shd w:val="clear" w:color="auto" w:fill="auto"/>
            <w:vAlign w:val="center"/>
          </w:tcPr>
          <w:p w14:paraId="56DB71D0"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Pr>
                <w:rFonts w:eastAsia="Times New Roman" w:cs="Arial"/>
                <w:b/>
                <w:spacing w:val="-2"/>
                <w:sz w:val="14"/>
                <w:szCs w:val="18"/>
                <w:lang w:eastAsia="pt-BR"/>
              </w:rPr>
              <w:t>Mar</w:t>
            </w:r>
            <w:r w:rsidRPr="00D71583">
              <w:rPr>
                <w:rFonts w:eastAsia="Times New Roman" w:cs="Arial"/>
                <w:b/>
                <w:spacing w:val="-2"/>
                <w:sz w:val="14"/>
                <w:szCs w:val="18"/>
                <w:lang w:eastAsia="pt-BR"/>
              </w:rPr>
              <w:t xml:space="preserve"> 31, 202</w:t>
            </w:r>
            <w:r>
              <w:rPr>
                <w:rFonts w:eastAsia="Times New Roman" w:cs="Arial"/>
                <w:b/>
                <w:spacing w:val="-2"/>
                <w:sz w:val="14"/>
                <w:szCs w:val="18"/>
                <w:lang w:eastAsia="pt-BR"/>
              </w:rPr>
              <w:t>3</w:t>
            </w:r>
          </w:p>
        </w:tc>
        <w:tc>
          <w:tcPr>
            <w:tcW w:w="709" w:type="dxa"/>
            <w:tcBorders>
              <w:top w:val="single" w:sz="2" w:space="0" w:color="1F4E79" w:themeColor="accent1" w:themeShade="80"/>
              <w:bottom w:val="nil"/>
            </w:tcBorders>
            <w:shd w:val="clear" w:color="auto" w:fill="auto"/>
            <w:vAlign w:val="center"/>
          </w:tcPr>
          <w:p w14:paraId="3BAA2715"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1134" w:type="dxa"/>
            <w:tcBorders>
              <w:top w:val="single" w:sz="2" w:space="0" w:color="1F4E79" w:themeColor="accent1" w:themeShade="80"/>
              <w:bottom w:val="nil"/>
            </w:tcBorders>
            <w:shd w:val="clear" w:color="auto" w:fill="auto"/>
            <w:vAlign w:val="center"/>
          </w:tcPr>
          <w:p w14:paraId="09AA2766"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w:t>
            </w:r>
            <w:r>
              <w:rPr>
                <w:rFonts w:eastAsia="Times New Roman" w:cs="Arial"/>
                <w:b/>
                <w:spacing w:val="-2"/>
                <w:sz w:val="14"/>
                <w:szCs w:val="18"/>
                <w:lang w:eastAsia="pt-BR"/>
              </w:rPr>
              <w:t>2</w:t>
            </w:r>
          </w:p>
        </w:tc>
        <w:tc>
          <w:tcPr>
            <w:tcW w:w="708" w:type="dxa"/>
            <w:gridSpan w:val="2"/>
            <w:tcBorders>
              <w:top w:val="single" w:sz="2" w:space="0" w:color="1F4E79" w:themeColor="accent1" w:themeShade="80"/>
              <w:bottom w:val="nil"/>
            </w:tcBorders>
            <w:shd w:val="clear" w:color="auto" w:fill="auto"/>
            <w:vAlign w:val="center"/>
          </w:tcPr>
          <w:p w14:paraId="5FB63491" w14:textId="77777777" w:rsidR="00991E72" w:rsidRPr="00D71583" w:rsidRDefault="00991E72" w:rsidP="00991E72">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r>
      <w:tr w:rsidR="006A362F" w:rsidRPr="00D71583" w14:paraId="193CF8F3" w14:textId="77777777" w:rsidTr="006A36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2" w:space="0" w:color="1F4E79" w:themeColor="accent1" w:themeShade="80"/>
            </w:tcBorders>
            <w:shd w:val="clear" w:color="auto" w:fill="FFFFFF" w:themeFill="background1"/>
            <w:vAlign w:val="center"/>
          </w:tcPr>
          <w:p w14:paraId="115CF7A2" w14:textId="77777777" w:rsidR="00991E72" w:rsidRPr="00D71583" w:rsidRDefault="00991E72" w:rsidP="00991E72">
            <w:pPr>
              <w:keepLines/>
              <w:tabs>
                <w:tab w:val="left" w:pos="284"/>
              </w:tabs>
              <w:spacing w:before="40"/>
              <w:rPr>
                <w:rFonts w:eastAsia="Times New Roman" w:cs="Times New Roman"/>
                <w:b w:val="0"/>
                <w:spacing w:val="-2"/>
                <w:sz w:val="14"/>
                <w:szCs w:val="18"/>
                <w:lang w:eastAsia="pt-BR"/>
              </w:rPr>
            </w:pPr>
            <w:r w:rsidRPr="00D71583">
              <w:rPr>
                <w:rFonts w:eastAsia="Times New Roman" w:cs="Times New Roman"/>
                <w:b w:val="0"/>
                <w:spacing w:val="-2"/>
                <w:sz w:val="14"/>
                <w:szCs w:val="18"/>
                <w:lang w:eastAsia="pt-BR"/>
              </w:rPr>
              <w:t>Federal Government Bonds</w:t>
            </w:r>
          </w:p>
        </w:tc>
        <w:tc>
          <w:tcPr>
            <w:tcW w:w="1276" w:type="dxa"/>
            <w:tcBorders>
              <w:top w:val="nil"/>
              <w:left w:val="nil"/>
              <w:bottom w:val="single" w:sz="2" w:space="0" w:color="1F4E79" w:themeColor="accent1" w:themeShade="80"/>
              <w:right w:val="nil"/>
            </w:tcBorders>
            <w:shd w:val="clear" w:color="auto" w:fill="FFFFFF" w:themeFill="background1"/>
            <w:vAlign w:val="center"/>
          </w:tcPr>
          <w:p w14:paraId="3694C49D"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sidRPr="00523001">
              <w:rPr>
                <w:rFonts w:eastAsia="Times New Roman" w:cs="Times New Roman"/>
                <w:spacing w:val="-2"/>
                <w:sz w:val="14"/>
                <w:szCs w:val="18"/>
                <w:lang w:eastAsia="pt-BR"/>
              </w:rPr>
              <w:t>48</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245</w:t>
            </w:r>
          </w:p>
        </w:tc>
        <w:tc>
          <w:tcPr>
            <w:tcW w:w="708" w:type="dxa"/>
            <w:tcBorders>
              <w:top w:val="nil"/>
              <w:left w:val="nil"/>
              <w:bottom w:val="single" w:sz="2" w:space="0" w:color="1F4E79" w:themeColor="accent1" w:themeShade="80"/>
              <w:right w:val="nil"/>
            </w:tcBorders>
            <w:shd w:val="clear" w:color="auto" w:fill="FFFFFF" w:themeFill="background1"/>
            <w:vAlign w:val="center"/>
          </w:tcPr>
          <w:p w14:paraId="04478ECF"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100.</w:t>
            </w:r>
            <w:r w:rsidRPr="00523001">
              <w:rPr>
                <w:rFonts w:eastAsia="Times New Roman" w:cs="Times New Roman"/>
                <w:spacing w:val="-2"/>
                <w:sz w:val="14"/>
                <w:szCs w:val="18"/>
                <w:lang w:eastAsia="pt-BR"/>
              </w:rPr>
              <w:t>00</w:t>
            </w:r>
          </w:p>
        </w:tc>
        <w:tc>
          <w:tcPr>
            <w:tcW w:w="1134" w:type="dxa"/>
            <w:tcBorders>
              <w:top w:val="nil"/>
              <w:left w:val="nil"/>
              <w:bottom w:val="single" w:sz="2" w:space="0" w:color="1F4E79" w:themeColor="accent1" w:themeShade="80"/>
              <w:right w:val="nil"/>
            </w:tcBorders>
            <w:shd w:val="clear" w:color="auto" w:fill="FFFFFF" w:themeFill="background1"/>
            <w:vAlign w:val="center"/>
          </w:tcPr>
          <w:p w14:paraId="483E5186"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58,</w:t>
            </w:r>
            <w:r w:rsidRPr="00523001">
              <w:rPr>
                <w:rFonts w:eastAsia="Times New Roman" w:cs="Times New Roman"/>
                <w:spacing w:val="-2"/>
                <w:sz w:val="14"/>
                <w:szCs w:val="18"/>
                <w:lang w:eastAsia="pt-BR"/>
              </w:rPr>
              <w:t>576</w:t>
            </w:r>
          </w:p>
        </w:tc>
        <w:tc>
          <w:tcPr>
            <w:tcW w:w="709" w:type="dxa"/>
            <w:tcBorders>
              <w:top w:val="nil"/>
              <w:left w:val="nil"/>
              <w:bottom w:val="single" w:sz="2" w:space="0" w:color="1F4E79" w:themeColor="accent1" w:themeShade="80"/>
              <w:right w:val="nil"/>
            </w:tcBorders>
            <w:shd w:val="clear" w:color="auto" w:fill="FFFFFF" w:themeFill="background1"/>
            <w:vAlign w:val="center"/>
          </w:tcPr>
          <w:p w14:paraId="19CA4F9C"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100.</w:t>
            </w:r>
            <w:r w:rsidRPr="00523001">
              <w:rPr>
                <w:rFonts w:eastAsia="Times New Roman" w:cs="Times New Roman"/>
                <w:spacing w:val="-2"/>
                <w:sz w:val="14"/>
                <w:szCs w:val="18"/>
                <w:lang w:eastAsia="pt-BR"/>
              </w:rPr>
              <w:t>00</w:t>
            </w:r>
          </w:p>
        </w:tc>
        <w:tc>
          <w:tcPr>
            <w:tcW w:w="284" w:type="dxa"/>
            <w:tcBorders>
              <w:top w:val="nil"/>
              <w:bottom w:val="single" w:sz="2" w:space="0" w:color="1F4E79" w:themeColor="accent1" w:themeShade="80"/>
            </w:tcBorders>
            <w:shd w:val="clear" w:color="auto" w:fill="FFFFFF" w:themeFill="background1"/>
            <w:vAlign w:val="center"/>
          </w:tcPr>
          <w:p w14:paraId="015CC38E" w14:textId="77777777" w:rsidR="00991E72" w:rsidRPr="00D71583"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p>
        </w:tc>
        <w:tc>
          <w:tcPr>
            <w:tcW w:w="1134" w:type="dxa"/>
            <w:tcBorders>
              <w:top w:val="nil"/>
              <w:bottom w:val="single" w:sz="2" w:space="0" w:color="1F4E79" w:themeColor="accent1" w:themeShade="80"/>
            </w:tcBorders>
            <w:shd w:val="clear" w:color="auto" w:fill="FFFFFF" w:themeFill="background1"/>
            <w:vAlign w:val="center"/>
          </w:tcPr>
          <w:p w14:paraId="5EC6D4AF"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sidRPr="00523001">
              <w:rPr>
                <w:rFonts w:eastAsia="Times New Roman" w:cs="Times New Roman"/>
                <w:spacing w:val="-2"/>
                <w:sz w:val="14"/>
                <w:szCs w:val="18"/>
                <w:lang w:eastAsia="pt-BR"/>
              </w:rPr>
              <w:t>2</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811</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248</w:t>
            </w:r>
          </w:p>
        </w:tc>
        <w:tc>
          <w:tcPr>
            <w:tcW w:w="709" w:type="dxa"/>
            <w:tcBorders>
              <w:top w:val="nil"/>
              <w:bottom w:val="single" w:sz="2" w:space="0" w:color="1F4E79" w:themeColor="accent1" w:themeShade="80"/>
            </w:tcBorders>
            <w:shd w:val="clear" w:color="auto" w:fill="FFFFFF" w:themeFill="background1"/>
            <w:vAlign w:val="center"/>
          </w:tcPr>
          <w:p w14:paraId="0CDA1CF6"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73.</w:t>
            </w:r>
            <w:r w:rsidRPr="00523001">
              <w:rPr>
                <w:rFonts w:eastAsia="Times New Roman" w:cs="Times New Roman"/>
                <w:spacing w:val="-2"/>
                <w:sz w:val="14"/>
                <w:szCs w:val="18"/>
                <w:lang w:eastAsia="pt-BR"/>
              </w:rPr>
              <w:t>62</w:t>
            </w:r>
          </w:p>
        </w:tc>
        <w:tc>
          <w:tcPr>
            <w:tcW w:w="1134" w:type="dxa"/>
            <w:tcBorders>
              <w:top w:val="nil"/>
              <w:bottom w:val="single" w:sz="2" w:space="0" w:color="1F4E79" w:themeColor="accent1" w:themeShade="80"/>
            </w:tcBorders>
            <w:shd w:val="clear" w:color="auto" w:fill="FFFFFF" w:themeFill="background1"/>
            <w:vAlign w:val="center"/>
          </w:tcPr>
          <w:p w14:paraId="2695D113"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sidRPr="00523001">
              <w:rPr>
                <w:rFonts w:eastAsia="Times New Roman" w:cs="Times New Roman"/>
                <w:spacing w:val="-2"/>
                <w:sz w:val="14"/>
                <w:szCs w:val="18"/>
                <w:lang w:eastAsia="pt-BR"/>
              </w:rPr>
              <w:t>6</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073</w:t>
            </w:r>
            <w:r>
              <w:rPr>
                <w:rFonts w:eastAsia="Times New Roman" w:cs="Times New Roman"/>
                <w:spacing w:val="-2"/>
                <w:sz w:val="14"/>
                <w:szCs w:val="18"/>
                <w:lang w:eastAsia="pt-BR"/>
              </w:rPr>
              <w:t>,</w:t>
            </w:r>
            <w:r w:rsidRPr="00523001">
              <w:rPr>
                <w:rFonts w:eastAsia="Times New Roman" w:cs="Times New Roman"/>
                <w:spacing w:val="-2"/>
                <w:sz w:val="14"/>
                <w:szCs w:val="18"/>
                <w:lang w:eastAsia="pt-BR"/>
              </w:rPr>
              <w:t>051</w:t>
            </w:r>
          </w:p>
        </w:tc>
        <w:tc>
          <w:tcPr>
            <w:tcW w:w="708" w:type="dxa"/>
            <w:gridSpan w:val="2"/>
            <w:tcBorders>
              <w:top w:val="nil"/>
              <w:bottom w:val="single" w:sz="2" w:space="0" w:color="1F4E79" w:themeColor="accent1" w:themeShade="80"/>
            </w:tcBorders>
            <w:shd w:val="clear" w:color="auto" w:fill="FFFFFF" w:themeFill="background1"/>
            <w:vAlign w:val="center"/>
          </w:tcPr>
          <w:p w14:paraId="5C829939"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eastAsia="pt-BR"/>
              </w:rPr>
            </w:pPr>
            <w:r>
              <w:rPr>
                <w:rFonts w:eastAsia="Times New Roman" w:cs="Times New Roman"/>
                <w:spacing w:val="-2"/>
                <w:sz w:val="14"/>
                <w:szCs w:val="18"/>
                <w:lang w:eastAsia="pt-BR"/>
              </w:rPr>
              <w:t>94.</w:t>
            </w:r>
            <w:r w:rsidRPr="00523001">
              <w:rPr>
                <w:rFonts w:eastAsia="Times New Roman" w:cs="Times New Roman"/>
                <w:spacing w:val="-2"/>
                <w:sz w:val="14"/>
                <w:szCs w:val="18"/>
                <w:lang w:eastAsia="pt-BR"/>
              </w:rPr>
              <w:t>55</w:t>
            </w:r>
          </w:p>
        </w:tc>
      </w:tr>
      <w:tr w:rsidR="00991E72" w:rsidRPr="00153258" w14:paraId="40A2FE0C" w14:textId="77777777" w:rsidTr="006A362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1F4E79" w:themeColor="accent1" w:themeShade="80"/>
              <w:bottom w:val="nil"/>
            </w:tcBorders>
            <w:vAlign w:val="center"/>
          </w:tcPr>
          <w:p w14:paraId="53274291" w14:textId="77777777" w:rsidR="00991E72" w:rsidRPr="0044069E" w:rsidRDefault="00991E72" w:rsidP="00991E72">
            <w:pPr>
              <w:keepLines/>
              <w:tabs>
                <w:tab w:val="left" w:pos="284"/>
              </w:tabs>
              <w:spacing w:before="40"/>
              <w:rPr>
                <w:rFonts w:eastAsia="Times New Roman" w:cs="Times New Roman"/>
                <w:b w:val="0"/>
                <w:spacing w:val="-2"/>
                <w:sz w:val="14"/>
                <w:szCs w:val="18"/>
                <w:lang w:eastAsia="pt-BR"/>
              </w:rPr>
            </w:pPr>
            <w:r w:rsidRPr="0044069E">
              <w:rPr>
                <w:rFonts w:eastAsia="Times New Roman" w:cs="Times New Roman"/>
                <w:b w:val="0"/>
                <w:spacing w:val="-2"/>
                <w:sz w:val="14"/>
                <w:szCs w:val="18"/>
                <w:lang w:eastAsia="pt-BR"/>
              </w:rPr>
              <w:t>Financial Treasury Bills</w:t>
            </w:r>
          </w:p>
        </w:tc>
        <w:tc>
          <w:tcPr>
            <w:tcW w:w="1276" w:type="dxa"/>
            <w:tcBorders>
              <w:top w:val="single" w:sz="2" w:space="0" w:color="1F4E79" w:themeColor="accent1" w:themeShade="80"/>
              <w:left w:val="nil"/>
              <w:bottom w:val="nil"/>
              <w:right w:val="nil"/>
            </w:tcBorders>
            <w:vAlign w:val="center"/>
          </w:tcPr>
          <w:p w14:paraId="243188AC"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w:t>
            </w:r>
          </w:p>
        </w:tc>
        <w:tc>
          <w:tcPr>
            <w:tcW w:w="708" w:type="dxa"/>
            <w:tcBorders>
              <w:top w:val="single" w:sz="2" w:space="0" w:color="1F4E79" w:themeColor="accent1" w:themeShade="80"/>
              <w:left w:val="nil"/>
              <w:bottom w:val="nil"/>
              <w:right w:val="nil"/>
            </w:tcBorders>
            <w:vAlign w:val="center"/>
          </w:tcPr>
          <w:p w14:paraId="1B54F9B7"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w:t>
            </w:r>
          </w:p>
        </w:tc>
        <w:tc>
          <w:tcPr>
            <w:tcW w:w="1134" w:type="dxa"/>
            <w:tcBorders>
              <w:top w:val="single" w:sz="2" w:space="0" w:color="1F4E79" w:themeColor="accent1" w:themeShade="80"/>
              <w:left w:val="nil"/>
              <w:bottom w:val="nil"/>
              <w:right w:val="nil"/>
            </w:tcBorders>
            <w:vAlign w:val="center"/>
          </w:tcPr>
          <w:p w14:paraId="25FCA30B"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w:t>
            </w:r>
          </w:p>
        </w:tc>
        <w:tc>
          <w:tcPr>
            <w:tcW w:w="709" w:type="dxa"/>
            <w:tcBorders>
              <w:top w:val="single" w:sz="2" w:space="0" w:color="1F4E79" w:themeColor="accent1" w:themeShade="80"/>
              <w:left w:val="nil"/>
              <w:bottom w:val="nil"/>
              <w:right w:val="nil"/>
            </w:tcBorders>
            <w:vAlign w:val="center"/>
          </w:tcPr>
          <w:p w14:paraId="6807B45C"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w:t>
            </w:r>
          </w:p>
        </w:tc>
        <w:tc>
          <w:tcPr>
            <w:tcW w:w="284" w:type="dxa"/>
            <w:tcBorders>
              <w:top w:val="single" w:sz="2" w:space="0" w:color="1F4E79" w:themeColor="accent1" w:themeShade="80"/>
              <w:bottom w:val="nil"/>
            </w:tcBorders>
            <w:vAlign w:val="center"/>
          </w:tcPr>
          <w:p w14:paraId="0A9F25AF"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34" w:type="dxa"/>
            <w:tcBorders>
              <w:top w:val="single" w:sz="2" w:space="0" w:color="1F4E79" w:themeColor="accent1" w:themeShade="80"/>
              <w:bottom w:val="nil"/>
            </w:tcBorders>
            <w:vAlign w:val="center"/>
          </w:tcPr>
          <w:p w14:paraId="16757282"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1,007,500</w:t>
            </w:r>
          </w:p>
        </w:tc>
        <w:tc>
          <w:tcPr>
            <w:tcW w:w="709" w:type="dxa"/>
            <w:tcBorders>
              <w:top w:val="single" w:sz="2" w:space="0" w:color="1F4E79" w:themeColor="accent1" w:themeShade="80"/>
              <w:bottom w:val="nil"/>
            </w:tcBorders>
            <w:vAlign w:val="center"/>
          </w:tcPr>
          <w:p w14:paraId="32B6A717"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26.38</w:t>
            </w:r>
          </w:p>
        </w:tc>
        <w:tc>
          <w:tcPr>
            <w:tcW w:w="1134" w:type="dxa"/>
            <w:tcBorders>
              <w:top w:val="single" w:sz="2" w:space="0" w:color="1F4E79" w:themeColor="accent1" w:themeShade="80"/>
              <w:bottom w:val="nil"/>
            </w:tcBorders>
            <w:vAlign w:val="center"/>
          </w:tcPr>
          <w:p w14:paraId="2434EA3C" w14:textId="77777777" w:rsidR="00991E72" w:rsidRPr="0044069E"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350,217</w:t>
            </w:r>
          </w:p>
        </w:tc>
        <w:tc>
          <w:tcPr>
            <w:tcW w:w="708" w:type="dxa"/>
            <w:gridSpan w:val="2"/>
            <w:tcBorders>
              <w:top w:val="single" w:sz="2" w:space="0" w:color="1F4E79" w:themeColor="accent1" w:themeShade="80"/>
              <w:bottom w:val="nil"/>
            </w:tcBorders>
            <w:vAlign w:val="center"/>
          </w:tcPr>
          <w:p w14:paraId="1D0AC136" w14:textId="77777777" w:rsidR="00991E72" w:rsidRPr="00523001" w:rsidRDefault="00991E72" w:rsidP="00991E72">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Times New Roman"/>
                <w:spacing w:val="-2"/>
                <w:sz w:val="14"/>
                <w:szCs w:val="18"/>
                <w:lang w:eastAsia="pt-BR"/>
              </w:rPr>
            </w:pPr>
            <w:r w:rsidRPr="0044069E">
              <w:rPr>
                <w:rFonts w:eastAsia="Times New Roman" w:cs="Times New Roman"/>
                <w:spacing w:val="-2"/>
                <w:sz w:val="14"/>
                <w:szCs w:val="18"/>
                <w:lang w:eastAsia="pt-BR"/>
              </w:rPr>
              <w:t>5.45</w:t>
            </w:r>
          </w:p>
        </w:tc>
      </w:tr>
      <w:tr w:rsidR="006A362F" w:rsidRPr="00D71583" w14:paraId="7D525FFB" w14:textId="77777777" w:rsidTr="006A36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2" w:space="0" w:color="1F4E79" w:themeColor="accent1" w:themeShade="80"/>
            </w:tcBorders>
            <w:shd w:val="clear" w:color="auto" w:fill="FFFFFF" w:themeFill="background1"/>
            <w:vAlign w:val="center"/>
          </w:tcPr>
          <w:p w14:paraId="47F8EC7F" w14:textId="77777777" w:rsidR="00991E72" w:rsidRPr="00D71583" w:rsidRDefault="00991E72" w:rsidP="00991E72">
            <w:pPr>
              <w:keepLines/>
              <w:tabs>
                <w:tab w:val="left" w:pos="284"/>
              </w:tabs>
              <w:spacing w:before="40"/>
              <w:ind w:left="284" w:hanging="284"/>
              <w:rPr>
                <w:rFonts w:eastAsia="Times New Roman" w:cs="Arial"/>
                <w:b w:val="0"/>
                <w:i/>
                <w:spacing w:val="-2"/>
                <w:sz w:val="14"/>
                <w:szCs w:val="18"/>
                <w:lang w:val="en-US" w:eastAsia="pt-BR"/>
              </w:rPr>
            </w:pPr>
            <w:r w:rsidRPr="00D71583">
              <w:rPr>
                <w:rFonts w:eastAsia="Times New Roman" w:cs="Times New Roman"/>
                <w:spacing w:val="-2"/>
                <w:sz w:val="14"/>
                <w:szCs w:val="18"/>
                <w:lang w:val="en-US" w:eastAsia="pt-BR"/>
              </w:rPr>
              <w:t>Total</w:t>
            </w:r>
          </w:p>
        </w:tc>
        <w:tc>
          <w:tcPr>
            <w:tcW w:w="1276" w:type="dxa"/>
            <w:tcBorders>
              <w:top w:val="nil"/>
              <w:left w:val="nil"/>
              <w:bottom w:val="single" w:sz="2" w:space="0" w:color="1F4E79" w:themeColor="accent1" w:themeShade="80"/>
              <w:right w:val="nil"/>
            </w:tcBorders>
            <w:shd w:val="clear" w:color="auto" w:fill="FFFFFF" w:themeFill="background1"/>
            <w:vAlign w:val="center"/>
          </w:tcPr>
          <w:p w14:paraId="3395B1AF" w14:textId="77777777" w:rsidR="00991E72" w:rsidRPr="00D71583"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48,</w:t>
            </w:r>
            <w:r w:rsidRPr="00523001">
              <w:rPr>
                <w:rFonts w:eastAsia="Times New Roman" w:cs="Arial"/>
                <w:b/>
                <w:bCs/>
                <w:spacing w:val="-2"/>
                <w:sz w:val="14"/>
                <w:szCs w:val="14"/>
                <w:lang w:eastAsia="pt-BR"/>
              </w:rPr>
              <w:t>245</w:t>
            </w:r>
          </w:p>
        </w:tc>
        <w:tc>
          <w:tcPr>
            <w:tcW w:w="708" w:type="dxa"/>
            <w:tcBorders>
              <w:top w:val="nil"/>
              <w:left w:val="nil"/>
              <w:bottom w:val="single" w:sz="2" w:space="0" w:color="1F4E79" w:themeColor="accent1" w:themeShade="80"/>
              <w:right w:val="nil"/>
            </w:tcBorders>
            <w:shd w:val="clear" w:color="auto" w:fill="FFFFFF" w:themeFill="background1"/>
            <w:vAlign w:val="center"/>
          </w:tcPr>
          <w:p w14:paraId="10CE4F7C" w14:textId="77777777" w:rsidR="00991E72" w:rsidRPr="00D71583"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100.</w:t>
            </w:r>
            <w:r w:rsidRPr="00523001">
              <w:rPr>
                <w:rFonts w:eastAsia="Times New Roman" w:cs="Arial"/>
                <w:b/>
                <w:bCs/>
                <w:spacing w:val="-2"/>
                <w:sz w:val="14"/>
                <w:szCs w:val="14"/>
                <w:lang w:eastAsia="pt-BR"/>
              </w:rPr>
              <w:t>00</w:t>
            </w:r>
          </w:p>
        </w:tc>
        <w:tc>
          <w:tcPr>
            <w:tcW w:w="1134" w:type="dxa"/>
            <w:tcBorders>
              <w:top w:val="nil"/>
              <w:left w:val="nil"/>
              <w:bottom w:val="single" w:sz="2" w:space="0" w:color="1F4E79" w:themeColor="accent1" w:themeShade="80"/>
              <w:right w:val="nil"/>
            </w:tcBorders>
            <w:shd w:val="clear" w:color="auto" w:fill="FFFFFF" w:themeFill="background1"/>
            <w:vAlign w:val="center"/>
          </w:tcPr>
          <w:p w14:paraId="55CBF168"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58,</w:t>
            </w:r>
            <w:r w:rsidRPr="00523001">
              <w:rPr>
                <w:rFonts w:eastAsia="Times New Roman" w:cs="Arial"/>
                <w:b/>
                <w:bCs/>
                <w:spacing w:val="-2"/>
                <w:sz w:val="14"/>
                <w:szCs w:val="14"/>
                <w:lang w:eastAsia="pt-BR"/>
              </w:rPr>
              <w:t>576</w:t>
            </w:r>
          </w:p>
        </w:tc>
        <w:tc>
          <w:tcPr>
            <w:tcW w:w="709" w:type="dxa"/>
            <w:tcBorders>
              <w:top w:val="nil"/>
              <w:left w:val="nil"/>
              <w:bottom w:val="single" w:sz="2" w:space="0" w:color="1F4E79" w:themeColor="accent1" w:themeShade="80"/>
              <w:right w:val="nil"/>
            </w:tcBorders>
            <w:shd w:val="clear" w:color="auto" w:fill="FFFFFF" w:themeFill="background1"/>
            <w:vAlign w:val="center"/>
          </w:tcPr>
          <w:p w14:paraId="0BF906D0"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100.</w:t>
            </w:r>
            <w:r w:rsidRPr="00523001">
              <w:rPr>
                <w:rFonts w:eastAsia="Times New Roman" w:cs="Arial"/>
                <w:b/>
                <w:bCs/>
                <w:spacing w:val="-2"/>
                <w:sz w:val="14"/>
                <w:szCs w:val="14"/>
                <w:lang w:eastAsia="pt-BR"/>
              </w:rPr>
              <w:t>00</w:t>
            </w:r>
          </w:p>
        </w:tc>
        <w:tc>
          <w:tcPr>
            <w:tcW w:w="284" w:type="dxa"/>
            <w:tcBorders>
              <w:top w:val="nil"/>
              <w:bottom w:val="single" w:sz="2" w:space="0" w:color="1F4E79" w:themeColor="accent1" w:themeShade="80"/>
            </w:tcBorders>
            <w:shd w:val="clear" w:color="auto" w:fill="FFFFFF" w:themeFill="background1"/>
            <w:vAlign w:val="center"/>
          </w:tcPr>
          <w:p w14:paraId="6B871FD8" w14:textId="77777777" w:rsidR="00991E72" w:rsidRPr="00D71583"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p>
        </w:tc>
        <w:tc>
          <w:tcPr>
            <w:tcW w:w="1134" w:type="dxa"/>
            <w:tcBorders>
              <w:top w:val="nil"/>
              <w:bottom w:val="single" w:sz="2" w:space="0" w:color="1F4E79" w:themeColor="accent1" w:themeShade="80"/>
            </w:tcBorders>
            <w:shd w:val="clear" w:color="auto" w:fill="FFFFFF" w:themeFill="background1"/>
            <w:vAlign w:val="center"/>
          </w:tcPr>
          <w:p w14:paraId="39DD89D8"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523001">
              <w:rPr>
                <w:rFonts w:eastAsia="Times New Roman" w:cs="Arial"/>
                <w:b/>
                <w:bCs/>
                <w:spacing w:val="-2"/>
                <w:sz w:val="14"/>
                <w:szCs w:val="14"/>
                <w:lang w:eastAsia="pt-BR"/>
              </w:rPr>
              <w:t>3</w:t>
            </w:r>
            <w:r>
              <w:rPr>
                <w:rFonts w:eastAsia="Times New Roman" w:cs="Arial"/>
                <w:b/>
                <w:bCs/>
                <w:spacing w:val="-2"/>
                <w:sz w:val="14"/>
                <w:szCs w:val="14"/>
                <w:lang w:eastAsia="pt-BR"/>
              </w:rPr>
              <w:t>,</w:t>
            </w:r>
            <w:r w:rsidRPr="00523001">
              <w:rPr>
                <w:rFonts w:eastAsia="Times New Roman" w:cs="Arial"/>
                <w:b/>
                <w:bCs/>
                <w:spacing w:val="-2"/>
                <w:sz w:val="14"/>
                <w:szCs w:val="14"/>
                <w:lang w:eastAsia="pt-BR"/>
              </w:rPr>
              <w:t>818</w:t>
            </w:r>
            <w:r>
              <w:rPr>
                <w:rFonts w:eastAsia="Times New Roman" w:cs="Arial"/>
                <w:b/>
                <w:bCs/>
                <w:spacing w:val="-2"/>
                <w:sz w:val="14"/>
                <w:szCs w:val="14"/>
                <w:lang w:eastAsia="pt-BR"/>
              </w:rPr>
              <w:t>,</w:t>
            </w:r>
            <w:r w:rsidRPr="00523001">
              <w:rPr>
                <w:rFonts w:eastAsia="Times New Roman" w:cs="Arial"/>
                <w:b/>
                <w:bCs/>
                <w:spacing w:val="-2"/>
                <w:sz w:val="14"/>
                <w:szCs w:val="14"/>
                <w:lang w:eastAsia="pt-BR"/>
              </w:rPr>
              <w:t>748</w:t>
            </w:r>
          </w:p>
        </w:tc>
        <w:tc>
          <w:tcPr>
            <w:tcW w:w="709" w:type="dxa"/>
            <w:tcBorders>
              <w:top w:val="nil"/>
              <w:bottom w:val="single" w:sz="2" w:space="0" w:color="1F4E79" w:themeColor="accent1" w:themeShade="80"/>
            </w:tcBorders>
            <w:shd w:val="clear" w:color="auto" w:fill="FFFFFF" w:themeFill="background1"/>
            <w:vAlign w:val="center"/>
          </w:tcPr>
          <w:p w14:paraId="02FDFE5C"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100.</w:t>
            </w:r>
            <w:r w:rsidRPr="00523001">
              <w:rPr>
                <w:rFonts w:eastAsia="Times New Roman" w:cs="Arial"/>
                <w:b/>
                <w:bCs/>
                <w:spacing w:val="-2"/>
                <w:sz w:val="14"/>
                <w:szCs w:val="14"/>
                <w:lang w:eastAsia="pt-BR"/>
              </w:rPr>
              <w:t>00</w:t>
            </w:r>
          </w:p>
        </w:tc>
        <w:tc>
          <w:tcPr>
            <w:tcW w:w="1134" w:type="dxa"/>
            <w:tcBorders>
              <w:top w:val="nil"/>
              <w:bottom w:val="single" w:sz="2" w:space="0" w:color="1F4E79" w:themeColor="accent1" w:themeShade="80"/>
            </w:tcBorders>
            <w:shd w:val="clear" w:color="auto" w:fill="FFFFFF" w:themeFill="background1"/>
            <w:vAlign w:val="center"/>
          </w:tcPr>
          <w:p w14:paraId="6513CF8F"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523001">
              <w:rPr>
                <w:rFonts w:eastAsia="Times New Roman" w:cs="Arial"/>
                <w:b/>
                <w:bCs/>
                <w:spacing w:val="-2"/>
                <w:sz w:val="14"/>
                <w:szCs w:val="14"/>
                <w:lang w:eastAsia="pt-BR"/>
              </w:rPr>
              <w:t>6</w:t>
            </w:r>
            <w:r>
              <w:rPr>
                <w:rFonts w:eastAsia="Times New Roman" w:cs="Arial"/>
                <w:b/>
                <w:bCs/>
                <w:spacing w:val="-2"/>
                <w:sz w:val="14"/>
                <w:szCs w:val="14"/>
                <w:lang w:eastAsia="pt-BR"/>
              </w:rPr>
              <w:t>,</w:t>
            </w:r>
            <w:r w:rsidRPr="00523001">
              <w:rPr>
                <w:rFonts w:eastAsia="Times New Roman" w:cs="Arial"/>
                <w:b/>
                <w:bCs/>
                <w:spacing w:val="-2"/>
                <w:sz w:val="14"/>
                <w:szCs w:val="14"/>
                <w:lang w:eastAsia="pt-BR"/>
              </w:rPr>
              <w:t>423</w:t>
            </w:r>
            <w:r>
              <w:rPr>
                <w:rFonts w:eastAsia="Times New Roman" w:cs="Arial"/>
                <w:b/>
                <w:bCs/>
                <w:spacing w:val="-2"/>
                <w:sz w:val="14"/>
                <w:szCs w:val="14"/>
                <w:lang w:eastAsia="pt-BR"/>
              </w:rPr>
              <w:t>,</w:t>
            </w:r>
            <w:r w:rsidRPr="00523001">
              <w:rPr>
                <w:rFonts w:eastAsia="Times New Roman" w:cs="Arial"/>
                <w:b/>
                <w:bCs/>
                <w:spacing w:val="-2"/>
                <w:sz w:val="14"/>
                <w:szCs w:val="14"/>
                <w:lang w:eastAsia="pt-BR"/>
              </w:rPr>
              <w:t>268</w:t>
            </w:r>
          </w:p>
        </w:tc>
        <w:tc>
          <w:tcPr>
            <w:tcW w:w="708" w:type="dxa"/>
            <w:gridSpan w:val="2"/>
            <w:tcBorders>
              <w:top w:val="nil"/>
              <w:bottom w:val="single" w:sz="2" w:space="0" w:color="1F4E79" w:themeColor="accent1" w:themeShade="80"/>
            </w:tcBorders>
            <w:shd w:val="clear" w:color="auto" w:fill="FFFFFF" w:themeFill="background1"/>
            <w:vAlign w:val="center"/>
          </w:tcPr>
          <w:p w14:paraId="440E8D5F" w14:textId="77777777" w:rsidR="00991E72" w:rsidRPr="00523001" w:rsidRDefault="00991E72" w:rsidP="00991E72">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100.</w:t>
            </w:r>
            <w:r w:rsidRPr="00523001">
              <w:rPr>
                <w:rFonts w:eastAsia="Times New Roman" w:cs="Arial"/>
                <w:b/>
                <w:bCs/>
                <w:spacing w:val="-2"/>
                <w:sz w:val="14"/>
                <w:szCs w:val="14"/>
                <w:lang w:eastAsia="pt-BR"/>
              </w:rPr>
              <w:t>00</w:t>
            </w:r>
          </w:p>
        </w:tc>
      </w:tr>
    </w:tbl>
    <w:p w14:paraId="5C3924A8" w14:textId="77777777" w:rsidR="00991E72" w:rsidRPr="00AB1A73" w:rsidRDefault="00991E72" w:rsidP="00C20063">
      <w:pPr>
        <w:pStyle w:val="07-Legenda1"/>
        <w:numPr>
          <w:ilvl w:val="0"/>
          <w:numId w:val="29"/>
        </w:numPr>
        <w:tabs>
          <w:tab w:val="clear" w:pos="284"/>
        </w:tabs>
        <w:spacing w:line="240" w:lineRule="auto"/>
        <w:ind w:left="284" w:hanging="284"/>
        <w:rPr>
          <w:rFonts w:ascii="Arial" w:hAnsi="Arial" w:cs="Arial"/>
          <w:szCs w:val="14"/>
          <w:lang w:val="en"/>
        </w:rPr>
      </w:pPr>
      <w:r w:rsidRPr="00AB1A73">
        <w:rPr>
          <w:rFonts w:ascii="Arial" w:hAnsi="Arial" w:cs="Arial"/>
          <w:szCs w:val="14"/>
          <w:lang w:val="en-US"/>
        </w:rPr>
        <w:t xml:space="preserve">Does not include the amount invested in </w:t>
      </w:r>
      <w:r w:rsidRPr="00AB1A73">
        <w:rPr>
          <w:rFonts w:ascii="Arial" w:hAnsi="Arial" w:cs="Arial"/>
          <w:szCs w:val="14"/>
          <w:lang w:val="en"/>
        </w:rPr>
        <w:t>Equity Investment Funds (FIP)</w:t>
      </w:r>
      <w:r>
        <w:rPr>
          <w:rFonts w:ascii="Arial" w:hAnsi="Arial" w:cs="Arial"/>
          <w:szCs w:val="14"/>
          <w:lang w:val="en"/>
        </w:rPr>
        <w:t>,</w:t>
      </w:r>
      <w:r w:rsidRPr="00AB1A73">
        <w:rPr>
          <w:rFonts w:ascii="Arial" w:hAnsi="Arial" w:cs="Arial"/>
          <w:szCs w:val="14"/>
          <w:lang w:val="en"/>
        </w:rPr>
        <w:t xml:space="preserve"> with a total amount of </w:t>
      </w:r>
      <w:r>
        <w:rPr>
          <w:rFonts w:ascii="Arial" w:hAnsi="Arial" w:cs="Arial"/>
          <w:szCs w:val="14"/>
          <w:lang w:val="en"/>
        </w:rPr>
        <w:t>R$</w:t>
      </w:r>
      <w:r w:rsidRPr="00AB1A73">
        <w:rPr>
          <w:rFonts w:ascii="Arial" w:hAnsi="Arial" w:cs="Arial"/>
          <w:szCs w:val="14"/>
          <w:lang w:val="en"/>
        </w:rPr>
        <w:t xml:space="preserve"> </w:t>
      </w:r>
      <w:r>
        <w:rPr>
          <w:rFonts w:cs="Arial"/>
          <w:color w:val="000000" w:themeColor="text1"/>
          <w:szCs w:val="14"/>
        </w:rPr>
        <w:t xml:space="preserve">17,246 </w:t>
      </w:r>
      <w:r w:rsidRPr="00AB1A73">
        <w:rPr>
          <w:rFonts w:ascii="Arial" w:hAnsi="Arial" w:cs="Arial"/>
          <w:szCs w:val="14"/>
          <w:lang w:val="en"/>
        </w:rPr>
        <w:t xml:space="preserve">thousand on </w:t>
      </w:r>
      <w:r>
        <w:rPr>
          <w:rFonts w:ascii="Arial" w:hAnsi="Arial" w:cs="Arial"/>
          <w:szCs w:val="14"/>
          <w:lang w:val="en"/>
        </w:rPr>
        <w:t xml:space="preserve">Mar </w:t>
      </w:r>
      <w:r w:rsidRPr="00AB1A73">
        <w:rPr>
          <w:rFonts w:ascii="Arial" w:hAnsi="Arial" w:cs="Arial"/>
          <w:szCs w:val="14"/>
          <w:lang w:val="en"/>
        </w:rPr>
        <w:t>31</w:t>
      </w:r>
      <w:r>
        <w:rPr>
          <w:rFonts w:ascii="Arial" w:hAnsi="Arial" w:cs="Arial"/>
          <w:szCs w:val="14"/>
          <w:lang w:val="en"/>
        </w:rPr>
        <w:t xml:space="preserve">, </w:t>
      </w:r>
      <w:r w:rsidRPr="00AB1A73">
        <w:rPr>
          <w:rFonts w:ascii="Arial" w:hAnsi="Arial" w:cs="Arial"/>
          <w:szCs w:val="14"/>
          <w:lang w:val="en"/>
        </w:rPr>
        <w:t>202</w:t>
      </w:r>
      <w:r>
        <w:rPr>
          <w:rFonts w:ascii="Arial" w:hAnsi="Arial" w:cs="Arial"/>
          <w:szCs w:val="14"/>
          <w:lang w:val="en"/>
        </w:rPr>
        <w:t>3</w:t>
      </w:r>
      <w:r w:rsidRPr="00AB1A73">
        <w:rPr>
          <w:rFonts w:ascii="Arial" w:hAnsi="Arial" w:cs="Arial"/>
          <w:szCs w:val="14"/>
          <w:lang w:val="en"/>
        </w:rPr>
        <w:t xml:space="preserve"> </w:t>
      </w:r>
      <w:r>
        <w:rPr>
          <w:rFonts w:ascii="Arial" w:hAnsi="Arial" w:cs="Arial"/>
          <w:szCs w:val="14"/>
          <w:lang w:val="en"/>
        </w:rPr>
        <w:t>(R$</w:t>
      </w:r>
      <w:r w:rsidRPr="00AB1A73">
        <w:rPr>
          <w:rFonts w:ascii="Arial" w:hAnsi="Arial" w:cs="Arial"/>
          <w:szCs w:val="14"/>
          <w:lang w:val="en"/>
        </w:rPr>
        <w:t xml:space="preserve"> </w:t>
      </w:r>
      <w:r>
        <w:rPr>
          <w:rFonts w:cs="Arial"/>
          <w:color w:val="000000" w:themeColor="text1"/>
          <w:szCs w:val="14"/>
        </w:rPr>
        <w:t xml:space="preserve">18,064 </w:t>
      </w:r>
      <w:r w:rsidRPr="00AB1A73">
        <w:rPr>
          <w:rFonts w:ascii="Arial" w:hAnsi="Arial" w:cs="Arial"/>
          <w:szCs w:val="14"/>
          <w:lang w:val="en"/>
        </w:rPr>
        <w:t xml:space="preserve">on </w:t>
      </w:r>
      <w:r>
        <w:rPr>
          <w:rFonts w:ascii="Arial" w:hAnsi="Arial" w:cs="Arial"/>
          <w:szCs w:val="14"/>
          <w:lang w:val="en"/>
        </w:rPr>
        <w:t xml:space="preserve">Dec </w:t>
      </w:r>
      <w:r w:rsidRPr="00AB1A73">
        <w:rPr>
          <w:rFonts w:ascii="Arial" w:hAnsi="Arial" w:cs="Arial"/>
          <w:szCs w:val="14"/>
          <w:lang w:val="en"/>
        </w:rPr>
        <w:t>31</w:t>
      </w:r>
      <w:r>
        <w:rPr>
          <w:rFonts w:ascii="Arial" w:hAnsi="Arial" w:cs="Arial"/>
          <w:szCs w:val="14"/>
          <w:lang w:val="en"/>
        </w:rPr>
        <w:t xml:space="preserve">, </w:t>
      </w:r>
      <w:r w:rsidRPr="00AB1A73">
        <w:rPr>
          <w:rFonts w:ascii="Arial" w:hAnsi="Arial" w:cs="Arial"/>
          <w:szCs w:val="14"/>
          <w:lang w:val="en"/>
        </w:rPr>
        <w:t>202</w:t>
      </w:r>
      <w:r>
        <w:rPr>
          <w:rFonts w:ascii="Arial" w:hAnsi="Arial" w:cs="Arial"/>
          <w:szCs w:val="14"/>
          <w:lang w:val="en"/>
        </w:rPr>
        <w:t>2)</w:t>
      </w:r>
      <w:r w:rsidRPr="00AB1A73">
        <w:rPr>
          <w:rFonts w:ascii="Arial" w:hAnsi="Arial" w:cs="Arial"/>
          <w:color w:val="000000" w:themeColor="text1"/>
          <w:szCs w:val="14"/>
        </w:rPr>
        <w:t>.</w:t>
      </w:r>
    </w:p>
    <w:p w14:paraId="17402045" w14:textId="77777777" w:rsidR="00991E72" w:rsidRPr="00AB1A73" w:rsidRDefault="00991E72" w:rsidP="00991E72">
      <w:pPr>
        <w:pStyle w:val="05-Textonormal"/>
        <w:rPr>
          <w:b/>
          <w:color w:val="1F4E79" w:themeColor="accent1" w:themeShade="80"/>
        </w:rPr>
      </w:pPr>
      <w:r w:rsidRPr="00AB1A73">
        <w:rPr>
          <w:b/>
          <w:color w:val="1F4E79" w:themeColor="accent1" w:themeShade="80"/>
        </w:rPr>
        <w:t>a.4) Liquidity Risk and capital management</w:t>
      </w:r>
    </w:p>
    <w:p w14:paraId="1222A560" w14:textId="77777777" w:rsidR="00991E72" w:rsidRPr="00993FCA" w:rsidRDefault="00991E72" w:rsidP="00991E72">
      <w:pPr>
        <w:pStyle w:val="05-Textonormal"/>
        <w:rPr>
          <w:lang w:val="en-US"/>
        </w:rPr>
      </w:pPr>
      <w:r w:rsidRPr="00993FCA">
        <w:rPr>
          <w:lang w:val="en-US"/>
        </w:rPr>
        <w:t>Liquidity risk is defined by the Group as the possibility of negative impacts due to the lack of resources to honor its obligations due to the mismatch between assets and liabilities</w:t>
      </w:r>
    </w:p>
    <w:p w14:paraId="562F1117" w14:textId="77777777" w:rsidR="00991E72" w:rsidRPr="00FF21C9" w:rsidRDefault="00991E72" w:rsidP="00991E72">
      <w:pPr>
        <w:pStyle w:val="05-Textonormal"/>
        <w:rPr>
          <w:lang w:val="en-US"/>
        </w:rPr>
      </w:pPr>
      <w:r w:rsidRPr="00993FCA">
        <w:rPr>
          <w:lang w:val="en-US"/>
        </w:rPr>
        <w:t xml:space="preserve">BB Seguridade and its subsidiaries maintain assets with a high degree of conversion in cash to cover liabilities and other expected allocations to short term. </w:t>
      </w:r>
      <w:r w:rsidRPr="00993FCA">
        <w:rPr>
          <w:lang w:val="en"/>
        </w:rPr>
        <w:t>The parameters used are defined by the Financial Investment Policy and the Capital Plan.</w:t>
      </w:r>
    </w:p>
    <w:p w14:paraId="66AF888E" w14:textId="77777777" w:rsidR="00991E72" w:rsidRPr="00993FCA" w:rsidRDefault="00991E72" w:rsidP="00991E72">
      <w:pPr>
        <w:pStyle w:val="05-Textonormal"/>
        <w:rPr>
          <w:lang w:val="en-US"/>
        </w:rPr>
      </w:pPr>
      <w:r w:rsidRPr="00993FCA">
        <w:rPr>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77168A52" w14:textId="77777777" w:rsidR="00991E72" w:rsidRPr="00993FCA" w:rsidRDefault="00991E72" w:rsidP="00991E72">
      <w:pPr>
        <w:pStyle w:val="05-Textonormal"/>
        <w:rPr>
          <w:lang w:val="en-US" w:eastAsia="en-US"/>
        </w:rPr>
      </w:pPr>
      <w:r w:rsidRPr="00993FCA">
        <w:rPr>
          <w:lang w:val="en-US"/>
        </w:rPr>
        <w:t>The BB Seguridade and its subsidiaries main liabilities refer to administrative costs, payment of taxes and dividends, as presented below</w:t>
      </w:r>
      <w:r w:rsidRPr="00993FCA">
        <w:rPr>
          <w:lang w:val="en-US" w:eastAsia="en-US"/>
        </w:rPr>
        <w:t>.</w:t>
      </w:r>
      <w:bookmarkStart w:id="25" w:name="_Hlk109394925"/>
    </w:p>
    <w:p w14:paraId="36C56AB8" w14:textId="77777777" w:rsidR="00991E72" w:rsidRPr="00993FCA" w:rsidRDefault="00991E72" w:rsidP="00991E72">
      <w:pPr>
        <w:pStyle w:val="06-Rmil"/>
        <w:rPr>
          <w:lang w:val="en-US"/>
        </w:rPr>
      </w:pPr>
      <w:r w:rsidRPr="00993FCA">
        <w:rPr>
          <w:lang w:val="en-US"/>
        </w:rPr>
        <w:lastRenderedPageBreak/>
        <w:t>R$ thousand</w:t>
      </w:r>
    </w:p>
    <w:tbl>
      <w:tblPr>
        <w:tblStyle w:val="TabeladeLista6Colorida-nfase5"/>
        <w:tblW w:w="9840" w:type="dxa"/>
        <w:jc w:val="center"/>
        <w:tblLayout w:type="fixed"/>
        <w:tblLook w:val="04A0" w:firstRow="1" w:lastRow="0" w:firstColumn="1" w:lastColumn="0" w:noHBand="0" w:noVBand="1"/>
      </w:tblPr>
      <w:tblGrid>
        <w:gridCol w:w="2117"/>
        <w:gridCol w:w="718"/>
        <w:gridCol w:w="993"/>
        <w:gridCol w:w="1275"/>
        <w:gridCol w:w="1418"/>
        <w:gridCol w:w="283"/>
        <w:gridCol w:w="1134"/>
        <w:gridCol w:w="1902"/>
      </w:tblGrid>
      <w:tr w:rsidR="00991E72" w:rsidRPr="00BC1030" w14:paraId="333C47E5" w14:textId="77777777" w:rsidTr="00991E72">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tcPr>
          <w:p w14:paraId="4E9BE34B" w14:textId="77777777" w:rsidR="00991E72" w:rsidRPr="00BC1030" w:rsidRDefault="00991E72" w:rsidP="00991E72">
            <w:pPr>
              <w:keepNext/>
              <w:jc w:val="center"/>
              <w:rPr>
                <w:rFonts w:cs="Arial"/>
                <w:color w:val="auto"/>
                <w:sz w:val="14"/>
                <w:szCs w:val="14"/>
              </w:rPr>
            </w:pPr>
          </w:p>
        </w:tc>
        <w:tc>
          <w:tcPr>
            <w:tcW w:w="7723" w:type="dxa"/>
            <w:gridSpan w:val="7"/>
            <w:tcBorders>
              <w:top w:val="single" w:sz="2" w:space="0" w:color="1F4E79" w:themeColor="accent1" w:themeShade="80"/>
              <w:bottom w:val="single" w:sz="2" w:space="0" w:color="1F4E79" w:themeColor="accent1" w:themeShade="80"/>
            </w:tcBorders>
            <w:shd w:val="clear" w:color="auto" w:fill="auto"/>
            <w:vAlign w:val="center"/>
          </w:tcPr>
          <w:p w14:paraId="4D6B94E7" w14:textId="77777777" w:rsidR="00991E72" w:rsidRPr="00BC1030" w:rsidRDefault="00991E72" w:rsidP="00991E72">
            <w:pPr>
              <w:jc w:val="center"/>
              <w:cnfStyle w:val="100000000000" w:firstRow="1" w:lastRow="0" w:firstColumn="0" w:lastColumn="0" w:oddVBand="0" w:evenVBand="0" w:oddHBand="0" w:evenHBand="0" w:firstRowFirstColumn="0" w:firstRowLastColumn="0" w:lastRowFirstColumn="0" w:lastRowLastColumn="0"/>
              <w:rPr>
                <w:rFonts w:cs="Arial"/>
                <w:color w:val="auto"/>
                <w:sz w:val="14"/>
                <w:szCs w:val="14"/>
              </w:rPr>
            </w:pPr>
            <w:r w:rsidRPr="00BC1030">
              <w:rPr>
                <w:rFonts w:cs="Arial"/>
                <w:sz w:val="14"/>
                <w:szCs w:val="14"/>
              </w:rPr>
              <w:t>Parent</w:t>
            </w:r>
          </w:p>
        </w:tc>
      </w:tr>
      <w:tr w:rsidR="00991E72" w:rsidRPr="00BC1030" w14:paraId="242E1737"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4E79" w:themeColor="accent1" w:themeShade="80"/>
              <w:bottom w:val="nil"/>
            </w:tcBorders>
            <w:shd w:val="clear" w:color="auto" w:fill="auto"/>
            <w:vAlign w:val="center"/>
          </w:tcPr>
          <w:p w14:paraId="2A9EFE33" w14:textId="77777777" w:rsidR="00991E72" w:rsidRPr="00BC1030" w:rsidRDefault="00991E72" w:rsidP="00991E72">
            <w:pPr>
              <w:keepNext/>
              <w:rPr>
                <w:rFonts w:cs="Arial"/>
                <w:color w:val="auto"/>
                <w:sz w:val="14"/>
                <w:szCs w:val="14"/>
              </w:rPr>
            </w:pPr>
            <w:r w:rsidRPr="00BC1030">
              <w:rPr>
                <w:rFonts w:cs="Arial"/>
                <w:color w:val="auto"/>
                <w:sz w:val="14"/>
                <w:szCs w:val="14"/>
              </w:rPr>
              <w:t>Liquidy Risk</w:t>
            </w:r>
          </w:p>
        </w:tc>
        <w:tc>
          <w:tcPr>
            <w:tcW w:w="993" w:type="dxa"/>
            <w:tcBorders>
              <w:top w:val="single" w:sz="2" w:space="0" w:color="1F4E79" w:themeColor="accent1" w:themeShade="80"/>
              <w:bottom w:val="nil"/>
            </w:tcBorders>
            <w:shd w:val="clear" w:color="auto" w:fill="auto"/>
            <w:vAlign w:val="center"/>
          </w:tcPr>
          <w:p w14:paraId="308AB47C"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543AB73D"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Pr>
                <w:rFonts w:cs="Arial"/>
                <w:b/>
                <w:sz w:val="14"/>
                <w:szCs w:val="18"/>
              </w:rPr>
              <w:t>Mar</w:t>
            </w:r>
            <w:r w:rsidRPr="00BC1030">
              <w:rPr>
                <w:rFonts w:cs="Arial"/>
                <w:b/>
                <w:sz w:val="14"/>
                <w:szCs w:val="18"/>
              </w:rPr>
              <w:t xml:space="preserve"> 31, 202</w:t>
            </w:r>
            <w:r>
              <w:rPr>
                <w:rFonts w:cs="Arial"/>
                <w:b/>
                <w:sz w:val="14"/>
                <w:szCs w:val="18"/>
              </w:rPr>
              <w:t>3</w:t>
            </w:r>
          </w:p>
        </w:tc>
        <w:tc>
          <w:tcPr>
            <w:tcW w:w="283" w:type="dxa"/>
            <w:tcBorders>
              <w:top w:val="single" w:sz="2" w:space="0" w:color="1F4E79" w:themeColor="accent1" w:themeShade="80"/>
              <w:bottom w:val="nil"/>
            </w:tcBorders>
            <w:shd w:val="clear" w:color="auto" w:fill="auto"/>
            <w:vAlign w:val="center"/>
          </w:tcPr>
          <w:p w14:paraId="6B946FDB"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3036" w:type="dxa"/>
            <w:gridSpan w:val="2"/>
            <w:tcBorders>
              <w:top w:val="single" w:sz="2" w:space="0" w:color="1F4E79" w:themeColor="accent1" w:themeShade="80"/>
              <w:bottom w:val="single" w:sz="2" w:space="0" w:color="1F4E79" w:themeColor="accent1" w:themeShade="80"/>
            </w:tcBorders>
            <w:shd w:val="clear" w:color="auto" w:fill="auto"/>
            <w:vAlign w:val="center"/>
          </w:tcPr>
          <w:p w14:paraId="38941673"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w:t>
            </w:r>
            <w:r>
              <w:rPr>
                <w:rFonts w:cs="Arial"/>
                <w:b/>
                <w:sz w:val="14"/>
                <w:szCs w:val="18"/>
              </w:rPr>
              <w:t>2</w:t>
            </w:r>
          </w:p>
        </w:tc>
      </w:tr>
      <w:tr w:rsidR="00991E72" w:rsidRPr="00BC1030" w14:paraId="14EB8117"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4E79" w:themeColor="accent1" w:themeShade="80"/>
            </w:tcBorders>
            <w:shd w:val="clear" w:color="auto" w:fill="auto"/>
          </w:tcPr>
          <w:p w14:paraId="173D5FDE" w14:textId="77777777" w:rsidR="00991E72" w:rsidRPr="00BC1030" w:rsidRDefault="00991E72" w:rsidP="00991E72">
            <w:pPr>
              <w:pStyle w:val="08-Tabelageral"/>
              <w:jc w:val="left"/>
              <w:rPr>
                <w:rFonts w:cs="Arial"/>
                <w:b w:val="0"/>
                <w:color w:val="auto"/>
                <w:szCs w:val="14"/>
              </w:rPr>
            </w:pPr>
          </w:p>
        </w:tc>
        <w:tc>
          <w:tcPr>
            <w:tcW w:w="993" w:type="dxa"/>
            <w:tcBorders>
              <w:top w:val="nil"/>
              <w:bottom w:val="single" w:sz="2" w:space="0" w:color="1F4E79" w:themeColor="accent1" w:themeShade="80"/>
            </w:tcBorders>
            <w:shd w:val="clear" w:color="auto" w:fill="auto"/>
            <w:vAlign w:val="center"/>
          </w:tcPr>
          <w:p w14:paraId="289374AF" w14:textId="77777777" w:rsidR="00991E72" w:rsidRPr="00BC1030" w:rsidRDefault="00991E72" w:rsidP="00991E72">
            <w:pPr>
              <w:keepNext/>
              <w:jc w:val="center"/>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Note</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3BF0176B"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4BF4668"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year</w:t>
            </w:r>
          </w:p>
        </w:tc>
        <w:tc>
          <w:tcPr>
            <w:tcW w:w="283" w:type="dxa"/>
            <w:tcBorders>
              <w:top w:val="nil"/>
              <w:bottom w:val="single" w:sz="2" w:space="0" w:color="1F4E79" w:themeColor="accent1" w:themeShade="80"/>
            </w:tcBorders>
            <w:shd w:val="clear" w:color="auto" w:fill="auto"/>
            <w:vAlign w:val="center"/>
          </w:tcPr>
          <w:p w14:paraId="38FCB1CA"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13D5A17"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902" w:type="dxa"/>
            <w:tcBorders>
              <w:top w:val="single" w:sz="2" w:space="0" w:color="1F4E79" w:themeColor="accent1" w:themeShade="80"/>
              <w:bottom w:val="single" w:sz="2" w:space="0" w:color="1F4E79" w:themeColor="accent1" w:themeShade="80"/>
            </w:tcBorders>
            <w:shd w:val="clear" w:color="auto" w:fill="auto"/>
            <w:vAlign w:val="center"/>
          </w:tcPr>
          <w:p w14:paraId="39B5F7AD"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w:t>
            </w:r>
            <w:r>
              <w:rPr>
                <w:rFonts w:cs="Arial"/>
                <w:b/>
                <w:sz w:val="14"/>
                <w:szCs w:val="18"/>
              </w:rPr>
              <w:t>ear</w:t>
            </w:r>
          </w:p>
        </w:tc>
      </w:tr>
      <w:tr w:rsidR="00991E72" w:rsidRPr="00BC1030" w14:paraId="6EDCA5BA"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4E79" w:themeColor="accent1" w:themeShade="80"/>
              <w:bottom w:val="nil"/>
            </w:tcBorders>
            <w:shd w:val="clear" w:color="auto" w:fill="auto"/>
            <w:vAlign w:val="center"/>
          </w:tcPr>
          <w:p w14:paraId="29C40FA5" w14:textId="77777777" w:rsidR="00991E72" w:rsidRPr="00F73A24" w:rsidRDefault="00991E72" w:rsidP="00991E72">
            <w:pPr>
              <w:pStyle w:val="08-Tabelageral"/>
              <w:keepLines w:val="0"/>
              <w:jc w:val="left"/>
              <w:rPr>
                <w:b w:val="0"/>
              </w:rPr>
            </w:pPr>
            <w:r w:rsidRPr="00F73A24">
              <w:rPr>
                <w:b w:val="0"/>
              </w:rPr>
              <w:t>ASSETS</w:t>
            </w:r>
          </w:p>
        </w:tc>
        <w:tc>
          <w:tcPr>
            <w:tcW w:w="993" w:type="dxa"/>
            <w:tcBorders>
              <w:top w:val="single" w:sz="2" w:space="0" w:color="1F4E79" w:themeColor="accent1" w:themeShade="80"/>
              <w:bottom w:val="nil"/>
            </w:tcBorders>
            <w:shd w:val="clear" w:color="auto" w:fill="auto"/>
            <w:vAlign w:val="center"/>
          </w:tcPr>
          <w:p w14:paraId="619900EF"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2" w:space="0" w:color="1F4E79" w:themeColor="accent1" w:themeShade="80"/>
              <w:bottom w:val="nil"/>
            </w:tcBorders>
            <w:shd w:val="clear" w:color="auto" w:fill="auto"/>
            <w:vAlign w:val="center"/>
          </w:tcPr>
          <w:p w14:paraId="45C5C26A"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8" w:type="dxa"/>
            <w:tcBorders>
              <w:top w:val="single" w:sz="2" w:space="0" w:color="1F4E79" w:themeColor="accent1" w:themeShade="80"/>
              <w:bottom w:val="nil"/>
            </w:tcBorders>
            <w:shd w:val="clear" w:color="auto" w:fill="auto"/>
            <w:vAlign w:val="center"/>
          </w:tcPr>
          <w:p w14:paraId="4EC0446F"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3" w:type="dxa"/>
            <w:tcBorders>
              <w:top w:val="single" w:sz="2" w:space="0" w:color="1F4E79" w:themeColor="accent1" w:themeShade="80"/>
              <w:bottom w:val="nil"/>
            </w:tcBorders>
            <w:shd w:val="clear" w:color="auto" w:fill="auto"/>
            <w:vAlign w:val="center"/>
          </w:tcPr>
          <w:p w14:paraId="410E2DB1"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single" w:sz="2" w:space="0" w:color="1F4E79" w:themeColor="accent1" w:themeShade="80"/>
              <w:bottom w:val="nil"/>
            </w:tcBorders>
            <w:shd w:val="clear" w:color="auto" w:fill="auto"/>
            <w:vAlign w:val="center"/>
          </w:tcPr>
          <w:p w14:paraId="57FBB132"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902" w:type="dxa"/>
            <w:tcBorders>
              <w:top w:val="single" w:sz="2" w:space="0" w:color="1F4E79" w:themeColor="accent1" w:themeShade="80"/>
              <w:bottom w:val="nil"/>
            </w:tcBorders>
            <w:shd w:val="clear" w:color="auto" w:fill="auto"/>
            <w:vAlign w:val="center"/>
          </w:tcPr>
          <w:p w14:paraId="6DC9B975"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991E72" w:rsidRPr="00BC1030" w14:paraId="17E0F908"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1CEC3E3" w14:textId="77777777" w:rsidR="00991E72" w:rsidRPr="00F73A24" w:rsidRDefault="00991E72" w:rsidP="00991E72">
            <w:pPr>
              <w:pStyle w:val="08-Tabelageral"/>
              <w:keepLines w:val="0"/>
              <w:jc w:val="left"/>
              <w:rPr>
                <w:b w:val="0"/>
              </w:rPr>
            </w:pPr>
            <w:r w:rsidRPr="00F73A24">
              <w:rPr>
                <w:b w:val="0"/>
              </w:rPr>
              <w:t>Cash and Cash Equivalents</w:t>
            </w:r>
          </w:p>
        </w:tc>
        <w:tc>
          <w:tcPr>
            <w:tcW w:w="993" w:type="dxa"/>
            <w:tcBorders>
              <w:top w:val="nil"/>
              <w:bottom w:val="nil"/>
            </w:tcBorders>
            <w:shd w:val="clear" w:color="auto" w:fill="auto"/>
            <w:vAlign w:val="center"/>
          </w:tcPr>
          <w:p w14:paraId="143DA3EC"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[15]</w:t>
            </w:r>
          </w:p>
        </w:tc>
        <w:tc>
          <w:tcPr>
            <w:tcW w:w="1275" w:type="dxa"/>
            <w:tcBorders>
              <w:top w:val="nil"/>
              <w:bottom w:val="nil"/>
            </w:tcBorders>
            <w:shd w:val="clear" w:color="auto" w:fill="auto"/>
            <w:vAlign w:val="center"/>
          </w:tcPr>
          <w:p w14:paraId="1BC6610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48,679</w:t>
            </w:r>
          </w:p>
        </w:tc>
        <w:tc>
          <w:tcPr>
            <w:tcW w:w="1418" w:type="dxa"/>
            <w:tcBorders>
              <w:top w:val="nil"/>
              <w:bottom w:val="nil"/>
            </w:tcBorders>
            <w:shd w:val="clear" w:color="auto" w:fill="auto"/>
            <w:vAlign w:val="center"/>
          </w:tcPr>
          <w:p w14:paraId="2484867C"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c>
          <w:tcPr>
            <w:tcW w:w="283" w:type="dxa"/>
            <w:tcBorders>
              <w:top w:val="nil"/>
              <w:bottom w:val="nil"/>
            </w:tcBorders>
            <w:shd w:val="clear" w:color="auto" w:fill="auto"/>
            <w:vAlign w:val="center"/>
          </w:tcPr>
          <w:p w14:paraId="0B280716"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9A487C6"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59,003</w:t>
            </w:r>
          </w:p>
        </w:tc>
        <w:tc>
          <w:tcPr>
            <w:tcW w:w="1902" w:type="dxa"/>
            <w:tcBorders>
              <w:top w:val="nil"/>
              <w:bottom w:val="nil"/>
            </w:tcBorders>
            <w:shd w:val="clear" w:color="auto" w:fill="auto"/>
            <w:vAlign w:val="center"/>
          </w:tcPr>
          <w:p w14:paraId="57F973EC"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r>
      <w:tr w:rsidR="00991E72" w:rsidRPr="00BC1030" w14:paraId="0C9779D6"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CBE68A5" w14:textId="77777777" w:rsidR="00991E72" w:rsidRPr="00F73A24" w:rsidRDefault="00991E72" w:rsidP="00991E72">
            <w:pPr>
              <w:pStyle w:val="08-Tabelageral"/>
              <w:keepLines w:val="0"/>
              <w:jc w:val="left"/>
              <w:rPr>
                <w:b w:val="0"/>
              </w:rPr>
            </w:pPr>
            <w:r w:rsidRPr="00F73A24">
              <w:rPr>
                <w:b w:val="0"/>
              </w:rPr>
              <w:t>Financial assets at fair value through profit</w:t>
            </w:r>
          </w:p>
        </w:tc>
        <w:tc>
          <w:tcPr>
            <w:tcW w:w="993" w:type="dxa"/>
            <w:tcBorders>
              <w:top w:val="nil"/>
              <w:bottom w:val="nil"/>
            </w:tcBorders>
            <w:shd w:val="clear" w:color="auto" w:fill="auto"/>
            <w:vAlign w:val="center"/>
          </w:tcPr>
          <w:p w14:paraId="1FC15963"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[16.a]</w:t>
            </w:r>
          </w:p>
        </w:tc>
        <w:tc>
          <w:tcPr>
            <w:tcW w:w="1275" w:type="dxa"/>
            <w:tcBorders>
              <w:top w:val="nil"/>
              <w:bottom w:val="nil"/>
            </w:tcBorders>
            <w:shd w:val="clear" w:color="auto" w:fill="auto"/>
            <w:vAlign w:val="center"/>
          </w:tcPr>
          <w:p w14:paraId="578EDD77"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c>
          <w:tcPr>
            <w:tcW w:w="1418" w:type="dxa"/>
            <w:tcBorders>
              <w:top w:val="nil"/>
              <w:bottom w:val="nil"/>
            </w:tcBorders>
            <w:shd w:val="clear" w:color="auto" w:fill="auto"/>
            <w:vAlign w:val="center"/>
          </w:tcPr>
          <w:p w14:paraId="1ED30868"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17,246</w:t>
            </w:r>
          </w:p>
        </w:tc>
        <w:tc>
          <w:tcPr>
            <w:tcW w:w="283" w:type="dxa"/>
            <w:tcBorders>
              <w:top w:val="nil"/>
              <w:bottom w:val="nil"/>
            </w:tcBorders>
            <w:shd w:val="clear" w:color="auto" w:fill="auto"/>
            <w:vAlign w:val="center"/>
          </w:tcPr>
          <w:p w14:paraId="20F64005"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2202C92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c>
          <w:tcPr>
            <w:tcW w:w="1902" w:type="dxa"/>
            <w:tcBorders>
              <w:top w:val="nil"/>
              <w:bottom w:val="nil"/>
            </w:tcBorders>
            <w:shd w:val="clear" w:color="auto" w:fill="auto"/>
            <w:vAlign w:val="center"/>
          </w:tcPr>
          <w:p w14:paraId="5FEC7027"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18,064</w:t>
            </w:r>
          </w:p>
        </w:tc>
      </w:tr>
      <w:tr w:rsidR="00991E72" w:rsidRPr="00BC1030" w14:paraId="28088B65"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A29CF46" w14:textId="77777777" w:rsidR="00991E72" w:rsidRPr="00F73A24" w:rsidRDefault="00991E72" w:rsidP="00991E72">
            <w:pPr>
              <w:pStyle w:val="08-Tabelageral"/>
              <w:keepLines w:val="0"/>
              <w:jc w:val="left"/>
              <w:rPr>
                <w:b w:val="0"/>
              </w:rPr>
            </w:pPr>
            <w:r w:rsidRPr="00F73A24">
              <w:rPr>
                <w:b w:val="0"/>
              </w:rPr>
              <w:t>Dividends/interest on equity receivable</w:t>
            </w:r>
          </w:p>
        </w:tc>
        <w:tc>
          <w:tcPr>
            <w:tcW w:w="993" w:type="dxa"/>
            <w:tcBorders>
              <w:top w:val="nil"/>
              <w:bottom w:val="nil"/>
            </w:tcBorders>
            <w:shd w:val="clear" w:color="auto" w:fill="auto"/>
            <w:vAlign w:val="center"/>
          </w:tcPr>
          <w:p w14:paraId="210183AD"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[17]</w:t>
            </w:r>
          </w:p>
        </w:tc>
        <w:tc>
          <w:tcPr>
            <w:tcW w:w="1275" w:type="dxa"/>
            <w:tcBorders>
              <w:top w:val="nil"/>
              <w:bottom w:val="nil"/>
            </w:tcBorders>
            <w:shd w:val="clear" w:color="auto" w:fill="auto"/>
            <w:vAlign w:val="center"/>
          </w:tcPr>
          <w:p w14:paraId="5225561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c>
          <w:tcPr>
            <w:tcW w:w="1418" w:type="dxa"/>
            <w:tcBorders>
              <w:top w:val="nil"/>
              <w:bottom w:val="nil"/>
            </w:tcBorders>
            <w:shd w:val="clear" w:color="auto" w:fill="auto"/>
            <w:vAlign w:val="center"/>
          </w:tcPr>
          <w:p w14:paraId="7D65A7A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c>
          <w:tcPr>
            <w:tcW w:w="283" w:type="dxa"/>
            <w:tcBorders>
              <w:top w:val="nil"/>
              <w:bottom w:val="nil"/>
            </w:tcBorders>
            <w:shd w:val="clear" w:color="auto" w:fill="auto"/>
            <w:vAlign w:val="center"/>
          </w:tcPr>
          <w:p w14:paraId="3FDE451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4D0DEB8F"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 xml:space="preserve">   3,683,356</w:t>
            </w:r>
          </w:p>
        </w:tc>
        <w:tc>
          <w:tcPr>
            <w:tcW w:w="1902" w:type="dxa"/>
            <w:tcBorders>
              <w:top w:val="nil"/>
              <w:bottom w:val="nil"/>
            </w:tcBorders>
            <w:shd w:val="clear" w:color="auto" w:fill="auto"/>
            <w:vAlign w:val="center"/>
          </w:tcPr>
          <w:p w14:paraId="2A12A31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r>
      <w:tr w:rsidR="00991E72" w:rsidRPr="00BC1030" w14:paraId="73C3D4FE"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6AD85ED5" w14:textId="77777777" w:rsidR="00991E72" w:rsidRPr="00F73A24" w:rsidRDefault="00991E72" w:rsidP="00991E72">
            <w:pPr>
              <w:pStyle w:val="08-Tabelageral"/>
              <w:keepLines w:val="0"/>
              <w:jc w:val="left"/>
              <w:rPr>
                <w:b w:val="0"/>
              </w:rPr>
            </w:pPr>
          </w:p>
        </w:tc>
        <w:tc>
          <w:tcPr>
            <w:tcW w:w="993" w:type="dxa"/>
            <w:tcBorders>
              <w:top w:val="nil"/>
              <w:bottom w:val="nil"/>
            </w:tcBorders>
            <w:shd w:val="clear" w:color="auto" w:fill="auto"/>
            <w:vAlign w:val="center"/>
          </w:tcPr>
          <w:p w14:paraId="09BAF39D"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nil"/>
              <w:bottom w:val="nil"/>
            </w:tcBorders>
            <w:shd w:val="clear" w:color="auto" w:fill="auto"/>
            <w:vAlign w:val="center"/>
          </w:tcPr>
          <w:p w14:paraId="6420869B"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8" w:type="dxa"/>
            <w:tcBorders>
              <w:top w:val="nil"/>
              <w:bottom w:val="nil"/>
            </w:tcBorders>
            <w:shd w:val="clear" w:color="auto" w:fill="auto"/>
            <w:vAlign w:val="center"/>
          </w:tcPr>
          <w:p w14:paraId="4ED8C778"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6D69144B"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33C68F2"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902" w:type="dxa"/>
            <w:tcBorders>
              <w:top w:val="nil"/>
              <w:bottom w:val="nil"/>
            </w:tcBorders>
            <w:shd w:val="clear" w:color="auto" w:fill="auto"/>
            <w:vAlign w:val="center"/>
          </w:tcPr>
          <w:p w14:paraId="6F92F4B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991E72" w:rsidRPr="00BC1030" w14:paraId="6C872DDF"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ACF087D" w14:textId="77777777" w:rsidR="00991E72" w:rsidRPr="00F73A24" w:rsidRDefault="00991E72" w:rsidP="00991E72">
            <w:pPr>
              <w:pStyle w:val="08-Tabelageral"/>
              <w:keepLines w:val="0"/>
              <w:jc w:val="left"/>
              <w:rPr>
                <w:b w:val="0"/>
              </w:rPr>
            </w:pPr>
            <w:r w:rsidRPr="00F73A24">
              <w:rPr>
                <w:b w:val="0"/>
              </w:rPr>
              <w:t>LIABILLITIES</w:t>
            </w:r>
          </w:p>
        </w:tc>
        <w:tc>
          <w:tcPr>
            <w:tcW w:w="993" w:type="dxa"/>
            <w:tcBorders>
              <w:top w:val="nil"/>
              <w:bottom w:val="nil"/>
            </w:tcBorders>
            <w:shd w:val="clear" w:color="auto" w:fill="auto"/>
            <w:vAlign w:val="center"/>
          </w:tcPr>
          <w:p w14:paraId="338572C3"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p>
        </w:tc>
        <w:tc>
          <w:tcPr>
            <w:tcW w:w="1275" w:type="dxa"/>
            <w:tcBorders>
              <w:top w:val="nil"/>
              <w:bottom w:val="nil"/>
            </w:tcBorders>
            <w:shd w:val="clear" w:color="auto" w:fill="auto"/>
            <w:vAlign w:val="center"/>
          </w:tcPr>
          <w:p w14:paraId="21906408"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shd w:val="clear" w:color="auto" w:fill="auto"/>
            <w:vAlign w:val="center"/>
          </w:tcPr>
          <w:p w14:paraId="3B5A3B6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0FA6D177"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0DBE884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902" w:type="dxa"/>
            <w:tcBorders>
              <w:top w:val="nil"/>
              <w:bottom w:val="nil"/>
            </w:tcBorders>
            <w:shd w:val="clear" w:color="auto" w:fill="auto"/>
            <w:vAlign w:val="center"/>
          </w:tcPr>
          <w:p w14:paraId="617F525A"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r>
      <w:tr w:rsidR="00991E72" w:rsidRPr="00BC1030" w14:paraId="34AE4202"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8F7A26D" w14:textId="77777777" w:rsidR="00991E72" w:rsidRPr="00F73A24" w:rsidRDefault="00991E72" w:rsidP="00991E72">
            <w:pPr>
              <w:pStyle w:val="08-Tabelageral"/>
              <w:keepLines w:val="0"/>
              <w:jc w:val="left"/>
              <w:rPr>
                <w:b w:val="0"/>
              </w:rPr>
            </w:pPr>
            <w:r w:rsidRPr="00F73A24">
              <w:rPr>
                <w:b w:val="0"/>
              </w:rPr>
              <w:t>Corporate and Statutory Obligations</w:t>
            </w:r>
          </w:p>
          <w:p w14:paraId="6F1EDDFA" w14:textId="77777777" w:rsidR="00991E72" w:rsidRPr="00F73A24" w:rsidRDefault="00991E72" w:rsidP="00991E72">
            <w:pPr>
              <w:pStyle w:val="08-Tabelageral"/>
              <w:keepLines w:val="0"/>
              <w:jc w:val="left"/>
              <w:rPr>
                <w:b w:val="0"/>
              </w:rPr>
            </w:pPr>
          </w:p>
        </w:tc>
        <w:tc>
          <w:tcPr>
            <w:tcW w:w="993" w:type="dxa"/>
            <w:tcBorders>
              <w:top w:val="nil"/>
              <w:bottom w:val="nil"/>
            </w:tcBorders>
            <w:shd w:val="clear" w:color="auto" w:fill="auto"/>
            <w:vAlign w:val="center"/>
          </w:tcPr>
          <w:p w14:paraId="0E36AA5F"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[21]</w:t>
            </w:r>
          </w:p>
        </w:tc>
        <w:tc>
          <w:tcPr>
            <w:tcW w:w="1275" w:type="dxa"/>
            <w:tcBorders>
              <w:top w:val="nil"/>
              <w:bottom w:val="nil"/>
            </w:tcBorders>
            <w:shd w:val="clear" w:color="auto" w:fill="auto"/>
            <w:vAlign w:val="center"/>
          </w:tcPr>
          <w:p w14:paraId="6232BD60"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299</w:t>
            </w:r>
          </w:p>
        </w:tc>
        <w:tc>
          <w:tcPr>
            <w:tcW w:w="1418" w:type="dxa"/>
            <w:tcBorders>
              <w:top w:val="nil"/>
              <w:bottom w:val="nil"/>
            </w:tcBorders>
            <w:shd w:val="clear" w:color="auto" w:fill="auto"/>
            <w:vAlign w:val="center"/>
          </w:tcPr>
          <w:p w14:paraId="4F97F4ED"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283" w:type="dxa"/>
            <w:tcBorders>
              <w:top w:val="nil"/>
              <w:bottom w:val="nil"/>
            </w:tcBorders>
            <w:shd w:val="clear" w:color="auto" w:fill="auto"/>
            <w:vAlign w:val="center"/>
          </w:tcPr>
          <w:p w14:paraId="139BF4E7"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610EFC5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3,674,027</w:t>
            </w:r>
          </w:p>
        </w:tc>
        <w:tc>
          <w:tcPr>
            <w:tcW w:w="1902" w:type="dxa"/>
            <w:tcBorders>
              <w:top w:val="nil"/>
              <w:bottom w:val="nil"/>
            </w:tcBorders>
            <w:shd w:val="clear" w:color="auto" w:fill="auto"/>
            <w:vAlign w:val="center"/>
          </w:tcPr>
          <w:p w14:paraId="16F44957"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r>
      <w:tr w:rsidR="00991E72" w:rsidRPr="00BC1030" w14:paraId="78333047"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C27116F" w14:textId="77777777" w:rsidR="00991E72" w:rsidRPr="00F73A24" w:rsidRDefault="00991E72" w:rsidP="00991E72">
            <w:pPr>
              <w:pStyle w:val="08-Tabelageral"/>
              <w:keepLines w:val="0"/>
              <w:jc w:val="left"/>
              <w:rPr>
                <w:b w:val="0"/>
              </w:rPr>
            </w:pPr>
            <w:r w:rsidRPr="00F73A24">
              <w:rPr>
                <w:b w:val="0"/>
              </w:rPr>
              <w:t>Current tax liabilities</w:t>
            </w:r>
          </w:p>
        </w:tc>
        <w:tc>
          <w:tcPr>
            <w:tcW w:w="993" w:type="dxa"/>
            <w:tcBorders>
              <w:top w:val="nil"/>
              <w:bottom w:val="nil"/>
            </w:tcBorders>
            <w:shd w:val="clear" w:color="auto" w:fill="auto"/>
            <w:vAlign w:val="center"/>
          </w:tcPr>
          <w:p w14:paraId="21D48679"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[12.g]</w:t>
            </w:r>
          </w:p>
        </w:tc>
        <w:tc>
          <w:tcPr>
            <w:tcW w:w="1275" w:type="dxa"/>
            <w:tcBorders>
              <w:top w:val="nil"/>
              <w:bottom w:val="nil"/>
            </w:tcBorders>
            <w:shd w:val="clear" w:color="auto" w:fill="auto"/>
            <w:vAlign w:val="center"/>
          </w:tcPr>
          <w:p w14:paraId="71379DC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557</w:t>
            </w:r>
          </w:p>
        </w:tc>
        <w:tc>
          <w:tcPr>
            <w:tcW w:w="1418" w:type="dxa"/>
            <w:tcBorders>
              <w:top w:val="nil"/>
              <w:bottom w:val="nil"/>
            </w:tcBorders>
            <w:shd w:val="clear" w:color="auto" w:fill="auto"/>
            <w:vAlign w:val="center"/>
          </w:tcPr>
          <w:p w14:paraId="7DADDD78"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c>
          <w:tcPr>
            <w:tcW w:w="283" w:type="dxa"/>
            <w:tcBorders>
              <w:top w:val="nil"/>
              <w:bottom w:val="nil"/>
            </w:tcBorders>
            <w:shd w:val="clear" w:color="auto" w:fill="auto"/>
            <w:vAlign w:val="center"/>
          </w:tcPr>
          <w:p w14:paraId="12164BB1"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7C628BF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31</w:t>
            </w:r>
          </w:p>
        </w:tc>
        <w:tc>
          <w:tcPr>
            <w:tcW w:w="1902" w:type="dxa"/>
            <w:tcBorders>
              <w:top w:val="nil"/>
              <w:bottom w:val="nil"/>
            </w:tcBorders>
            <w:shd w:val="clear" w:color="auto" w:fill="auto"/>
            <w:vAlign w:val="center"/>
          </w:tcPr>
          <w:p w14:paraId="6BA01AD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lang w:eastAsia="en-US"/>
              </w:rPr>
              <w:t>--</w:t>
            </w:r>
          </w:p>
        </w:tc>
      </w:tr>
      <w:tr w:rsidR="00991E72" w:rsidRPr="00BC1030" w14:paraId="084CA272"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4E79" w:themeColor="accent1" w:themeShade="80"/>
            </w:tcBorders>
            <w:shd w:val="clear" w:color="auto" w:fill="auto"/>
            <w:vAlign w:val="center"/>
          </w:tcPr>
          <w:p w14:paraId="5ED00336" w14:textId="77777777" w:rsidR="00991E72" w:rsidRPr="00F73A24" w:rsidRDefault="00991E72" w:rsidP="00991E72">
            <w:pPr>
              <w:pStyle w:val="08-Tabelageral"/>
              <w:keepLines w:val="0"/>
              <w:jc w:val="left"/>
              <w:rPr>
                <w:b w:val="0"/>
              </w:rPr>
            </w:pPr>
            <w:r w:rsidRPr="00F73A24">
              <w:rPr>
                <w:b w:val="0"/>
              </w:rPr>
              <w:t>Other liabilities</w:t>
            </w:r>
          </w:p>
        </w:tc>
        <w:tc>
          <w:tcPr>
            <w:tcW w:w="993" w:type="dxa"/>
            <w:tcBorders>
              <w:top w:val="nil"/>
              <w:bottom w:val="single" w:sz="2" w:space="0" w:color="1F4E79" w:themeColor="accent1" w:themeShade="80"/>
            </w:tcBorders>
            <w:shd w:val="clear" w:color="auto" w:fill="auto"/>
            <w:vAlign w:val="center"/>
          </w:tcPr>
          <w:p w14:paraId="6D180C5A"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[24]</w:t>
            </w:r>
          </w:p>
        </w:tc>
        <w:tc>
          <w:tcPr>
            <w:tcW w:w="1275" w:type="dxa"/>
            <w:tcBorders>
              <w:top w:val="nil"/>
              <w:bottom w:val="single" w:sz="2" w:space="0" w:color="1F4E79" w:themeColor="accent1" w:themeShade="80"/>
            </w:tcBorders>
            <w:shd w:val="clear" w:color="auto" w:fill="auto"/>
            <w:vAlign w:val="center"/>
          </w:tcPr>
          <w:p w14:paraId="4E9EBB73"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10,828</w:t>
            </w:r>
          </w:p>
        </w:tc>
        <w:tc>
          <w:tcPr>
            <w:tcW w:w="1418" w:type="dxa"/>
            <w:tcBorders>
              <w:top w:val="nil"/>
              <w:bottom w:val="single" w:sz="2" w:space="0" w:color="1F4E79" w:themeColor="accent1" w:themeShade="80"/>
            </w:tcBorders>
            <w:shd w:val="clear" w:color="auto" w:fill="auto"/>
            <w:vAlign w:val="center"/>
          </w:tcPr>
          <w:p w14:paraId="3A8A1434"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283" w:type="dxa"/>
            <w:tcBorders>
              <w:top w:val="nil"/>
              <w:bottom w:val="single" w:sz="2" w:space="0" w:color="1F4E79" w:themeColor="accent1" w:themeShade="80"/>
            </w:tcBorders>
            <w:shd w:val="clear" w:color="auto" w:fill="auto"/>
            <w:vAlign w:val="center"/>
          </w:tcPr>
          <w:p w14:paraId="5E35D82B"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4E79" w:themeColor="accent1" w:themeShade="80"/>
            </w:tcBorders>
            <w:shd w:val="clear" w:color="auto" w:fill="auto"/>
            <w:vAlign w:val="center"/>
          </w:tcPr>
          <w:p w14:paraId="52B2DC30"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12,184</w:t>
            </w:r>
          </w:p>
        </w:tc>
        <w:tc>
          <w:tcPr>
            <w:tcW w:w="1902" w:type="dxa"/>
            <w:tcBorders>
              <w:top w:val="nil"/>
              <w:bottom w:val="single" w:sz="2" w:space="0" w:color="1F4E79" w:themeColor="accent1" w:themeShade="80"/>
            </w:tcBorders>
            <w:shd w:val="clear" w:color="auto" w:fill="auto"/>
            <w:vAlign w:val="center"/>
          </w:tcPr>
          <w:p w14:paraId="32B5ECDD"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lang w:eastAsia="en-US"/>
              </w:rPr>
              <w:t>--</w:t>
            </w:r>
          </w:p>
        </w:tc>
      </w:tr>
    </w:tbl>
    <w:p w14:paraId="7F009FD0" w14:textId="77777777" w:rsidR="00991E72" w:rsidRPr="00993FCA" w:rsidRDefault="00991E72" w:rsidP="00991E72">
      <w:pPr>
        <w:pStyle w:val="05-Textonormal"/>
      </w:pPr>
    </w:p>
    <w:p w14:paraId="55FFFBCD" w14:textId="77777777" w:rsidR="00991E72" w:rsidRPr="00993FCA" w:rsidRDefault="00991E72" w:rsidP="00991E72">
      <w:pPr>
        <w:pStyle w:val="06-Rmil"/>
        <w:rPr>
          <w:lang w:val="en-US"/>
        </w:rPr>
      </w:pPr>
      <w:r w:rsidRPr="00993FCA">
        <w:rPr>
          <w:lang w:val="en-US"/>
        </w:rPr>
        <w:t>R$ thousand</w:t>
      </w:r>
    </w:p>
    <w:tbl>
      <w:tblPr>
        <w:tblStyle w:val="TabeladeLista6Colorida-nfase5"/>
        <w:tblW w:w="9639" w:type="dxa"/>
        <w:jc w:val="center"/>
        <w:tblLayout w:type="fixed"/>
        <w:tblLook w:val="04A0" w:firstRow="1" w:lastRow="0" w:firstColumn="1" w:lastColumn="0" w:noHBand="0" w:noVBand="1"/>
      </w:tblPr>
      <w:tblGrid>
        <w:gridCol w:w="2074"/>
        <w:gridCol w:w="761"/>
        <w:gridCol w:w="993"/>
        <w:gridCol w:w="1559"/>
        <w:gridCol w:w="1417"/>
        <w:gridCol w:w="284"/>
        <w:gridCol w:w="1134"/>
        <w:gridCol w:w="1417"/>
      </w:tblGrid>
      <w:tr w:rsidR="00991E72" w:rsidRPr="00BC1030" w14:paraId="1E66F29A" w14:textId="77777777" w:rsidTr="00991E72">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vAlign w:val="center"/>
          </w:tcPr>
          <w:p w14:paraId="586BD072" w14:textId="77777777" w:rsidR="00991E72" w:rsidRPr="00BC1030" w:rsidRDefault="00991E72" w:rsidP="00991E72">
            <w:pPr>
              <w:keepNext/>
              <w:jc w:val="center"/>
              <w:rPr>
                <w:rFonts w:cs="Arial"/>
                <w:color w:val="auto"/>
                <w:sz w:val="14"/>
                <w:szCs w:val="14"/>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3B28919C" w14:textId="77777777" w:rsidR="00991E72" w:rsidRPr="00BC1030" w:rsidRDefault="00991E72" w:rsidP="00991E72">
            <w:pPr>
              <w:keepNext/>
              <w:jc w:val="center"/>
              <w:cnfStyle w:val="100000000000" w:firstRow="1" w:lastRow="0" w:firstColumn="0" w:lastColumn="0" w:oddVBand="0" w:evenVBand="0" w:oddHBand="0" w:evenHBand="0" w:firstRowFirstColumn="0" w:firstRowLastColumn="0" w:lastRowFirstColumn="0" w:lastRowLastColumn="0"/>
              <w:rPr>
                <w:rFonts w:cs="Arial"/>
                <w:color w:val="auto"/>
                <w:sz w:val="14"/>
                <w:szCs w:val="14"/>
              </w:rPr>
            </w:pPr>
            <w:r w:rsidRPr="00BC1030">
              <w:rPr>
                <w:rFonts w:cs="Arial"/>
                <w:color w:val="auto"/>
                <w:sz w:val="14"/>
                <w:szCs w:val="14"/>
              </w:rPr>
              <w:t>Consolidated</w:t>
            </w:r>
          </w:p>
        </w:tc>
      </w:tr>
      <w:tr w:rsidR="00991E72" w:rsidRPr="00BC1030" w14:paraId="16547B1B"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6E75CB1E" w14:textId="77777777" w:rsidR="00991E72" w:rsidRPr="00BC1030" w:rsidRDefault="00991E72" w:rsidP="00991E72">
            <w:pPr>
              <w:keepNext/>
              <w:rPr>
                <w:rFonts w:cs="Arial"/>
                <w:color w:val="auto"/>
                <w:sz w:val="14"/>
                <w:szCs w:val="14"/>
              </w:rPr>
            </w:pPr>
            <w:r w:rsidRPr="00BC1030">
              <w:rPr>
                <w:rFonts w:cs="Arial"/>
                <w:color w:val="auto"/>
                <w:sz w:val="14"/>
                <w:szCs w:val="14"/>
              </w:rPr>
              <w:t>Liquidity Risk</w:t>
            </w:r>
          </w:p>
        </w:tc>
        <w:tc>
          <w:tcPr>
            <w:tcW w:w="993" w:type="dxa"/>
            <w:tcBorders>
              <w:top w:val="single" w:sz="2" w:space="0" w:color="1F4E79" w:themeColor="accent1" w:themeShade="80"/>
              <w:bottom w:val="nil"/>
            </w:tcBorders>
            <w:shd w:val="clear" w:color="auto" w:fill="auto"/>
            <w:vAlign w:val="center"/>
          </w:tcPr>
          <w:p w14:paraId="37FE418C" w14:textId="77777777" w:rsidR="00991E72" w:rsidRPr="00017A4B"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p>
        </w:tc>
        <w:tc>
          <w:tcPr>
            <w:tcW w:w="2976" w:type="dxa"/>
            <w:gridSpan w:val="2"/>
            <w:tcBorders>
              <w:top w:val="single" w:sz="2" w:space="0" w:color="1F4E79" w:themeColor="accent1" w:themeShade="80"/>
              <w:bottom w:val="single" w:sz="2" w:space="0" w:color="1F4E79" w:themeColor="accent1" w:themeShade="80"/>
            </w:tcBorders>
            <w:shd w:val="clear" w:color="auto" w:fill="auto"/>
            <w:vAlign w:val="center"/>
          </w:tcPr>
          <w:p w14:paraId="3025773F"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Pr>
                <w:rFonts w:cs="Arial"/>
                <w:b/>
                <w:sz w:val="14"/>
                <w:szCs w:val="18"/>
              </w:rPr>
              <w:t>Mar</w:t>
            </w:r>
            <w:r w:rsidRPr="00BC1030">
              <w:rPr>
                <w:rFonts w:cs="Arial"/>
                <w:b/>
                <w:sz w:val="14"/>
                <w:szCs w:val="18"/>
              </w:rPr>
              <w:t xml:space="preserve"> 31, 202</w:t>
            </w:r>
            <w:r>
              <w:rPr>
                <w:rFonts w:cs="Arial"/>
                <w:b/>
                <w:sz w:val="14"/>
                <w:szCs w:val="18"/>
              </w:rPr>
              <w:t>3</w:t>
            </w:r>
          </w:p>
        </w:tc>
        <w:tc>
          <w:tcPr>
            <w:tcW w:w="284" w:type="dxa"/>
            <w:tcBorders>
              <w:top w:val="single" w:sz="2" w:space="0" w:color="1F4E79" w:themeColor="accent1" w:themeShade="80"/>
              <w:bottom w:val="nil"/>
            </w:tcBorders>
            <w:shd w:val="clear" w:color="auto" w:fill="auto"/>
            <w:vAlign w:val="center"/>
          </w:tcPr>
          <w:p w14:paraId="285C6821"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7C139553" w14:textId="77777777" w:rsidR="00991E72" w:rsidRPr="00BC1030" w:rsidRDefault="00991E72" w:rsidP="00991E72">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w:t>
            </w:r>
            <w:r>
              <w:rPr>
                <w:rFonts w:cs="Arial"/>
                <w:b/>
                <w:sz w:val="14"/>
                <w:szCs w:val="18"/>
              </w:rPr>
              <w:t>2</w:t>
            </w:r>
          </w:p>
        </w:tc>
      </w:tr>
      <w:tr w:rsidR="00991E72" w:rsidRPr="00BC1030" w14:paraId="33DAB68C"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single" w:sz="2" w:space="0" w:color="1F4E79" w:themeColor="accent1" w:themeShade="80"/>
              <w:bottom w:val="single" w:sz="2" w:space="0" w:color="1F4E79" w:themeColor="accent1" w:themeShade="80"/>
            </w:tcBorders>
            <w:shd w:val="clear" w:color="auto" w:fill="auto"/>
          </w:tcPr>
          <w:p w14:paraId="4203684A" w14:textId="77777777" w:rsidR="00991E72" w:rsidRPr="00BC1030" w:rsidRDefault="00991E72" w:rsidP="00991E72">
            <w:pPr>
              <w:pStyle w:val="08-Tabelageral"/>
              <w:keepLines w:val="0"/>
              <w:jc w:val="left"/>
              <w:rPr>
                <w:rFonts w:cs="Arial"/>
                <w:b w:val="0"/>
                <w:color w:val="auto"/>
                <w:szCs w:val="14"/>
              </w:rPr>
            </w:pPr>
          </w:p>
        </w:tc>
        <w:tc>
          <w:tcPr>
            <w:tcW w:w="993" w:type="dxa"/>
            <w:tcBorders>
              <w:top w:val="nil"/>
              <w:bottom w:val="single" w:sz="2" w:space="0" w:color="1F4E79" w:themeColor="accent1" w:themeShade="80"/>
            </w:tcBorders>
            <w:shd w:val="clear" w:color="auto" w:fill="auto"/>
            <w:vAlign w:val="center"/>
          </w:tcPr>
          <w:p w14:paraId="17C4C28A" w14:textId="77777777" w:rsidR="00991E72" w:rsidRPr="00017A4B" w:rsidRDefault="00991E72" w:rsidP="00991E72">
            <w:pPr>
              <w:keepNext/>
              <w:jc w:val="center"/>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017A4B">
              <w:rPr>
                <w:rFonts w:cs="Arial"/>
                <w:b/>
                <w:bCs/>
                <w:color w:val="auto"/>
                <w:sz w:val="14"/>
                <w:szCs w:val="14"/>
              </w:rPr>
              <w:t>Note</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7267F1EF"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8B95ACF"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year</w:t>
            </w:r>
          </w:p>
        </w:tc>
        <w:tc>
          <w:tcPr>
            <w:tcW w:w="284" w:type="dxa"/>
            <w:tcBorders>
              <w:top w:val="nil"/>
              <w:bottom w:val="single" w:sz="2" w:space="0" w:color="1F4E79" w:themeColor="accent1" w:themeShade="80"/>
            </w:tcBorders>
            <w:shd w:val="clear" w:color="auto" w:fill="auto"/>
            <w:vAlign w:val="center"/>
          </w:tcPr>
          <w:p w14:paraId="19DD69C7"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E2FC212"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9351104" w14:textId="77777777" w:rsidR="00991E72" w:rsidRPr="00BC1030" w:rsidRDefault="00991E72" w:rsidP="00991E72">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w:t>
            </w:r>
            <w:r>
              <w:rPr>
                <w:rFonts w:cs="Arial"/>
                <w:b/>
                <w:sz w:val="14"/>
                <w:szCs w:val="18"/>
              </w:rPr>
              <w:t>ear</w:t>
            </w:r>
          </w:p>
        </w:tc>
      </w:tr>
      <w:tr w:rsidR="00991E72" w:rsidRPr="00BC1030" w14:paraId="1B434CEB"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4E79" w:themeColor="accent1" w:themeShade="80"/>
              <w:bottom w:val="nil"/>
            </w:tcBorders>
            <w:shd w:val="clear" w:color="auto" w:fill="auto"/>
          </w:tcPr>
          <w:p w14:paraId="6899E882" w14:textId="77777777" w:rsidR="00991E72" w:rsidRPr="00F73A24" w:rsidRDefault="00991E72" w:rsidP="00991E72">
            <w:pPr>
              <w:pStyle w:val="08-Tabelageral"/>
              <w:keepLines w:val="0"/>
              <w:jc w:val="left"/>
              <w:rPr>
                <w:b w:val="0"/>
              </w:rPr>
            </w:pPr>
            <w:r w:rsidRPr="00F73A24">
              <w:rPr>
                <w:b w:val="0"/>
              </w:rPr>
              <w:t>ASSETS</w:t>
            </w:r>
          </w:p>
        </w:tc>
        <w:tc>
          <w:tcPr>
            <w:tcW w:w="993" w:type="dxa"/>
            <w:tcBorders>
              <w:top w:val="single" w:sz="2" w:space="0" w:color="1F4E79" w:themeColor="accent1" w:themeShade="80"/>
              <w:bottom w:val="nil"/>
            </w:tcBorders>
            <w:shd w:val="clear" w:color="auto" w:fill="auto"/>
            <w:vAlign w:val="center"/>
          </w:tcPr>
          <w:p w14:paraId="7379A049"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2" w:space="0" w:color="1F4E79" w:themeColor="accent1" w:themeShade="80"/>
              <w:bottom w:val="nil"/>
            </w:tcBorders>
            <w:shd w:val="clear" w:color="auto" w:fill="auto"/>
            <w:vAlign w:val="center"/>
          </w:tcPr>
          <w:p w14:paraId="1C07014A"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53C93598"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4" w:type="dxa"/>
            <w:tcBorders>
              <w:top w:val="single" w:sz="2" w:space="0" w:color="1F4E79" w:themeColor="accent1" w:themeShade="80"/>
              <w:bottom w:val="nil"/>
            </w:tcBorders>
            <w:shd w:val="clear" w:color="auto" w:fill="auto"/>
            <w:vAlign w:val="center"/>
          </w:tcPr>
          <w:p w14:paraId="6919ED85"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single" w:sz="2" w:space="0" w:color="1F4E79" w:themeColor="accent1" w:themeShade="80"/>
              <w:bottom w:val="nil"/>
            </w:tcBorders>
            <w:shd w:val="clear" w:color="auto" w:fill="auto"/>
            <w:vAlign w:val="center"/>
          </w:tcPr>
          <w:p w14:paraId="22B9F756"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535266E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991E72" w:rsidRPr="00BC1030" w14:paraId="75B7695F"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7FEA9D66" w14:textId="77777777" w:rsidR="00991E72" w:rsidRPr="00F73A24" w:rsidRDefault="00991E72" w:rsidP="00991E72">
            <w:pPr>
              <w:pStyle w:val="08-Tabelageral"/>
              <w:keepLines w:val="0"/>
              <w:jc w:val="left"/>
              <w:rPr>
                <w:b w:val="0"/>
              </w:rPr>
            </w:pPr>
            <w:r w:rsidRPr="00F73A24">
              <w:rPr>
                <w:b w:val="0"/>
              </w:rPr>
              <w:t>Cash and cash equivalents</w:t>
            </w:r>
          </w:p>
        </w:tc>
        <w:tc>
          <w:tcPr>
            <w:tcW w:w="993" w:type="dxa"/>
            <w:tcBorders>
              <w:top w:val="nil"/>
              <w:bottom w:val="nil"/>
            </w:tcBorders>
            <w:shd w:val="clear" w:color="auto" w:fill="auto"/>
            <w:vAlign w:val="center"/>
          </w:tcPr>
          <w:p w14:paraId="66A53D93"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[15]</w:t>
            </w:r>
          </w:p>
        </w:tc>
        <w:tc>
          <w:tcPr>
            <w:tcW w:w="1559" w:type="dxa"/>
            <w:tcBorders>
              <w:top w:val="nil"/>
              <w:bottom w:val="nil"/>
            </w:tcBorders>
            <w:shd w:val="clear" w:color="auto" w:fill="auto"/>
            <w:vAlign w:val="center"/>
          </w:tcPr>
          <w:p w14:paraId="6C38236A"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2,814,754</w:t>
            </w:r>
          </w:p>
        </w:tc>
        <w:tc>
          <w:tcPr>
            <w:tcW w:w="1417" w:type="dxa"/>
            <w:tcBorders>
              <w:top w:val="nil"/>
              <w:bottom w:val="nil"/>
            </w:tcBorders>
            <w:shd w:val="clear" w:color="auto" w:fill="auto"/>
            <w:vAlign w:val="center"/>
          </w:tcPr>
          <w:p w14:paraId="40B392B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c>
          <w:tcPr>
            <w:tcW w:w="284" w:type="dxa"/>
            <w:tcBorders>
              <w:top w:val="nil"/>
              <w:bottom w:val="nil"/>
            </w:tcBorders>
            <w:shd w:val="clear" w:color="auto" w:fill="auto"/>
            <w:vAlign w:val="center"/>
          </w:tcPr>
          <w:p w14:paraId="441158F7"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688EE2A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6,076,618</w:t>
            </w:r>
          </w:p>
        </w:tc>
        <w:tc>
          <w:tcPr>
            <w:tcW w:w="1417" w:type="dxa"/>
            <w:tcBorders>
              <w:top w:val="nil"/>
              <w:bottom w:val="nil"/>
            </w:tcBorders>
            <w:shd w:val="clear" w:color="auto" w:fill="auto"/>
            <w:vAlign w:val="center"/>
          </w:tcPr>
          <w:p w14:paraId="4C9B1D1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r>
      <w:tr w:rsidR="00991E72" w:rsidRPr="00BC1030" w14:paraId="47D3F1D2"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18524AF0" w14:textId="77777777" w:rsidR="00991E72" w:rsidRPr="00F73A24" w:rsidRDefault="00991E72" w:rsidP="00991E72">
            <w:pPr>
              <w:pStyle w:val="08-Tabelageral"/>
              <w:keepLines w:val="0"/>
              <w:jc w:val="left"/>
              <w:rPr>
                <w:b w:val="0"/>
              </w:rPr>
            </w:pPr>
            <w:r w:rsidRPr="00F73A24">
              <w:rPr>
                <w:b w:val="0"/>
              </w:rPr>
              <w:t>Financial assets at fair value through profit</w:t>
            </w:r>
          </w:p>
        </w:tc>
        <w:tc>
          <w:tcPr>
            <w:tcW w:w="993" w:type="dxa"/>
            <w:tcBorders>
              <w:top w:val="nil"/>
              <w:bottom w:val="nil"/>
            </w:tcBorders>
            <w:shd w:val="clear" w:color="auto" w:fill="auto"/>
            <w:vAlign w:val="center"/>
          </w:tcPr>
          <w:p w14:paraId="2811A28B"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[16.a]</w:t>
            </w:r>
          </w:p>
        </w:tc>
        <w:tc>
          <w:tcPr>
            <w:tcW w:w="1559" w:type="dxa"/>
            <w:tcBorders>
              <w:top w:val="nil"/>
              <w:bottom w:val="nil"/>
            </w:tcBorders>
            <w:shd w:val="clear" w:color="auto" w:fill="auto"/>
            <w:vAlign w:val="center"/>
          </w:tcPr>
          <w:p w14:paraId="479581AB"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1417" w:type="dxa"/>
            <w:tcBorders>
              <w:top w:val="nil"/>
              <w:bottom w:val="nil"/>
            </w:tcBorders>
            <w:shd w:val="clear" w:color="auto" w:fill="auto"/>
            <w:vAlign w:val="center"/>
          </w:tcPr>
          <w:p w14:paraId="4D9C486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1,024,746</w:t>
            </w:r>
          </w:p>
        </w:tc>
        <w:tc>
          <w:tcPr>
            <w:tcW w:w="284" w:type="dxa"/>
            <w:tcBorders>
              <w:top w:val="nil"/>
              <w:bottom w:val="nil"/>
            </w:tcBorders>
            <w:shd w:val="clear" w:color="auto" w:fill="auto"/>
            <w:vAlign w:val="center"/>
          </w:tcPr>
          <w:p w14:paraId="7F934620"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4FF6333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1417" w:type="dxa"/>
            <w:tcBorders>
              <w:top w:val="nil"/>
              <w:bottom w:val="nil"/>
            </w:tcBorders>
            <w:shd w:val="clear" w:color="auto" w:fill="auto"/>
            <w:vAlign w:val="center"/>
          </w:tcPr>
          <w:p w14:paraId="33185725"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368,281</w:t>
            </w:r>
          </w:p>
        </w:tc>
      </w:tr>
      <w:tr w:rsidR="00991E72" w:rsidRPr="00BC1030" w14:paraId="580478E8"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28F0D4CA" w14:textId="77777777" w:rsidR="00991E72" w:rsidRPr="00F73A24" w:rsidRDefault="00991E72" w:rsidP="00991E72">
            <w:pPr>
              <w:pStyle w:val="08-Tabelageral"/>
              <w:keepLines w:val="0"/>
              <w:jc w:val="left"/>
              <w:rPr>
                <w:b w:val="0"/>
              </w:rPr>
            </w:pPr>
            <w:r w:rsidRPr="00F73A24">
              <w:rPr>
                <w:b w:val="0"/>
              </w:rPr>
              <w:t>Commissions receivable</w:t>
            </w:r>
          </w:p>
          <w:p w14:paraId="3A201882" w14:textId="77777777" w:rsidR="00991E72" w:rsidRPr="00F73A24" w:rsidRDefault="00991E72" w:rsidP="00991E72">
            <w:pPr>
              <w:pStyle w:val="08-Tabelageral"/>
              <w:keepLines w:val="0"/>
              <w:jc w:val="left"/>
              <w:rPr>
                <w:b w:val="0"/>
              </w:rPr>
            </w:pPr>
          </w:p>
        </w:tc>
        <w:tc>
          <w:tcPr>
            <w:tcW w:w="993" w:type="dxa"/>
            <w:tcBorders>
              <w:top w:val="nil"/>
              <w:bottom w:val="nil"/>
            </w:tcBorders>
            <w:shd w:val="clear" w:color="auto" w:fill="auto"/>
            <w:vAlign w:val="center"/>
          </w:tcPr>
          <w:p w14:paraId="7C5905DE"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[18]</w:t>
            </w:r>
          </w:p>
        </w:tc>
        <w:tc>
          <w:tcPr>
            <w:tcW w:w="1559" w:type="dxa"/>
            <w:tcBorders>
              <w:top w:val="nil"/>
              <w:bottom w:val="nil"/>
            </w:tcBorders>
            <w:shd w:val="clear" w:color="auto" w:fill="auto"/>
            <w:vAlign w:val="center"/>
          </w:tcPr>
          <w:p w14:paraId="7E432342"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1,054,924</w:t>
            </w:r>
          </w:p>
        </w:tc>
        <w:tc>
          <w:tcPr>
            <w:tcW w:w="1417" w:type="dxa"/>
            <w:tcBorders>
              <w:top w:val="nil"/>
              <w:bottom w:val="nil"/>
            </w:tcBorders>
            <w:shd w:val="clear" w:color="auto" w:fill="auto"/>
            <w:vAlign w:val="center"/>
          </w:tcPr>
          <w:p w14:paraId="70ACA6DD"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785,876</w:t>
            </w:r>
          </w:p>
        </w:tc>
        <w:tc>
          <w:tcPr>
            <w:tcW w:w="284" w:type="dxa"/>
            <w:tcBorders>
              <w:top w:val="nil"/>
              <w:bottom w:val="nil"/>
            </w:tcBorders>
            <w:shd w:val="clear" w:color="auto" w:fill="auto"/>
            <w:vAlign w:val="center"/>
          </w:tcPr>
          <w:p w14:paraId="2A8A7149"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C28C0E2"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1,114,256</w:t>
            </w:r>
          </w:p>
        </w:tc>
        <w:tc>
          <w:tcPr>
            <w:tcW w:w="1417" w:type="dxa"/>
            <w:tcBorders>
              <w:top w:val="nil"/>
              <w:bottom w:val="nil"/>
            </w:tcBorders>
            <w:shd w:val="clear" w:color="auto" w:fill="auto"/>
            <w:vAlign w:val="center"/>
          </w:tcPr>
          <w:p w14:paraId="627C5CE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708,990</w:t>
            </w:r>
          </w:p>
        </w:tc>
      </w:tr>
      <w:tr w:rsidR="00991E72" w:rsidRPr="00BC1030" w14:paraId="58DF94C0"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3E9F5391" w14:textId="77777777" w:rsidR="00991E72" w:rsidRPr="00F73A24" w:rsidRDefault="00991E72" w:rsidP="00991E72">
            <w:pPr>
              <w:pStyle w:val="08-Tabelageral"/>
              <w:keepLines w:val="0"/>
              <w:jc w:val="left"/>
              <w:rPr>
                <w:b w:val="0"/>
              </w:rPr>
            </w:pPr>
            <w:r w:rsidRPr="00F73A24">
              <w:rPr>
                <w:b w:val="0"/>
              </w:rPr>
              <w:t>Dividends/interest on equity receivable</w:t>
            </w:r>
          </w:p>
        </w:tc>
        <w:tc>
          <w:tcPr>
            <w:tcW w:w="993" w:type="dxa"/>
            <w:tcBorders>
              <w:top w:val="nil"/>
              <w:bottom w:val="nil"/>
            </w:tcBorders>
            <w:shd w:val="clear" w:color="auto" w:fill="auto"/>
            <w:vAlign w:val="center"/>
          </w:tcPr>
          <w:p w14:paraId="0155C21D"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[17]</w:t>
            </w:r>
          </w:p>
        </w:tc>
        <w:tc>
          <w:tcPr>
            <w:tcW w:w="1559" w:type="dxa"/>
            <w:tcBorders>
              <w:top w:val="nil"/>
              <w:bottom w:val="nil"/>
            </w:tcBorders>
            <w:shd w:val="clear" w:color="auto" w:fill="auto"/>
            <w:vAlign w:val="center"/>
          </w:tcPr>
          <w:p w14:paraId="52047D3E"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1417" w:type="dxa"/>
            <w:tcBorders>
              <w:top w:val="nil"/>
              <w:bottom w:val="nil"/>
            </w:tcBorders>
            <w:shd w:val="clear" w:color="auto" w:fill="auto"/>
            <w:vAlign w:val="center"/>
          </w:tcPr>
          <w:p w14:paraId="1145A1E6"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284" w:type="dxa"/>
            <w:tcBorders>
              <w:top w:val="nil"/>
              <w:bottom w:val="nil"/>
            </w:tcBorders>
            <w:shd w:val="clear" w:color="auto" w:fill="auto"/>
            <w:vAlign w:val="center"/>
          </w:tcPr>
          <w:p w14:paraId="3760A27D"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1465627"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13,519</w:t>
            </w:r>
          </w:p>
        </w:tc>
        <w:tc>
          <w:tcPr>
            <w:tcW w:w="1417" w:type="dxa"/>
            <w:tcBorders>
              <w:top w:val="nil"/>
              <w:bottom w:val="nil"/>
            </w:tcBorders>
            <w:shd w:val="clear" w:color="auto" w:fill="auto"/>
            <w:vAlign w:val="center"/>
          </w:tcPr>
          <w:p w14:paraId="5263C73F"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r>
      <w:tr w:rsidR="00991E72" w:rsidRPr="00BC1030" w14:paraId="56900A66"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145A73ED" w14:textId="77777777" w:rsidR="00991E72" w:rsidRPr="00F73A24" w:rsidRDefault="00991E72" w:rsidP="00991E72">
            <w:pPr>
              <w:pStyle w:val="08-Tabelageral"/>
              <w:keepLines w:val="0"/>
              <w:jc w:val="left"/>
              <w:rPr>
                <w:b w:val="0"/>
              </w:rPr>
            </w:pPr>
          </w:p>
        </w:tc>
        <w:tc>
          <w:tcPr>
            <w:tcW w:w="993" w:type="dxa"/>
            <w:tcBorders>
              <w:top w:val="nil"/>
              <w:bottom w:val="nil"/>
            </w:tcBorders>
            <w:shd w:val="clear" w:color="auto" w:fill="auto"/>
            <w:vAlign w:val="center"/>
          </w:tcPr>
          <w:p w14:paraId="6D1E0D55"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shd w:val="clear" w:color="auto" w:fill="auto"/>
            <w:vAlign w:val="center"/>
          </w:tcPr>
          <w:p w14:paraId="34F26599"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523071D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284" w:type="dxa"/>
            <w:tcBorders>
              <w:top w:val="nil"/>
              <w:bottom w:val="nil"/>
            </w:tcBorders>
            <w:shd w:val="clear" w:color="auto" w:fill="auto"/>
            <w:vAlign w:val="center"/>
          </w:tcPr>
          <w:p w14:paraId="278BA44A"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332A6F4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7DFC63DD"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r>
      <w:tr w:rsidR="00991E72" w:rsidRPr="00BC1030" w14:paraId="526618B2"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6EEBC14B" w14:textId="77777777" w:rsidR="00991E72" w:rsidRPr="00F73A24" w:rsidRDefault="00991E72" w:rsidP="00991E72">
            <w:pPr>
              <w:pStyle w:val="08-Tabelageral"/>
              <w:keepLines w:val="0"/>
              <w:jc w:val="left"/>
              <w:rPr>
                <w:b w:val="0"/>
              </w:rPr>
            </w:pPr>
            <w:r w:rsidRPr="00F73A24">
              <w:rPr>
                <w:b w:val="0"/>
              </w:rPr>
              <w:t>LIABILITIES</w:t>
            </w:r>
          </w:p>
        </w:tc>
        <w:tc>
          <w:tcPr>
            <w:tcW w:w="993" w:type="dxa"/>
            <w:tcBorders>
              <w:top w:val="nil"/>
              <w:bottom w:val="nil"/>
            </w:tcBorders>
            <w:shd w:val="clear" w:color="auto" w:fill="auto"/>
            <w:vAlign w:val="center"/>
          </w:tcPr>
          <w:p w14:paraId="65635D12"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nil"/>
            </w:tcBorders>
            <w:shd w:val="clear" w:color="auto" w:fill="auto"/>
            <w:vAlign w:val="center"/>
          </w:tcPr>
          <w:p w14:paraId="2FF65B13"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nil"/>
              <w:bottom w:val="nil"/>
            </w:tcBorders>
            <w:shd w:val="clear" w:color="auto" w:fill="auto"/>
            <w:vAlign w:val="center"/>
          </w:tcPr>
          <w:p w14:paraId="1910B216"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4" w:type="dxa"/>
            <w:tcBorders>
              <w:top w:val="nil"/>
              <w:bottom w:val="nil"/>
            </w:tcBorders>
            <w:shd w:val="clear" w:color="auto" w:fill="auto"/>
            <w:vAlign w:val="center"/>
          </w:tcPr>
          <w:p w14:paraId="308CA2BA"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E4B7DE8"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nil"/>
              <w:bottom w:val="nil"/>
            </w:tcBorders>
            <w:shd w:val="clear" w:color="auto" w:fill="auto"/>
            <w:vAlign w:val="center"/>
          </w:tcPr>
          <w:p w14:paraId="5129F9EF"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991E72" w:rsidRPr="00BC1030" w14:paraId="7BBD7278"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31CE3A75" w14:textId="77777777" w:rsidR="00991E72" w:rsidRPr="00F73A24" w:rsidRDefault="00991E72" w:rsidP="00991E72">
            <w:pPr>
              <w:pStyle w:val="08-Tabelageral"/>
              <w:keepLines w:val="0"/>
              <w:jc w:val="left"/>
              <w:rPr>
                <w:b w:val="0"/>
              </w:rPr>
            </w:pPr>
            <w:r w:rsidRPr="00F73A24">
              <w:rPr>
                <w:b w:val="0"/>
              </w:rPr>
              <w:t>Corporate and Statutory Obligations</w:t>
            </w:r>
          </w:p>
          <w:p w14:paraId="4FA57385" w14:textId="77777777" w:rsidR="00991E72" w:rsidRPr="00F73A24" w:rsidRDefault="00991E72" w:rsidP="00991E72">
            <w:pPr>
              <w:pStyle w:val="08-Tabelageral"/>
              <w:keepLines w:val="0"/>
              <w:jc w:val="left"/>
              <w:rPr>
                <w:b w:val="0"/>
              </w:rPr>
            </w:pPr>
          </w:p>
        </w:tc>
        <w:tc>
          <w:tcPr>
            <w:tcW w:w="993" w:type="dxa"/>
            <w:tcBorders>
              <w:top w:val="nil"/>
              <w:bottom w:val="nil"/>
            </w:tcBorders>
            <w:shd w:val="clear" w:color="auto" w:fill="auto"/>
            <w:vAlign w:val="center"/>
          </w:tcPr>
          <w:p w14:paraId="194D8711"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[21]</w:t>
            </w:r>
          </w:p>
        </w:tc>
        <w:tc>
          <w:tcPr>
            <w:tcW w:w="1559" w:type="dxa"/>
            <w:tcBorders>
              <w:top w:val="nil"/>
              <w:bottom w:val="nil"/>
            </w:tcBorders>
            <w:shd w:val="clear" w:color="auto" w:fill="auto"/>
            <w:vAlign w:val="center"/>
          </w:tcPr>
          <w:p w14:paraId="4E43512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299</w:t>
            </w:r>
          </w:p>
        </w:tc>
        <w:tc>
          <w:tcPr>
            <w:tcW w:w="1417" w:type="dxa"/>
            <w:tcBorders>
              <w:top w:val="nil"/>
              <w:bottom w:val="nil"/>
            </w:tcBorders>
            <w:shd w:val="clear" w:color="auto" w:fill="auto"/>
            <w:vAlign w:val="center"/>
          </w:tcPr>
          <w:p w14:paraId="078DCF18"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c>
          <w:tcPr>
            <w:tcW w:w="284" w:type="dxa"/>
            <w:tcBorders>
              <w:top w:val="nil"/>
              <w:bottom w:val="nil"/>
            </w:tcBorders>
            <w:shd w:val="clear" w:color="auto" w:fill="auto"/>
            <w:vAlign w:val="center"/>
          </w:tcPr>
          <w:p w14:paraId="664E717B"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6A646A80"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3,674,027</w:t>
            </w:r>
          </w:p>
        </w:tc>
        <w:tc>
          <w:tcPr>
            <w:tcW w:w="1417" w:type="dxa"/>
            <w:tcBorders>
              <w:top w:val="nil"/>
              <w:bottom w:val="nil"/>
            </w:tcBorders>
            <w:shd w:val="clear" w:color="auto" w:fill="auto"/>
            <w:vAlign w:val="center"/>
          </w:tcPr>
          <w:p w14:paraId="2956A32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r>
      <w:tr w:rsidR="00991E72" w:rsidRPr="00BC1030" w14:paraId="2EB1EA85"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2DDD4FFE" w14:textId="77777777" w:rsidR="00991E72" w:rsidRPr="00F73A24" w:rsidRDefault="00991E72" w:rsidP="00991E72">
            <w:pPr>
              <w:pStyle w:val="08-Tabelageral"/>
              <w:keepLines w:val="0"/>
              <w:jc w:val="left"/>
              <w:rPr>
                <w:b w:val="0"/>
              </w:rPr>
            </w:pPr>
            <w:r w:rsidRPr="00F73A24">
              <w:rPr>
                <w:b w:val="0"/>
              </w:rPr>
              <w:t>Current tax liabilities</w:t>
            </w:r>
          </w:p>
        </w:tc>
        <w:tc>
          <w:tcPr>
            <w:tcW w:w="993" w:type="dxa"/>
            <w:tcBorders>
              <w:top w:val="nil"/>
              <w:bottom w:val="nil"/>
            </w:tcBorders>
            <w:shd w:val="clear" w:color="auto" w:fill="auto"/>
            <w:vAlign w:val="center"/>
          </w:tcPr>
          <w:p w14:paraId="1E529A6B"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[12.g]</w:t>
            </w:r>
          </w:p>
        </w:tc>
        <w:tc>
          <w:tcPr>
            <w:tcW w:w="1559" w:type="dxa"/>
            <w:tcBorders>
              <w:top w:val="nil"/>
              <w:bottom w:val="nil"/>
            </w:tcBorders>
            <w:shd w:val="clear" w:color="auto" w:fill="auto"/>
            <w:vAlign w:val="center"/>
          </w:tcPr>
          <w:p w14:paraId="61FAB7DC"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258,672</w:t>
            </w:r>
          </w:p>
        </w:tc>
        <w:tc>
          <w:tcPr>
            <w:tcW w:w="1417" w:type="dxa"/>
            <w:tcBorders>
              <w:top w:val="nil"/>
              <w:bottom w:val="nil"/>
            </w:tcBorders>
            <w:shd w:val="clear" w:color="auto" w:fill="auto"/>
            <w:vAlign w:val="center"/>
          </w:tcPr>
          <w:p w14:paraId="6A6C6D94"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284" w:type="dxa"/>
            <w:tcBorders>
              <w:top w:val="nil"/>
              <w:bottom w:val="nil"/>
            </w:tcBorders>
            <w:shd w:val="clear" w:color="auto" w:fill="auto"/>
            <w:vAlign w:val="center"/>
          </w:tcPr>
          <w:p w14:paraId="5CB4ADDE"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A7EF518"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963,874</w:t>
            </w:r>
          </w:p>
        </w:tc>
        <w:tc>
          <w:tcPr>
            <w:tcW w:w="1417" w:type="dxa"/>
            <w:tcBorders>
              <w:top w:val="nil"/>
              <w:bottom w:val="nil"/>
            </w:tcBorders>
            <w:shd w:val="clear" w:color="auto" w:fill="auto"/>
            <w:vAlign w:val="center"/>
          </w:tcPr>
          <w:p w14:paraId="138D4C39"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r>
      <w:tr w:rsidR="00991E72" w:rsidRPr="00BC1030" w14:paraId="6ED596D0" w14:textId="77777777" w:rsidTr="00991E7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A7EB28D" w14:textId="77777777" w:rsidR="00991E72" w:rsidRPr="00F73A24" w:rsidRDefault="00991E72" w:rsidP="00991E72">
            <w:pPr>
              <w:pStyle w:val="08-Tabelageral"/>
              <w:keepLines w:val="0"/>
              <w:jc w:val="left"/>
              <w:rPr>
                <w:b w:val="0"/>
              </w:rPr>
            </w:pPr>
            <w:r w:rsidRPr="00F73A24">
              <w:rPr>
                <w:b w:val="0"/>
              </w:rPr>
              <w:t>Unearned commissions</w:t>
            </w:r>
          </w:p>
        </w:tc>
        <w:tc>
          <w:tcPr>
            <w:tcW w:w="993" w:type="dxa"/>
            <w:tcBorders>
              <w:top w:val="nil"/>
              <w:bottom w:val="nil"/>
            </w:tcBorders>
            <w:shd w:val="clear" w:color="auto" w:fill="auto"/>
            <w:vAlign w:val="center"/>
          </w:tcPr>
          <w:p w14:paraId="6994BAF0" w14:textId="77777777" w:rsidR="00991E72" w:rsidRPr="00BC1030" w:rsidRDefault="00991E72" w:rsidP="00991E72">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[23]</w:t>
            </w:r>
          </w:p>
        </w:tc>
        <w:tc>
          <w:tcPr>
            <w:tcW w:w="1559" w:type="dxa"/>
            <w:tcBorders>
              <w:top w:val="nil"/>
              <w:bottom w:val="nil"/>
            </w:tcBorders>
            <w:shd w:val="clear" w:color="auto" w:fill="auto"/>
            <w:vAlign w:val="center"/>
          </w:tcPr>
          <w:p w14:paraId="09D482CD"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1,705,334</w:t>
            </w:r>
          </w:p>
        </w:tc>
        <w:tc>
          <w:tcPr>
            <w:tcW w:w="1417" w:type="dxa"/>
            <w:tcBorders>
              <w:top w:val="nil"/>
              <w:bottom w:val="nil"/>
            </w:tcBorders>
            <w:shd w:val="clear" w:color="auto" w:fill="auto"/>
            <w:vAlign w:val="center"/>
          </w:tcPr>
          <w:p w14:paraId="38AA9E62"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2,031,753</w:t>
            </w:r>
          </w:p>
        </w:tc>
        <w:tc>
          <w:tcPr>
            <w:tcW w:w="284" w:type="dxa"/>
            <w:tcBorders>
              <w:top w:val="nil"/>
              <w:bottom w:val="nil"/>
            </w:tcBorders>
            <w:shd w:val="clear" w:color="auto" w:fill="auto"/>
            <w:vAlign w:val="center"/>
          </w:tcPr>
          <w:p w14:paraId="048ADA04"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5DDA78B5"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1,760,473</w:t>
            </w:r>
          </w:p>
        </w:tc>
        <w:tc>
          <w:tcPr>
            <w:tcW w:w="1417" w:type="dxa"/>
            <w:tcBorders>
              <w:top w:val="nil"/>
              <w:bottom w:val="nil"/>
            </w:tcBorders>
            <w:shd w:val="clear" w:color="auto" w:fill="auto"/>
            <w:vAlign w:val="center"/>
          </w:tcPr>
          <w:p w14:paraId="2155ACDE" w14:textId="77777777" w:rsidR="00991E72" w:rsidRPr="00BC1030" w:rsidRDefault="00991E72" w:rsidP="00991E72">
            <w:pPr>
              <w:pStyle w:val="08-Tabelageral"/>
              <w:keepLines w:val="0"/>
              <w:cnfStyle w:val="000000000000" w:firstRow="0" w:lastRow="0" w:firstColumn="0" w:lastColumn="0" w:oddVBand="0" w:evenVBand="0" w:oddHBand="0" w:evenHBand="0" w:firstRowFirstColumn="0" w:firstRowLastColumn="0" w:lastRowFirstColumn="0" w:lastRowLastColumn="0"/>
            </w:pPr>
            <w:r>
              <w:rPr>
                <w:rFonts w:cs="Arial"/>
                <w:szCs w:val="14"/>
                <w:lang w:eastAsia="en-US"/>
              </w:rPr>
              <w:t>1,787,547</w:t>
            </w:r>
          </w:p>
        </w:tc>
      </w:tr>
      <w:tr w:rsidR="00991E72" w:rsidRPr="00BC1030" w14:paraId="780EE330" w14:textId="77777777" w:rsidTr="00991E7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4E79" w:themeColor="accent1" w:themeShade="80"/>
            </w:tcBorders>
            <w:shd w:val="clear" w:color="auto" w:fill="auto"/>
          </w:tcPr>
          <w:p w14:paraId="1307A56C" w14:textId="77777777" w:rsidR="00991E72" w:rsidRPr="00F73A24" w:rsidRDefault="00991E72" w:rsidP="00991E72">
            <w:pPr>
              <w:pStyle w:val="08-Tabelageral"/>
              <w:keepLines w:val="0"/>
              <w:jc w:val="left"/>
              <w:rPr>
                <w:b w:val="0"/>
              </w:rPr>
            </w:pPr>
            <w:r w:rsidRPr="00F73A24">
              <w:rPr>
                <w:b w:val="0"/>
              </w:rPr>
              <w:t>Other liabilities</w:t>
            </w:r>
          </w:p>
        </w:tc>
        <w:tc>
          <w:tcPr>
            <w:tcW w:w="993" w:type="dxa"/>
            <w:tcBorders>
              <w:top w:val="nil"/>
              <w:bottom w:val="single" w:sz="2" w:space="0" w:color="1F4E79" w:themeColor="accent1" w:themeShade="80"/>
            </w:tcBorders>
            <w:shd w:val="clear" w:color="auto" w:fill="auto"/>
            <w:vAlign w:val="center"/>
          </w:tcPr>
          <w:p w14:paraId="2761DD74" w14:textId="77777777" w:rsidR="00991E72" w:rsidRPr="00BC1030" w:rsidRDefault="00991E72" w:rsidP="00991E72">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[24]</w:t>
            </w:r>
          </w:p>
        </w:tc>
        <w:tc>
          <w:tcPr>
            <w:tcW w:w="1559" w:type="dxa"/>
            <w:tcBorders>
              <w:top w:val="nil"/>
              <w:bottom w:val="single" w:sz="2" w:space="0" w:color="1F4E79" w:themeColor="accent1" w:themeShade="80"/>
            </w:tcBorders>
            <w:shd w:val="clear" w:color="auto" w:fill="auto"/>
            <w:vAlign w:val="center"/>
          </w:tcPr>
          <w:p w14:paraId="70796DF9"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110,548</w:t>
            </w:r>
          </w:p>
        </w:tc>
        <w:tc>
          <w:tcPr>
            <w:tcW w:w="1417" w:type="dxa"/>
            <w:tcBorders>
              <w:top w:val="nil"/>
              <w:bottom w:val="single" w:sz="2" w:space="0" w:color="1F4E79" w:themeColor="accent1" w:themeShade="80"/>
            </w:tcBorders>
            <w:shd w:val="clear" w:color="auto" w:fill="auto"/>
            <w:vAlign w:val="center"/>
          </w:tcPr>
          <w:p w14:paraId="7D7CEA8E"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284" w:type="dxa"/>
            <w:tcBorders>
              <w:top w:val="nil"/>
              <w:bottom w:val="single" w:sz="2" w:space="0" w:color="1F4E79" w:themeColor="accent1" w:themeShade="80"/>
            </w:tcBorders>
            <w:shd w:val="clear" w:color="auto" w:fill="auto"/>
            <w:vAlign w:val="center"/>
          </w:tcPr>
          <w:p w14:paraId="3C3F4897"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4E79" w:themeColor="accent1" w:themeShade="80"/>
            </w:tcBorders>
            <w:shd w:val="clear" w:color="auto" w:fill="auto"/>
            <w:vAlign w:val="center"/>
          </w:tcPr>
          <w:p w14:paraId="62D09E32"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105,363</w:t>
            </w:r>
          </w:p>
        </w:tc>
        <w:tc>
          <w:tcPr>
            <w:tcW w:w="1417" w:type="dxa"/>
            <w:tcBorders>
              <w:top w:val="nil"/>
              <w:bottom w:val="single" w:sz="2" w:space="0" w:color="1F4E79" w:themeColor="accent1" w:themeShade="80"/>
            </w:tcBorders>
            <w:shd w:val="clear" w:color="auto" w:fill="auto"/>
            <w:vAlign w:val="center"/>
          </w:tcPr>
          <w:p w14:paraId="7851E018" w14:textId="77777777" w:rsidR="00991E72" w:rsidRPr="00BC1030" w:rsidRDefault="00991E72" w:rsidP="00991E72">
            <w:pPr>
              <w:pStyle w:val="08-Tabelageral"/>
              <w:keepLines w:val="0"/>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r>
    </w:tbl>
    <w:p w14:paraId="6E2EACFC" w14:textId="77777777" w:rsidR="00991E72" w:rsidRPr="00993FCA" w:rsidRDefault="00991E72" w:rsidP="00991E72">
      <w:pPr>
        <w:pStyle w:val="07-Legenda1"/>
        <w:rPr>
          <w:sz w:val="18"/>
          <w:szCs w:val="18"/>
          <w:lang w:val="en-US"/>
        </w:rPr>
      </w:pPr>
      <w:r w:rsidRPr="00993FCA">
        <w:rPr>
          <w:lang w:val="en"/>
        </w:rPr>
        <w:t>(</w:t>
      </w:r>
      <w:r>
        <w:rPr>
          <w:lang w:val="en"/>
        </w:rPr>
        <w:t>1)</w:t>
      </w:r>
      <w:r>
        <w:rPr>
          <w:lang w:val="en"/>
        </w:rPr>
        <w:tab/>
      </w:r>
      <w:r w:rsidRPr="007549B5">
        <w:rPr>
          <w:lang w:val="en"/>
        </w:rPr>
        <w:t>Unearned commissions refer to brokerage revenues to be recognized over the course of the insurance contracts, and such revenues will be realized over the term of these operations, and whose corresponding amounts are received, in large part, before that date.</w:t>
      </w:r>
      <w:r w:rsidRPr="00993FCA">
        <w:rPr>
          <w:lang w:val="en"/>
        </w:rPr>
        <w:t xml:space="preserve"> </w:t>
      </w:r>
      <w:r w:rsidRPr="007549B5">
        <w:rPr>
          <w:lang w:val="en"/>
        </w:rPr>
        <w:t>Therefore, in general, commissions to be appropriated do not represent amounts to be disbursed and, consequently, do not generate relevant impacts on the company's liquidity.</w:t>
      </w:r>
    </w:p>
    <w:bookmarkEnd w:id="25"/>
    <w:p w14:paraId="0FAF25D4" w14:textId="77777777" w:rsidR="00991E72" w:rsidRPr="00017A4B" w:rsidRDefault="00991E72" w:rsidP="00991E72">
      <w:pPr>
        <w:pStyle w:val="05-Textonormal"/>
        <w:rPr>
          <w:b/>
          <w:color w:val="1F4E79" w:themeColor="accent1" w:themeShade="80"/>
        </w:rPr>
      </w:pPr>
      <w:r w:rsidRPr="00017A4B">
        <w:rPr>
          <w:b/>
          <w:color w:val="1F4E79" w:themeColor="accent1" w:themeShade="80"/>
        </w:rPr>
        <w:t>b) Risk Governance applied to Affiliated Companies</w:t>
      </w:r>
    </w:p>
    <w:p w14:paraId="4D4AE73E" w14:textId="77777777" w:rsidR="00991E72" w:rsidRPr="00993FCA" w:rsidRDefault="00991E72" w:rsidP="00991E72">
      <w:pPr>
        <w:pStyle w:val="05-Textonormal"/>
        <w:rPr>
          <w:lang w:val="en-US"/>
        </w:rPr>
      </w:pPr>
      <w:r w:rsidRPr="007B5BEB">
        <w:rPr>
          <w:lang w:val="en-US"/>
        </w:rPr>
        <w:t>BB Seguridade's affiliated companies maintain their own risk management structures compatible with the nature and complexity of their businesses, being</w:t>
      </w:r>
      <w:r w:rsidRPr="007B5BEB">
        <w:rPr>
          <w:lang w:val="en"/>
        </w:rPr>
        <w:t xml:space="preserve"> regulated by the Superintendence of Private Insurance (Susep), in accordance with the requirements established in CNSP Resolution</w:t>
      </w:r>
      <w:r>
        <w:rPr>
          <w:lang w:val="en"/>
        </w:rPr>
        <w:t>s</w:t>
      </w:r>
      <w:r w:rsidRPr="007B5BEB">
        <w:rPr>
          <w:lang w:val="en"/>
        </w:rPr>
        <w:t xml:space="preserve"> </w:t>
      </w:r>
      <w:r w:rsidRPr="00E328A2">
        <w:rPr>
          <w:lang w:val="en"/>
        </w:rPr>
        <w:t xml:space="preserve">416/2021 </w:t>
      </w:r>
      <w:r>
        <w:rPr>
          <w:lang w:val="en"/>
        </w:rPr>
        <w:t xml:space="preserve">and </w:t>
      </w:r>
      <w:r w:rsidRPr="007B5BEB">
        <w:rPr>
          <w:lang w:val="en"/>
        </w:rPr>
        <w:t>432/2021 and subsequent amendments and Susep Circular 648/2021 and subsequent amendments.</w:t>
      </w:r>
      <w:r>
        <w:rPr>
          <w:lang w:val="en"/>
        </w:rPr>
        <w:t xml:space="preserve">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4D961C53" w14:textId="77777777" w:rsidR="00991E72" w:rsidRDefault="00991E72" w:rsidP="00991E72">
      <w:pPr>
        <w:pStyle w:val="05-Textonormal"/>
        <w:rPr>
          <w:lang w:val="en"/>
        </w:rPr>
      </w:pPr>
      <w:r w:rsidRPr="00993FCA">
        <w:rPr>
          <w:lang w:val="en-US"/>
        </w:rPr>
        <w:t>CNSP</w:t>
      </w:r>
      <w:r w:rsidRPr="00993FCA">
        <w:rPr>
          <w:lang w:val="en"/>
        </w:rPr>
        <w:t xml:space="preserve"> Resolution No. 416/2021 </w:t>
      </w:r>
      <w:r w:rsidRPr="003300B9">
        <w:rPr>
          <w:lang w:val="en-US"/>
        </w:rPr>
        <w:t>and subsequent amendments</w:t>
      </w:r>
      <w:r w:rsidRPr="00993FCA">
        <w:rPr>
          <w:lang w:val="en"/>
        </w:rPr>
        <w:t xml:space="preserve">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12C97E16" w14:textId="77777777" w:rsidR="00991E72" w:rsidRPr="007A2C34" w:rsidRDefault="00991E72" w:rsidP="00991E72">
      <w:pPr>
        <w:pStyle w:val="05-Textonormal"/>
        <w:rPr>
          <w:lang w:val="en-US"/>
        </w:rPr>
      </w:pPr>
      <w:r w:rsidRPr="007A2C34">
        <w:rPr>
          <w:lang w:val="en-US"/>
        </w:rPr>
        <w:t xml:space="preserve">Circular Susep 666/2022 provides for </w:t>
      </w:r>
      <w:r>
        <w:rPr>
          <w:lang w:val="en-US"/>
        </w:rPr>
        <w:t>s</w:t>
      </w:r>
      <w:r w:rsidRPr="007A2C34">
        <w:rPr>
          <w:lang w:val="en-US"/>
        </w:rPr>
        <w:t>ustainability re</w:t>
      </w:r>
      <w:r>
        <w:rPr>
          <w:lang w:val="en-US"/>
        </w:rPr>
        <w:t>quirements, to be observed by insurance companies, open private pension entities (EAPCs), capitalization companies and local reinsurers.</w:t>
      </w:r>
    </w:p>
    <w:p w14:paraId="56F6D4FA" w14:textId="77777777" w:rsidR="00991E72" w:rsidRPr="00993FCA" w:rsidRDefault="00991E72" w:rsidP="00991E72">
      <w:pPr>
        <w:pStyle w:val="05-Textonormal"/>
        <w:rPr>
          <w:lang w:val="en-US"/>
        </w:rPr>
      </w:pPr>
      <w:r w:rsidRPr="00993FCA">
        <w:rPr>
          <w:lang w:val="en"/>
        </w:rPr>
        <w:t>Based on the results of the work carried out by the investees, BB Seguridade continuously monitors and assesses the levels of risk exposure, acting, via governance, to ensure the adoption of the best risk management practices in its investees.</w:t>
      </w:r>
    </w:p>
    <w:p w14:paraId="5655637E" w14:textId="77777777" w:rsidR="00991E72" w:rsidRPr="00017A4B" w:rsidRDefault="00991E72" w:rsidP="00991E72">
      <w:pPr>
        <w:pStyle w:val="05-Textonormal"/>
        <w:rPr>
          <w:b/>
          <w:color w:val="1F4E79" w:themeColor="accent1" w:themeShade="80"/>
        </w:rPr>
      </w:pPr>
      <w:r w:rsidRPr="00017A4B">
        <w:rPr>
          <w:b/>
          <w:color w:val="1F4E79" w:themeColor="accent1" w:themeShade="80"/>
        </w:rPr>
        <w:t>b.1) Liquidity, solvency and capital management</w:t>
      </w:r>
    </w:p>
    <w:p w14:paraId="24D6CF76" w14:textId="77777777" w:rsidR="00991E72" w:rsidRDefault="00991E72" w:rsidP="00991E72">
      <w:pPr>
        <w:pStyle w:val="05-Textonormal"/>
        <w:rPr>
          <w:lang w:val="en-US"/>
        </w:rPr>
      </w:pPr>
      <w:r w:rsidRPr="00993FCA">
        <w:rPr>
          <w:lang w:val="en-US"/>
        </w:rPr>
        <w:t xml:space="preserve">In the capital management of affiliated companies supervised by Susep, the main indicator used is the Minimum Required Capital (CMR), which represents the total capital that a company must maintain, at any time, to operate, and aims to guarantee the risks inherent to its </w:t>
      </w:r>
      <w:r w:rsidRPr="007A2C34">
        <w:rPr>
          <w:lang w:val="en-US"/>
        </w:rPr>
        <w:t>operations, as regulated by CNSP Resolution 432/2021</w:t>
      </w:r>
      <w:r>
        <w:rPr>
          <w:lang w:val="en-US"/>
        </w:rPr>
        <w:t xml:space="preserve"> </w:t>
      </w:r>
      <w:r w:rsidRPr="003300B9">
        <w:rPr>
          <w:lang w:val="en-US"/>
        </w:rPr>
        <w:t>and subsequent amendments</w:t>
      </w:r>
      <w:r w:rsidRPr="007A2C34">
        <w:rPr>
          <w:lang w:val="en-US"/>
        </w:rPr>
        <w:t>.</w:t>
      </w:r>
    </w:p>
    <w:p w14:paraId="5FE1B0EA" w14:textId="77777777" w:rsidR="00991E72" w:rsidRPr="00993FCA" w:rsidRDefault="00991E72" w:rsidP="00991E72">
      <w:pPr>
        <w:pStyle w:val="05-Textonormal"/>
        <w:rPr>
          <w:rStyle w:val="hps"/>
          <w:lang w:val="en-US"/>
        </w:rPr>
      </w:pPr>
      <w:r w:rsidRPr="00993FCA">
        <w:rPr>
          <w:rStyle w:val="hps"/>
          <w:lang w:val="en-US"/>
        </w:rPr>
        <w:t>CMR</w:t>
      </w:r>
      <w:r w:rsidRPr="00993FCA">
        <w:rPr>
          <w:lang w:val="en-US"/>
        </w:rPr>
        <w:t xml:space="preserve"> </w:t>
      </w:r>
      <w:r w:rsidRPr="00993FCA">
        <w:rPr>
          <w:rStyle w:val="hps"/>
          <w:lang w:val="en-US"/>
        </w:rPr>
        <w:t>is</w:t>
      </w:r>
      <w:r w:rsidRPr="00993FCA">
        <w:rPr>
          <w:lang w:val="en-US"/>
        </w:rPr>
        <w:t xml:space="preserve"> </w:t>
      </w:r>
      <w:r w:rsidRPr="00993FCA">
        <w:rPr>
          <w:rStyle w:val="hps"/>
          <w:lang w:val="en-US"/>
        </w:rPr>
        <w:t>composed of</w:t>
      </w:r>
      <w:r w:rsidRPr="00993FCA">
        <w:rPr>
          <w:lang w:val="en-US"/>
        </w:rPr>
        <w:t xml:space="preserve"> </w:t>
      </w:r>
      <w:r w:rsidRPr="00993FCA">
        <w:rPr>
          <w:rStyle w:val="hps"/>
          <w:lang w:val="en-US"/>
        </w:rPr>
        <w:t>portions relating</w:t>
      </w:r>
      <w:r w:rsidRPr="00993FCA">
        <w:rPr>
          <w:lang w:val="en-US"/>
        </w:rPr>
        <w:t xml:space="preserve"> </w:t>
      </w:r>
      <w:r w:rsidRPr="00993FCA">
        <w:rPr>
          <w:rStyle w:val="hps"/>
          <w:lang w:val="en-US"/>
        </w:rPr>
        <w:t>to</w:t>
      </w:r>
      <w:r w:rsidRPr="00993FCA">
        <w:rPr>
          <w:lang w:val="en-US"/>
        </w:rPr>
        <w:t xml:space="preserve"> </w:t>
      </w:r>
      <w:r w:rsidRPr="00993FCA">
        <w:rPr>
          <w:rStyle w:val="hps"/>
          <w:lang w:val="en-US"/>
        </w:rPr>
        <w:t>underwriting</w:t>
      </w:r>
      <w:r w:rsidRPr="00993FCA">
        <w:rPr>
          <w:lang w:val="en-US"/>
        </w:rPr>
        <w:t xml:space="preserve">, credit, </w:t>
      </w:r>
      <w:r w:rsidRPr="00993FCA">
        <w:rPr>
          <w:rStyle w:val="hps"/>
          <w:lang w:val="en-US"/>
        </w:rPr>
        <w:t>operational and</w:t>
      </w:r>
      <w:r w:rsidRPr="00993FCA">
        <w:rPr>
          <w:lang w:val="en-US"/>
        </w:rPr>
        <w:t xml:space="preserve"> </w:t>
      </w:r>
      <w:r w:rsidRPr="00993FCA">
        <w:rPr>
          <w:rStyle w:val="hps"/>
          <w:lang w:val="en-US"/>
        </w:rPr>
        <w:t xml:space="preserve">market risks and the solvency capital requirement adequacy is measured using the Adjusted Net Equity (PLA) of the entity, which must be equal to or above the calculated CMR. </w:t>
      </w:r>
    </w:p>
    <w:p w14:paraId="704CF30C" w14:textId="77777777" w:rsidR="00991E72" w:rsidRPr="00993FCA" w:rsidRDefault="00991E72" w:rsidP="00991E72">
      <w:pPr>
        <w:pStyle w:val="05-Textonormal"/>
        <w:rPr>
          <w:rFonts w:cs="Arial"/>
          <w:lang w:val="en-US"/>
        </w:rPr>
      </w:pPr>
      <w:r w:rsidRPr="00993FCA">
        <w:rPr>
          <w:rStyle w:val="hps"/>
          <w:lang w:val="en-US"/>
        </w:rPr>
        <w:t xml:space="preserve">CNSP Resolution 432/2021 </w:t>
      </w:r>
      <w:r w:rsidRPr="003300B9">
        <w:rPr>
          <w:rStyle w:val="hps"/>
          <w:lang w:val="en-US"/>
        </w:rPr>
        <w:t>and subsequent amendments</w:t>
      </w:r>
      <w:r>
        <w:rPr>
          <w:rStyle w:val="hps"/>
          <w:lang w:val="en-US"/>
        </w:rPr>
        <w:t xml:space="preserve"> </w:t>
      </w:r>
      <w:r w:rsidRPr="00993FCA">
        <w:rPr>
          <w:rStyle w:val="hps"/>
          <w:lang w:val="en-US"/>
        </w:rPr>
        <w:t xml:space="preserve">establishes technical provisions calculation models and requires additional liquid assets to maintain the company's liquidity. </w:t>
      </w:r>
      <w:r w:rsidRPr="00993FCA">
        <w:rPr>
          <w:lang w:val="en"/>
        </w:rPr>
        <w:t xml:space="preserve">In addition, it contains criteria for the preparation of solvency and </w:t>
      </w:r>
      <w:r w:rsidRPr="00993FCA">
        <w:rPr>
          <w:lang w:val="en"/>
        </w:rPr>
        <w:lastRenderedPageBreak/>
        <w:t>liquidity regularization plans in cases of regulatory non-compliance. It is important to highlight that the investees, according to guidelines defined by the Group, do not have an appetite for the risk of non-compliance with regulatory solvency.</w:t>
      </w:r>
    </w:p>
    <w:p w14:paraId="5314FEBB" w14:textId="77777777" w:rsidR="00991E72" w:rsidRPr="00993FCA" w:rsidRDefault="00991E72" w:rsidP="00991E72">
      <w:pPr>
        <w:pStyle w:val="05-Textonormal"/>
        <w:rPr>
          <w:rStyle w:val="hps"/>
          <w:lang w:val="en-US"/>
        </w:rPr>
      </w:pPr>
      <w:r w:rsidRPr="00993FCA">
        <w:rPr>
          <w:rFonts w:cs="Arial"/>
          <w:lang w:val="en-US"/>
        </w:rPr>
        <w:t>For companies regulated by the National Agency of Supplementary Health (</w:t>
      </w:r>
      <w:r w:rsidRPr="00993FCA">
        <w:rPr>
          <w:lang w:val="en-US"/>
        </w:rPr>
        <w:t xml:space="preserve">ANS), there are </w:t>
      </w:r>
      <w:r w:rsidRPr="00993FCA">
        <w:rPr>
          <w:rStyle w:val="hps"/>
          <w:lang w:val="en-US"/>
        </w:rPr>
        <w:t>rules</w:t>
      </w:r>
      <w:r w:rsidRPr="00993FCA">
        <w:rPr>
          <w:lang w:val="en-US"/>
        </w:rPr>
        <w:t xml:space="preserve"> </w:t>
      </w:r>
      <w:r w:rsidRPr="00993FCA">
        <w:rPr>
          <w:rStyle w:val="hps"/>
          <w:lang w:val="en-US"/>
        </w:rPr>
        <w:t>for</w:t>
      </w:r>
      <w:r w:rsidRPr="00993FCA">
        <w:rPr>
          <w:lang w:val="en-US"/>
        </w:rPr>
        <w:t xml:space="preserve"> </w:t>
      </w:r>
      <w:r w:rsidRPr="00993FCA">
        <w:rPr>
          <w:rStyle w:val="hps"/>
          <w:lang w:val="en-US"/>
        </w:rPr>
        <w:t>recognition of technical reserves</w:t>
      </w:r>
      <w:r w:rsidRPr="00993FCA">
        <w:rPr>
          <w:lang w:val="en-US"/>
        </w:rPr>
        <w:t>, PLA criteria and S</w:t>
      </w:r>
      <w:r w:rsidRPr="00993FCA">
        <w:rPr>
          <w:rStyle w:val="hps"/>
          <w:lang w:val="en-US"/>
        </w:rPr>
        <w:t>olvency Margin</w:t>
      </w:r>
      <w:r w:rsidRPr="00993FCA">
        <w:rPr>
          <w:lang w:val="en-US"/>
        </w:rPr>
        <w:t xml:space="preserve"> </w:t>
      </w:r>
      <w:r w:rsidRPr="00993FCA">
        <w:rPr>
          <w:rStyle w:val="hps"/>
          <w:lang w:val="en-US"/>
        </w:rPr>
        <w:t>criteria</w:t>
      </w:r>
      <w:r w:rsidRPr="00993FCA">
        <w:rPr>
          <w:lang w:val="en-US"/>
        </w:rPr>
        <w:t xml:space="preserve"> </w:t>
      </w:r>
      <w:r w:rsidRPr="00993FCA">
        <w:rPr>
          <w:rStyle w:val="hps"/>
          <w:lang w:val="en-US"/>
        </w:rPr>
        <w:t>according to</w:t>
      </w:r>
      <w:r w:rsidRPr="00993FCA">
        <w:rPr>
          <w:lang w:val="en-US"/>
        </w:rPr>
        <w:t xml:space="preserve"> </w:t>
      </w:r>
      <w:r w:rsidRPr="00993FCA">
        <w:rPr>
          <w:rStyle w:val="hps"/>
          <w:lang w:val="en-US"/>
        </w:rPr>
        <w:t>Regulatory Resolution</w:t>
      </w:r>
      <w:r w:rsidRPr="00993FCA">
        <w:rPr>
          <w:lang w:val="en-US"/>
        </w:rPr>
        <w:t xml:space="preserve"> </w:t>
      </w:r>
      <w:r>
        <w:rPr>
          <w:lang w:val="en-US"/>
        </w:rPr>
        <w:t>569</w:t>
      </w:r>
      <w:r w:rsidRPr="00993FCA">
        <w:rPr>
          <w:rStyle w:val="hps"/>
          <w:lang w:val="en-US"/>
        </w:rPr>
        <w:t>/202</w:t>
      </w:r>
      <w:r>
        <w:rPr>
          <w:rStyle w:val="hps"/>
          <w:lang w:val="en-US"/>
        </w:rPr>
        <w:t>2</w:t>
      </w:r>
      <w:r w:rsidRPr="00993FCA">
        <w:rPr>
          <w:rStyle w:val="hps"/>
          <w:lang w:val="en-US"/>
        </w:rPr>
        <w:t>.</w:t>
      </w:r>
    </w:p>
    <w:p w14:paraId="677D3103" w14:textId="77777777" w:rsidR="00991E72" w:rsidRPr="00993FCA" w:rsidRDefault="00991E72" w:rsidP="00991E72">
      <w:pPr>
        <w:pStyle w:val="05-Textonormal"/>
        <w:rPr>
          <w:rFonts w:cs="Arial"/>
          <w:lang w:val="en-US"/>
        </w:rPr>
      </w:pPr>
      <w:r w:rsidRPr="00993FCA">
        <w:rPr>
          <w:rFonts w:cs="Arial"/>
          <w:lang w:val="en-US"/>
        </w:rPr>
        <w:t>For investments, where minimum capital is required, there is a search for maintaining additional capital to the regulatory one, in order to minimize the chances of non-compliance with the required amounts and in line with the risk appetite defined by their Board of Directors.</w:t>
      </w:r>
    </w:p>
    <w:p w14:paraId="48CE1B34" w14:textId="77777777" w:rsidR="00991E72" w:rsidRPr="00064F02" w:rsidRDefault="00991E72" w:rsidP="00991E72">
      <w:pPr>
        <w:pStyle w:val="05-Textonormal"/>
        <w:rPr>
          <w:rStyle w:val="hps"/>
        </w:rPr>
      </w:pPr>
      <w:r w:rsidRPr="00064F02">
        <w:rPr>
          <w:rStyle w:val="hps"/>
        </w:rPr>
        <w:t xml:space="preserve">On </w:t>
      </w:r>
      <w:r>
        <w:rPr>
          <w:rStyle w:val="hps"/>
        </w:rPr>
        <w:t>March</w:t>
      </w:r>
      <w:r w:rsidRPr="00064F02">
        <w:rPr>
          <w:rStyle w:val="hps"/>
        </w:rPr>
        <w:t xml:space="preserve"> 31, 202</w:t>
      </w:r>
      <w:r>
        <w:rPr>
          <w:rStyle w:val="hps"/>
        </w:rPr>
        <w:t>3</w:t>
      </w:r>
      <w:r w:rsidRPr="00064F02">
        <w:rPr>
          <w:rStyle w:val="hps"/>
        </w:rPr>
        <w:t xml:space="preserve">, considering the data provided by each investee, all companies in which BB Seguridade holds interests and that are subject to regulatory capital requirements, had sufficient capital, solvency and </w:t>
      </w:r>
      <w:r w:rsidRPr="007D18BF">
        <w:rPr>
          <w:rStyle w:val="hps"/>
        </w:rPr>
        <w:t>coverage of technical provisions</w:t>
      </w:r>
      <w:r w:rsidRPr="00064F02">
        <w:rPr>
          <w:rStyle w:val="hps"/>
        </w:rPr>
        <w:t>, in accordance with current legislation applicable.</w:t>
      </w:r>
    </w:p>
    <w:p w14:paraId="2FE3F9B3" w14:textId="1F5F8638" w:rsidR="00633486" w:rsidRDefault="00633486" w:rsidP="00DC062C">
      <w:pPr>
        <w:pStyle w:val="Ttulo1"/>
      </w:pPr>
    </w:p>
    <w:p w14:paraId="1A2A94E4" w14:textId="0745E499" w:rsidR="00086DF1" w:rsidRPr="00825509" w:rsidRDefault="00086DF1" w:rsidP="00DC062C">
      <w:pPr>
        <w:pStyle w:val="Ttulo1"/>
        <w:rPr>
          <w:b w:val="0"/>
          <w:bCs w:val="0"/>
        </w:rPr>
      </w:pPr>
      <w:bookmarkStart w:id="26" w:name="_Toc134823570"/>
      <w:r w:rsidRPr="00825509">
        <w:t>6 – SEGMENT INFORMATION</w:t>
      </w:r>
      <w:bookmarkEnd w:id="26"/>
    </w:p>
    <w:p w14:paraId="6E9EA73F" w14:textId="77777777" w:rsidR="00086DF1" w:rsidRPr="00691BE2" w:rsidRDefault="00086DF1" w:rsidP="00DC062C">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57831379" w14:textId="77777777" w:rsidR="00086DF1" w:rsidRPr="00691BE2" w:rsidRDefault="00086DF1" w:rsidP="00DC062C">
      <w:pPr>
        <w:pStyle w:val="01-TtulodeNota"/>
        <w:rPr>
          <w:b w:val="0"/>
          <w:sz w:val="18"/>
          <w:szCs w:val="18"/>
          <w:lang w:val="en-US"/>
        </w:rPr>
      </w:pPr>
      <w:r w:rsidRPr="00691BE2">
        <w:rPr>
          <w:b w:val="0"/>
          <w:sz w:val="18"/>
          <w:szCs w:val="18"/>
          <w:lang w:val="en-US"/>
        </w:rPr>
        <w:t>BB Seguridade Group's operations are basically divided into two segments: i)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5A8EDEE6" w14:textId="77777777" w:rsidR="00086DF1" w:rsidRPr="00691BE2" w:rsidRDefault="00086DF1" w:rsidP="00DC062C">
      <w:pPr>
        <w:pStyle w:val="01-TtulodeNota"/>
        <w:rPr>
          <w:color w:val="1F4E79" w:themeColor="accent1" w:themeShade="80"/>
          <w:sz w:val="18"/>
          <w:lang w:val="en-US"/>
        </w:rPr>
      </w:pPr>
      <w:r w:rsidRPr="00691BE2">
        <w:rPr>
          <w:b w:val="0"/>
          <w:sz w:val="18"/>
          <w:szCs w:val="18"/>
          <w:lang w:val="en-US"/>
        </w:rPr>
        <w:t xml:space="preserve"> </w:t>
      </w:r>
      <w:r w:rsidRPr="00691BE2">
        <w:rPr>
          <w:color w:val="1F4E79" w:themeColor="accent1" w:themeShade="80"/>
          <w:sz w:val="18"/>
          <w:lang w:val="en-US"/>
        </w:rPr>
        <w:t>a) Insurance</w:t>
      </w:r>
    </w:p>
    <w:p w14:paraId="360A0482" w14:textId="77777777" w:rsidR="00086DF1" w:rsidRPr="00691BE2" w:rsidRDefault="00086DF1" w:rsidP="00DC062C">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395BB8BB" w14:textId="77777777" w:rsidR="00086DF1" w:rsidRDefault="00086DF1" w:rsidP="00DC062C">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0ECABF0B" w14:textId="77777777" w:rsidR="00086DF1" w:rsidRPr="00691BE2" w:rsidRDefault="00086DF1" w:rsidP="00DC062C">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130FCC0F" w14:textId="77777777" w:rsidR="00086DF1" w:rsidRPr="00320430" w:rsidRDefault="00086DF1" w:rsidP="00DC062C">
      <w:pPr>
        <w:pStyle w:val="01-TtulodeNota"/>
        <w:rPr>
          <w:color w:val="1F4E79" w:themeColor="accent1" w:themeShade="80"/>
          <w:sz w:val="18"/>
          <w:lang w:val="en-US"/>
        </w:rPr>
      </w:pPr>
      <w:r w:rsidRPr="00320430">
        <w:rPr>
          <w:color w:val="1F4E79" w:themeColor="accent1" w:themeShade="80"/>
          <w:sz w:val="18"/>
          <w:lang w:val="en-US"/>
        </w:rPr>
        <w:t>b) Brokerage</w:t>
      </w:r>
    </w:p>
    <w:p w14:paraId="601424BA" w14:textId="77777777" w:rsidR="00086DF1" w:rsidRPr="00691BE2" w:rsidRDefault="00086DF1" w:rsidP="00DC062C">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 dental plans and health insurance, it includes the balances of BB Corretora and its investee Ciclic</w:t>
      </w:r>
      <w:r>
        <w:rPr>
          <w:lang w:val="en-US"/>
        </w:rPr>
        <w:t>.</w:t>
      </w:r>
    </w:p>
    <w:p w14:paraId="757258D4" w14:textId="77777777" w:rsidR="002A1B52" w:rsidRDefault="002A1B52">
      <w:pPr>
        <w:rPr>
          <w:rFonts w:eastAsia="Times New Roman" w:cs="Times New Roman"/>
          <w:b/>
          <w:color w:val="1F4E79" w:themeColor="accent1" w:themeShade="80"/>
          <w:spacing w:val="-2"/>
          <w:szCs w:val="20"/>
          <w:lang w:val="en-US" w:eastAsia="pt-BR"/>
        </w:rPr>
      </w:pPr>
      <w:r>
        <w:rPr>
          <w:color w:val="1F4E79" w:themeColor="accent1" w:themeShade="80"/>
          <w:lang w:val="en-US"/>
        </w:rPr>
        <w:br w:type="page"/>
      </w:r>
    </w:p>
    <w:p w14:paraId="7FD1E622" w14:textId="2E4057BA" w:rsidR="00086DF1" w:rsidRPr="00BE238B" w:rsidRDefault="00086DF1" w:rsidP="00DC062C">
      <w:pPr>
        <w:pStyle w:val="01-TtulodeNota"/>
        <w:spacing w:after="0"/>
        <w:rPr>
          <w:color w:val="1F4E79" w:themeColor="accent1" w:themeShade="80"/>
          <w:sz w:val="18"/>
          <w:lang w:val="en-US"/>
        </w:rPr>
      </w:pPr>
      <w:r w:rsidRPr="00691BE2">
        <w:rPr>
          <w:color w:val="1F4E79" w:themeColor="accent1" w:themeShade="80"/>
          <w:sz w:val="18"/>
          <w:lang w:val="en-US"/>
        </w:rPr>
        <w:lastRenderedPageBreak/>
        <w:t>c) Financial Information by Reportable Segment</w:t>
      </w:r>
      <w:bookmarkStart w:id="27" w:name="OLE_LINK3"/>
    </w:p>
    <w:p w14:paraId="32769C24" w14:textId="77777777" w:rsidR="00086DF1" w:rsidRPr="009928AA" w:rsidRDefault="00086DF1" w:rsidP="00DC062C">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086DF1" w:rsidRPr="00D061B2" w14:paraId="2937E031" w14:textId="77777777" w:rsidTr="00DC062C">
        <w:trPr>
          <w:trHeight w:val="238"/>
        </w:trPr>
        <w:tc>
          <w:tcPr>
            <w:tcW w:w="4678" w:type="dxa"/>
            <w:tcBorders>
              <w:top w:val="single" w:sz="2" w:space="0" w:color="1F4E79" w:themeColor="accent1" w:themeShade="80"/>
            </w:tcBorders>
            <w:shd w:val="clear" w:color="auto" w:fill="auto"/>
          </w:tcPr>
          <w:p w14:paraId="0B50D93D" w14:textId="77777777" w:rsidR="00086DF1" w:rsidRPr="00D061B2" w:rsidRDefault="00086DF1" w:rsidP="00DC062C">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37AAA991" w14:textId="77777777" w:rsidR="00086DF1" w:rsidRPr="00D061B2" w:rsidRDefault="00086DF1" w:rsidP="00DC062C">
            <w:pPr>
              <w:spacing w:after="0"/>
              <w:jc w:val="center"/>
              <w:rPr>
                <w:rFonts w:cs="Arial"/>
                <w:b/>
                <w:sz w:val="14"/>
                <w:szCs w:val="14"/>
              </w:rPr>
            </w:pPr>
            <w:r w:rsidRPr="00E30F81">
              <w:rPr>
                <w:rFonts w:cs="Arial"/>
                <w:b/>
                <w:sz w:val="14"/>
                <w:szCs w:val="14"/>
              </w:rPr>
              <w:t>1</w:t>
            </w:r>
            <w:r w:rsidRPr="00E30F81">
              <w:rPr>
                <w:rFonts w:cs="Arial"/>
                <w:b/>
                <w:sz w:val="14"/>
                <w:szCs w:val="14"/>
                <w:vertAlign w:val="superscript"/>
              </w:rPr>
              <w:t>st</w:t>
            </w:r>
            <w:r w:rsidRPr="00E30F81">
              <w:rPr>
                <w:rFonts w:cs="Arial"/>
                <w:b/>
                <w:sz w:val="14"/>
                <w:szCs w:val="14"/>
              </w:rPr>
              <w:t xml:space="preserve"> Quarter 202</w:t>
            </w:r>
            <w:r>
              <w:rPr>
                <w:rFonts w:cs="Arial"/>
                <w:b/>
                <w:sz w:val="14"/>
                <w:szCs w:val="14"/>
              </w:rPr>
              <w:t>3</w:t>
            </w:r>
          </w:p>
        </w:tc>
      </w:tr>
      <w:tr w:rsidR="00086DF1" w:rsidRPr="00D061B2" w14:paraId="7D33F1ED" w14:textId="77777777" w:rsidTr="00DC062C">
        <w:trPr>
          <w:trHeight w:val="238"/>
        </w:trPr>
        <w:tc>
          <w:tcPr>
            <w:tcW w:w="4678" w:type="dxa"/>
            <w:tcBorders>
              <w:bottom w:val="single" w:sz="2" w:space="0" w:color="1F4E79" w:themeColor="accent1" w:themeShade="80"/>
            </w:tcBorders>
            <w:shd w:val="clear" w:color="auto" w:fill="auto"/>
          </w:tcPr>
          <w:p w14:paraId="5FA07A56" w14:textId="77777777" w:rsidR="00086DF1" w:rsidRPr="00D061B2" w:rsidRDefault="00086DF1" w:rsidP="00DC062C">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2A821A79" w14:textId="77777777" w:rsidR="00086DF1" w:rsidRPr="00D061B2" w:rsidRDefault="00086DF1" w:rsidP="00DC062C">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C3E56A4" w14:textId="77777777" w:rsidR="00086DF1" w:rsidRPr="00D061B2" w:rsidRDefault="00086DF1" w:rsidP="00DC062C">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E8EC4BE" w14:textId="77777777" w:rsidR="00086DF1" w:rsidRPr="00D061B2" w:rsidRDefault="00086DF1" w:rsidP="00DC062C">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261E8DD5" w14:textId="77777777" w:rsidR="00086DF1" w:rsidRPr="00D061B2" w:rsidRDefault="00086DF1" w:rsidP="00DC062C">
            <w:pPr>
              <w:pStyle w:val="08-Tabelageral"/>
              <w:jc w:val="center"/>
              <w:rPr>
                <w:rFonts w:cs="Arial"/>
                <w:b/>
                <w:szCs w:val="14"/>
              </w:rPr>
            </w:pPr>
            <w:r w:rsidRPr="00D061B2">
              <w:rPr>
                <w:rFonts w:cs="Arial"/>
                <w:b/>
                <w:szCs w:val="14"/>
              </w:rPr>
              <w:t>Total</w:t>
            </w:r>
          </w:p>
        </w:tc>
      </w:tr>
      <w:tr w:rsidR="00086DF1" w:rsidRPr="00DA72A7" w14:paraId="0B85D0FF" w14:textId="77777777" w:rsidTr="00DC062C">
        <w:trPr>
          <w:trHeight w:val="238"/>
        </w:trPr>
        <w:tc>
          <w:tcPr>
            <w:tcW w:w="4678" w:type="dxa"/>
            <w:tcBorders>
              <w:top w:val="single" w:sz="2" w:space="0" w:color="1F4E79" w:themeColor="accent1" w:themeShade="80"/>
              <w:bottom w:val="nil"/>
            </w:tcBorders>
            <w:shd w:val="clear" w:color="auto" w:fill="auto"/>
          </w:tcPr>
          <w:p w14:paraId="4CD51139" w14:textId="77777777" w:rsidR="00086DF1" w:rsidRPr="00DA72A7" w:rsidRDefault="00086DF1" w:rsidP="00DC062C">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tcBorders>
            <w:shd w:val="clear" w:color="auto" w:fill="auto"/>
            <w:vAlign w:val="bottom"/>
          </w:tcPr>
          <w:p w14:paraId="2502A8ED" w14:textId="77777777" w:rsidR="00086DF1" w:rsidRPr="00DA72A7" w:rsidRDefault="00086DF1" w:rsidP="00DC062C">
            <w:pPr>
              <w:pStyle w:val="08-Tabelageral"/>
              <w:rPr>
                <w:rFonts w:cs="Arial"/>
                <w:b/>
                <w:szCs w:val="14"/>
              </w:rPr>
            </w:pPr>
            <w:r>
              <w:rPr>
                <w:rFonts w:cs="Arial"/>
                <w:b/>
                <w:bCs/>
                <w:color w:val="000000"/>
                <w:szCs w:val="14"/>
              </w:rPr>
              <w:t>2,966,663</w:t>
            </w:r>
          </w:p>
        </w:tc>
        <w:tc>
          <w:tcPr>
            <w:tcW w:w="1240" w:type="dxa"/>
            <w:tcBorders>
              <w:top w:val="single" w:sz="2" w:space="0" w:color="1F4E79" w:themeColor="accent1" w:themeShade="80"/>
            </w:tcBorders>
            <w:shd w:val="clear" w:color="auto" w:fill="auto"/>
            <w:vAlign w:val="bottom"/>
          </w:tcPr>
          <w:p w14:paraId="7217512E" w14:textId="77777777" w:rsidR="00086DF1" w:rsidRPr="00DA72A7" w:rsidRDefault="00086DF1" w:rsidP="00DC062C">
            <w:pPr>
              <w:pStyle w:val="08-Tabelageral"/>
              <w:rPr>
                <w:rFonts w:cs="Arial"/>
                <w:b/>
                <w:szCs w:val="14"/>
              </w:rPr>
            </w:pPr>
            <w:r>
              <w:rPr>
                <w:rFonts w:cs="Arial"/>
                <w:b/>
                <w:bCs/>
                <w:color w:val="000000"/>
                <w:szCs w:val="14"/>
              </w:rPr>
              <w:t>1,068,305</w:t>
            </w:r>
          </w:p>
        </w:tc>
        <w:tc>
          <w:tcPr>
            <w:tcW w:w="1240" w:type="dxa"/>
            <w:tcBorders>
              <w:top w:val="single" w:sz="2" w:space="0" w:color="1F4E79" w:themeColor="accent1" w:themeShade="80"/>
            </w:tcBorders>
            <w:shd w:val="clear" w:color="auto" w:fill="auto"/>
            <w:vAlign w:val="bottom"/>
          </w:tcPr>
          <w:p w14:paraId="03923DB0" w14:textId="77777777" w:rsidR="00086DF1" w:rsidRPr="00DA72A7" w:rsidRDefault="00086DF1" w:rsidP="00DC062C">
            <w:pPr>
              <w:pStyle w:val="08-Tabelageral"/>
              <w:rPr>
                <w:rFonts w:cs="Arial"/>
                <w:b/>
                <w:szCs w:val="14"/>
              </w:rPr>
            </w:pPr>
            <w:r>
              <w:rPr>
                <w:rFonts w:cs="Arial"/>
                <w:b/>
                <w:bCs/>
                <w:color w:val="000000"/>
                <w:szCs w:val="14"/>
              </w:rPr>
              <w:t>(1,838,891)</w:t>
            </w:r>
          </w:p>
        </w:tc>
        <w:tc>
          <w:tcPr>
            <w:tcW w:w="1241" w:type="dxa"/>
            <w:tcBorders>
              <w:top w:val="single" w:sz="2" w:space="0" w:color="1F4E79" w:themeColor="accent1" w:themeShade="80"/>
            </w:tcBorders>
            <w:shd w:val="clear" w:color="auto" w:fill="auto"/>
            <w:vAlign w:val="bottom"/>
          </w:tcPr>
          <w:p w14:paraId="1C5532AD" w14:textId="77777777" w:rsidR="00086DF1" w:rsidRPr="00DA72A7" w:rsidRDefault="00086DF1" w:rsidP="00DC062C">
            <w:pPr>
              <w:pStyle w:val="08-Tabelageral"/>
              <w:rPr>
                <w:rFonts w:cs="Arial"/>
                <w:b/>
                <w:szCs w:val="14"/>
              </w:rPr>
            </w:pPr>
            <w:r>
              <w:rPr>
                <w:rFonts w:cs="Arial"/>
                <w:b/>
                <w:bCs/>
                <w:color w:val="000000"/>
                <w:szCs w:val="14"/>
              </w:rPr>
              <w:t>2,196,077</w:t>
            </w:r>
          </w:p>
        </w:tc>
      </w:tr>
      <w:tr w:rsidR="00086DF1" w:rsidRPr="00DA72A7" w14:paraId="0B9D081A" w14:textId="77777777" w:rsidTr="00DC062C">
        <w:trPr>
          <w:trHeight w:val="238"/>
        </w:trPr>
        <w:tc>
          <w:tcPr>
            <w:tcW w:w="4678" w:type="dxa"/>
            <w:tcBorders>
              <w:top w:val="nil"/>
            </w:tcBorders>
            <w:shd w:val="clear" w:color="auto" w:fill="auto"/>
          </w:tcPr>
          <w:p w14:paraId="27AF7851" w14:textId="77777777" w:rsidR="00086DF1" w:rsidRPr="00DA72A7" w:rsidRDefault="00086DF1" w:rsidP="00DC062C">
            <w:pPr>
              <w:pStyle w:val="08-Tabelageral"/>
              <w:ind w:left="113"/>
              <w:jc w:val="left"/>
              <w:rPr>
                <w:rFonts w:cs="Arial"/>
                <w:bCs/>
                <w:szCs w:val="14"/>
              </w:rPr>
            </w:pPr>
            <w:r w:rsidRPr="00DA72A7">
              <w:rPr>
                <w:rFonts w:cs="Arial"/>
                <w:bCs/>
                <w:szCs w:val="14"/>
              </w:rPr>
              <w:t>Equity income</w:t>
            </w:r>
          </w:p>
        </w:tc>
        <w:tc>
          <w:tcPr>
            <w:tcW w:w="1240" w:type="dxa"/>
            <w:shd w:val="clear" w:color="auto" w:fill="auto"/>
            <w:vAlign w:val="bottom"/>
          </w:tcPr>
          <w:p w14:paraId="11A77F50" w14:textId="77777777" w:rsidR="00086DF1" w:rsidRPr="00DA72A7" w:rsidRDefault="00086DF1" w:rsidP="00DC062C">
            <w:pPr>
              <w:pStyle w:val="08-Tabelageral"/>
              <w:rPr>
                <w:rFonts w:cs="Arial"/>
                <w:bCs/>
                <w:szCs w:val="14"/>
              </w:rPr>
            </w:pPr>
            <w:r>
              <w:rPr>
                <w:rFonts w:cs="Arial"/>
                <w:color w:val="000000"/>
                <w:szCs w:val="14"/>
              </w:rPr>
              <w:t>2,966,663</w:t>
            </w:r>
          </w:p>
        </w:tc>
        <w:tc>
          <w:tcPr>
            <w:tcW w:w="1240" w:type="dxa"/>
            <w:shd w:val="clear" w:color="auto" w:fill="auto"/>
            <w:vAlign w:val="bottom"/>
          </w:tcPr>
          <w:p w14:paraId="61CBE944" w14:textId="77777777" w:rsidR="00086DF1" w:rsidRPr="00DA72A7" w:rsidRDefault="00086DF1" w:rsidP="00DC062C">
            <w:pPr>
              <w:pStyle w:val="08-Tabelageral"/>
              <w:rPr>
                <w:rFonts w:cs="Arial"/>
                <w:bCs/>
                <w:szCs w:val="14"/>
              </w:rPr>
            </w:pPr>
            <w:r>
              <w:rPr>
                <w:rFonts w:cs="Arial"/>
                <w:color w:val="000000"/>
                <w:szCs w:val="14"/>
              </w:rPr>
              <w:t>38</w:t>
            </w:r>
          </w:p>
        </w:tc>
        <w:tc>
          <w:tcPr>
            <w:tcW w:w="1240" w:type="dxa"/>
            <w:shd w:val="clear" w:color="auto" w:fill="auto"/>
            <w:vAlign w:val="bottom"/>
          </w:tcPr>
          <w:p w14:paraId="66C0C14C" w14:textId="77777777" w:rsidR="00086DF1" w:rsidRPr="00DA72A7" w:rsidRDefault="00086DF1" w:rsidP="00DC062C">
            <w:pPr>
              <w:pStyle w:val="08-Tabelageral"/>
              <w:rPr>
                <w:rFonts w:cs="Arial"/>
                <w:bCs/>
                <w:szCs w:val="14"/>
              </w:rPr>
            </w:pPr>
            <w:r>
              <w:rPr>
                <w:rFonts w:cs="Arial"/>
                <w:color w:val="000000"/>
                <w:szCs w:val="14"/>
              </w:rPr>
              <w:t>(1,838,891)</w:t>
            </w:r>
          </w:p>
        </w:tc>
        <w:tc>
          <w:tcPr>
            <w:tcW w:w="1241" w:type="dxa"/>
            <w:shd w:val="clear" w:color="auto" w:fill="auto"/>
            <w:vAlign w:val="bottom"/>
          </w:tcPr>
          <w:p w14:paraId="0BC47A85" w14:textId="77777777" w:rsidR="00086DF1" w:rsidRPr="00DA72A7" w:rsidRDefault="00086DF1" w:rsidP="00DC062C">
            <w:pPr>
              <w:pStyle w:val="08-Tabelageral"/>
              <w:rPr>
                <w:rFonts w:cs="Arial"/>
                <w:bCs/>
                <w:szCs w:val="14"/>
              </w:rPr>
            </w:pPr>
            <w:r>
              <w:rPr>
                <w:rFonts w:cs="Arial"/>
                <w:color w:val="000000"/>
                <w:szCs w:val="14"/>
              </w:rPr>
              <w:t>1,127,810</w:t>
            </w:r>
          </w:p>
        </w:tc>
      </w:tr>
      <w:tr w:rsidR="00086DF1" w:rsidRPr="00DA72A7" w14:paraId="79F09AD1" w14:textId="77777777" w:rsidTr="00DC062C">
        <w:trPr>
          <w:trHeight w:val="238"/>
        </w:trPr>
        <w:tc>
          <w:tcPr>
            <w:tcW w:w="4678" w:type="dxa"/>
            <w:shd w:val="clear" w:color="auto" w:fill="auto"/>
          </w:tcPr>
          <w:p w14:paraId="224C815F" w14:textId="77777777" w:rsidR="00086DF1" w:rsidRPr="00DA72A7" w:rsidRDefault="00086DF1" w:rsidP="00DC062C">
            <w:pPr>
              <w:pStyle w:val="08-Tabelageral"/>
              <w:ind w:left="113"/>
              <w:jc w:val="left"/>
              <w:rPr>
                <w:rFonts w:cs="Arial"/>
                <w:bCs/>
                <w:szCs w:val="14"/>
              </w:rPr>
            </w:pPr>
            <w:r w:rsidRPr="00DA72A7">
              <w:rPr>
                <w:rFonts w:cs="Arial"/>
                <w:bCs/>
                <w:szCs w:val="14"/>
              </w:rPr>
              <w:t>Commissions income</w:t>
            </w:r>
          </w:p>
        </w:tc>
        <w:tc>
          <w:tcPr>
            <w:tcW w:w="1240" w:type="dxa"/>
            <w:shd w:val="clear" w:color="auto" w:fill="auto"/>
            <w:vAlign w:val="bottom"/>
          </w:tcPr>
          <w:p w14:paraId="6C0BEEA1" w14:textId="77777777" w:rsidR="00086DF1" w:rsidRPr="00DA72A7" w:rsidRDefault="00086DF1" w:rsidP="00DC062C">
            <w:pPr>
              <w:pStyle w:val="08-Tabelageral"/>
              <w:rPr>
                <w:rFonts w:cs="Arial"/>
                <w:bCs/>
                <w:szCs w:val="14"/>
              </w:rPr>
            </w:pPr>
            <w:r>
              <w:rPr>
                <w:rFonts w:cs="Arial"/>
                <w:color w:val="000000"/>
                <w:szCs w:val="14"/>
              </w:rPr>
              <w:t>--</w:t>
            </w:r>
          </w:p>
        </w:tc>
        <w:tc>
          <w:tcPr>
            <w:tcW w:w="1240" w:type="dxa"/>
            <w:shd w:val="clear" w:color="auto" w:fill="auto"/>
            <w:vAlign w:val="bottom"/>
          </w:tcPr>
          <w:p w14:paraId="20CE7D84" w14:textId="77777777" w:rsidR="00086DF1" w:rsidRPr="00DA72A7" w:rsidRDefault="00086DF1" w:rsidP="00DC062C">
            <w:pPr>
              <w:pStyle w:val="08-Tabelageral"/>
              <w:rPr>
                <w:rFonts w:cs="Arial"/>
                <w:bCs/>
                <w:szCs w:val="14"/>
              </w:rPr>
            </w:pPr>
            <w:r>
              <w:rPr>
                <w:rFonts w:cs="Arial"/>
                <w:color w:val="000000"/>
                <w:szCs w:val="14"/>
              </w:rPr>
              <w:t>1,068,267</w:t>
            </w:r>
          </w:p>
        </w:tc>
        <w:tc>
          <w:tcPr>
            <w:tcW w:w="1240" w:type="dxa"/>
            <w:shd w:val="clear" w:color="auto" w:fill="auto"/>
            <w:vAlign w:val="bottom"/>
          </w:tcPr>
          <w:p w14:paraId="2CB20181" w14:textId="77777777" w:rsidR="00086DF1" w:rsidRPr="00DA72A7" w:rsidRDefault="00086DF1" w:rsidP="00DC062C">
            <w:pPr>
              <w:pStyle w:val="08-Tabelageral"/>
              <w:rPr>
                <w:rFonts w:cs="Arial"/>
                <w:bCs/>
                <w:szCs w:val="14"/>
              </w:rPr>
            </w:pPr>
            <w:r>
              <w:rPr>
                <w:rFonts w:cs="Arial"/>
                <w:color w:val="000000"/>
                <w:szCs w:val="14"/>
              </w:rPr>
              <w:t>--</w:t>
            </w:r>
          </w:p>
        </w:tc>
        <w:tc>
          <w:tcPr>
            <w:tcW w:w="1241" w:type="dxa"/>
            <w:shd w:val="clear" w:color="auto" w:fill="auto"/>
            <w:vAlign w:val="bottom"/>
          </w:tcPr>
          <w:p w14:paraId="43F06F74" w14:textId="77777777" w:rsidR="00086DF1" w:rsidRPr="00DA72A7" w:rsidRDefault="00086DF1" w:rsidP="00DC062C">
            <w:pPr>
              <w:pStyle w:val="08-Tabelageral"/>
              <w:rPr>
                <w:rFonts w:cs="Arial"/>
                <w:bCs/>
                <w:szCs w:val="14"/>
              </w:rPr>
            </w:pPr>
            <w:r>
              <w:rPr>
                <w:rFonts w:cs="Arial"/>
                <w:color w:val="000000"/>
                <w:szCs w:val="14"/>
              </w:rPr>
              <w:t>1,068,267</w:t>
            </w:r>
          </w:p>
        </w:tc>
      </w:tr>
      <w:tr w:rsidR="00086DF1" w:rsidRPr="00DA72A7" w14:paraId="4BB28729" w14:textId="77777777" w:rsidTr="00DC062C">
        <w:trPr>
          <w:trHeight w:val="238"/>
        </w:trPr>
        <w:tc>
          <w:tcPr>
            <w:tcW w:w="4678" w:type="dxa"/>
            <w:shd w:val="clear" w:color="auto" w:fill="auto"/>
          </w:tcPr>
          <w:p w14:paraId="1E70306D" w14:textId="77777777" w:rsidR="00086DF1" w:rsidRPr="00DA72A7" w:rsidRDefault="00086DF1" w:rsidP="00DC062C">
            <w:pPr>
              <w:pStyle w:val="08-Tabelageral"/>
              <w:jc w:val="left"/>
              <w:rPr>
                <w:rFonts w:cs="Arial"/>
                <w:b/>
                <w:szCs w:val="14"/>
              </w:rPr>
            </w:pPr>
            <w:r w:rsidRPr="00DA72A7">
              <w:rPr>
                <w:rFonts w:cs="Arial"/>
                <w:b/>
                <w:szCs w:val="14"/>
              </w:rPr>
              <w:t>Cost of Services Provided</w:t>
            </w:r>
          </w:p>
        </w:tc>
        <w:tc>
          <w:tcPr>
            <w:tcW w:w="1240" w:type="dxa"/>
            <w:shd w:val="clear" w:color="auto" w:fill="auto"/>
            <w:vAlign w:val="bottom"/>
          </w:tcPr>
          <w:p w14:paraId="50FE79AC" w14:textId="77777777" w:rsidR="00086DF1" w:rsidRPr="00DA72A7" w:rsidRDefault="00086DF1" w:rsidP="00DC062C">
            <w:pPr>
              <w:pStyle w:val="08-Tabelageral"/>
              <w:rPr>
                <w:rFonts w:cs="Arial"/>
                <w:b/>
                <w:szCs w:val="14"/>
              </w:rPr>
            </w:pPr>
            <w:r>
              <w:rPr>
                <w:rFonts w:cs="Arial"/>
                <w:color w:val="000000"/>
                <w:szCs w:val="14"/>
              </w:rPr>
              <w:t>--</w:t>
            </w:r>
          </w:p>
        </w:tc>
        <w:tc>
          <w:tcPr>
            <w:tcW w:w="1240" w:type="dxa"/>
            <w:shd w:val="clear" w:color="auto" w:fill="auto"/>
            <w:vAlign w:val="bottom"/>
          </w:tcPr>
          <w:p w14:paraId="4D8E9E8A" w14:textId="77777777" w:rsidR="00086DF1" w:rsidRPr="00DA72A7" w:rsidRDefault="00086DF1" w:rsidP="00DC062C">
            <w:pPr>
              <w:pStyle w:val="08-Tabelageral"/>
              <w:rPr>
                <w:rFonts w:cs="Arial"/>
                <w:b/>
                <w:szCs w:val="14"/>
              </w:rPr>
            </w:pPr>
            <w:r>
              <w:rPr>
                <w:rFonts w:cs="Arial"/>
                <w:color w:val="000000"/>
                <w:szCs w:val="14"/>
              </w:rPr>
              <w:t>(50,722)</w:t>
            </w:r>
          </w:p>
        </w:tc>
        <w:tc>
          <w:tcPr>
            <w:tcW w:w="1240" w:type="dxa"/>
            <w:shd w:val="clear" w:color="auto" w:fill="auto"/>
            <w:vAlign w:val="bottom"/>
          </w:tcPr>
          <w:p w14:paraId="7364F2EA" w14:textId="77777777" w:rsidR="00086DF1" w:rsidRPr="00DA72A7" w:rsidRDefault="00086DF1" w:rsidP="00DC062C">
            <w:pPr>
              <w:pStyle w:val="08-Tabelageral"/>
              <w:rPr>
                <w:rFonts w:cs="Arial"/>
                <w:b/>
                <w:szCs w:val="14"/>
              </w:rPr>
            </w:pPr>
            <w:r>
              <w:rPr>
                <w:rFonts w:cs="Arial"/>
                <w:color w:val="000000"/>
                <w:szCs w:val="14"/>
              </w:rPr>
              <w:t>--</w:t>
            </w:r>
          </w:p>
        </w:tc>
        <w:tc>
          <w:tcPr>
            <w:tcW w:w="1241" w:type="dxa"/>
            <w:shd w:val="clear" w:color="auto" w:fill="auto"/>
            <w:vAlign w:val="bottom"/>
          </w:tcPr>
          <w:p w14:paraId="02C7F299" w14:textId="77777777" w:rsidR="00086DF1" w:rsidRPr="00DA72A7" w:rsidRDefault="00086DF1" w:rsidP="00DC062C">
            <w:pPr>
              <w:pStyle w:val="08-Tabelageral"/>
              <w:rPr>
                <w:rFonts w:cs="Arial"/>
                <w:b/>
                <w:szCs w:val="14"/>
              </w:rPr>
            </w:pPr>
            <w:r>
              <w:rPr>
                <w:rFonts w:cs="Arial"/>
                <w:color w:val="000000"/>
                <w:szCs w:val="14"/>
              </w:rPr>
              <w:t>(50,722)</w:t>
            </w:r>
          </w:p>
        </w:tc>
      </w:tr>
      <w:tr w:rsidR="00086DF1" w:rsidRPr="00DA72A7" w14:paraId="46BACAC7" w14:textId="77777777" w:rsidTr="00DC062C">
        <w:trPr>
          <w:trHeight w:val="238"/>
        </w:trPr>
        <w:tc>
          <w:tcPr>
            <w:tcW w:w="4678" w:type="dxa"/>
            <w:shd w:val="clear" w:color="auto" w:fill="auto"/>
          </w:tcPr>
          <w:p w14:paraId="1AF816DA" w14:textId="77777777" w:rsidR="00086DF1" w:rsidRPr="00DA72A7" w:rsidRDefault="00086DF1" w:rsidP="00DC062C">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3A916357" w14:textId="77777777" w:rsidR="00086DF1" w:rsidRPr="00DA72A7" w:rsidRDefault="00086DF1" w:rsidP="00DC062C">
            <w:pPr>
              <w:pStyle w:val="08-Tabelageral"/>
              <w:rPr>
                <w:rFonts w:cs="Arial"/>
                <w:b/>
                <w:szCs w:val="14"/>
              </w:rPr>
            </w:pPr>
            <w:r>
              <w:rPr>
                <w:rFonts w:cs="Arial"/>
                <w:b/>
                <w:bCs/>
                <w:color w:val="000000"/>
                <w:szCs w:val="14"/>
              </w:rPr>
              <w:t>2,966,663</w:t>
            </w:r>
          </w:p>
        </w:tc>
        <w:tc>
          <w:tcPr>
            <w:tcW w:w="1240" w:type="dxa"/>
            <w:shd w:val="clear" w:color="auto" w:fill="auto"/>
            <w:vAlign w:val="bottom"/>
          </w:tcPr>
          <w:p w14:paraId="769CD8A5" w14:textId="77777777" w:rsidR="00086DF1" w:rsidRPr="00DA72A7" w:rsidRDefault="00086DF1" w:rsidP="00DC062C">
            <w:pPr>
              <w:pStyle w:val="08-Tabelageral"/>
              <w:rPr>
                <w:rFonts w:cs="Arial"/>
                <w:b/>
                <w:szCs w:val="14"/>
              </w:rPr>
            </w:pPr>
            <w:r>
              <w:rPr>
                <w:rFonts w:cs="Arial"/>
                <w:b/>
                <w:bCs/>
                <w:color w:val="000000"/>
                <w:szCs w:val="14"/>
              </w:rPr>
              <w:t>1,017,583</w:t>
            </w:r>
          </w:p>
        </w:tc>
        <w:tc>
          <w:tcPr>
            <w:tcW w:w="1240" w:type="dxa"/>
            <w:shd w:val="clear" w:color="auto" w:fill="auto"/>
            <w:vAlign w:val="bottom"/>
          </w:tcPr>
          <w:p w14:paraId="7A301C30" w14:textId="77777777" w:rsidR="00086DF1" w:rsidRPr="00DA72A7" w:rsidRDefault="00086DF1" w:rsidP="00DC062C">
            <w:pPr>
              <w:pStyle w:val="08-Tabelageral"/>
              <w:rPr>
                <w:rFonts w:cs="Arial"/>
                <w:b/>
                <w:szCs w:val="14"/>
              </w:rPr>
            </w:pPr>
            <w:r>
              <w:rPr>
                <w:rFonts w:cs="Arial"/>
                <w:b/>
                <w:bCs/>
                <w:color w:val="000000"/>
                <w:szCs w:val="14"/>
              </w:rPr>
              <w:t>(1,838,891)</w:t>
            </w:r>
          </w:p>
        </w:tc>
        <w:tc>
          <w:tcPr>
            <w:tcW w:w="1241" w:type="dxa"/>
            <w:shd w:val="clear" w:color="auto" w:fill="auto"/>
            <w:vAlign w:val="bottom"/>
          </w:tcPr>
          <w:p w14:paraId="22B64D28" w14:textId="77777777" w:rsidR="00086DF1" w:rsidRPr="00DA72A7" w:rsidRDefault="00086DF1" w:rsidP="00DC062C">
            <w:pPr>
              <w:pStyle w:val="08-Tabelageral"/>
              <w:rPr>
                <w:rFonts w:cs="Arial"/>
                <w:b/>
                <w:szCs w:val="14"/>
              </w:rPr>
            </w:pPr>
            <w:r>
              <w:rPr>
                <w:rFonts w:cs="Arial"/>
                <w:b/>
                <w:bCs/>
                <w:color w:val="000000"/>
                <w:szCs w:val="14"/>
              </w:rPr>
              <w:t>2,145,355</w:t>
            </w:r>
          </w:p>
        </w:tc>
      </w:tr>
      <w:tr w:rsidR="00086DF1" w:rsidRPr="00DA72A7" w14:paraId="09679CEF" w14:textId="77777777" w:rsidTr="00DC062C">
        <w:trPr>
          <w:trHeight w:val="238"/>
        </w:trPr>
        <w:tc>
          <w:tcPr>
            <w:tcW w:w="4678" w:type="dxa"/>
            <w:shd w:val="clear" w:color="auto" w:fill="auto"/>
          </w:tcPr>
          <w:p w14:paraId="07020691" w14:textId="77777777" w:rsidR="00086DF1" w:rsidRPr="00DA72A7" w:rsidRDefault="00086DF1" w:rsidP="00DC062C">
            <w:pPr>
              <w:pStyle w:val="08-Tabelageral"/>
              <w:jc w:val="left"/>
              <w:rPr>
                <w:rFonts w:cs="Arial"/>
                <w:b/>
                <w:szCs w:val="14"/>
              </w:rPr>
            </w:pPr>
            <w:r w:rsidRPr="00DA72A7">
              <w:rPr>
                <w:rFonts w:cs="Arial"/>
                <w:b/>
                <w:szCs w:val="14"/>
              </w:rPr>
              <w:t>Other Income and Expenses</w:t>
            </w:r>
          </w:p>
        </w:tc>
        <w:tc>
          <w:tcPr>
            <w:tcW w:w="1240" w:type="dxa"/>
            <w:shd w:val="clear" w:color="auto" w:fill="auto"/>
            <w:vAlign w:val="bottom"/>
          </w:tcPr>
          <w:p w14:paraId="73C2AD15" w14:textId="77777777" w:rsidR="00086DF1" w:rsidRPr="00DA72A7" w:rsidRDefault="00086DF1" w:rsidP="00DC062C">
            <w:pPr>
              <w:pStyle w:val="08-Tabelageral"/>
              <w:rPr>
                <w:rFonts w:cs="Arial"/>
                <w:b/>
                <w:szCs w:val="14"/>
              </w:rPr>
            </w:pPr>
            <w:r>
              <w:rPr>
                <w:rFonts w:cs="Arial"/>
                <w:b/>
                <w:bCs/>
                <w:color w:val="000000"/>
                <w:szCs w:val="14"/>
              </w:rPr>
              <w:t>(10,859)</w:t>
            </w:r>
          </w:p>
        </w:tc>
        <w:tc>
          <w:tcPr>
            <w:tcW w:w="1240" w:type="dxa"/>
            <w:shd w:val="clear" w:color="auto" w:fill="auto"/>
            <w:vAlign w:val="bottom"/>
          </w:tcPr>
          <w:p w14:paraId="0E76F89E" w14:textId="77777777" w:rsidR="00086DF1" w:rsidRPr="00DA72A7" w:rsidRDefault="00086DF1" w:rsidP="00DC062C">
            <w:pPr>
              <w:pStyle w:val="08-Tabelageral"/>
              <w:rPr>
                <w:rFonts w:cs="Arial"/>
                <w:b/>
                <w:szCs w:val="14"/>
              </w:rPr>
            </w:pPr>
            <w:r>
              <w:rPr>
                <w:rFonts w:cs="Arial"/>
                <w:b/>
                <w:bCs/>
                <w:color w:val="000000"/>
                <w:szCs w:val="14"/>
              </w:rPr>
              <w:t>(28,655)</w:t>
            </w:r>
          </w:p>
        </w:tc>
        <w:tc>
          <w:tcPr>
            <w:tcW w:w="1240" w:type="dxa"/>
            <w:shd w:val="clear" w:color="auto" w:fill="auto"/>
            <w:vAlign w:val="bottom"/>
          </w:tcPr>
          <w:p w14:paraId="052C6DCA" w14:textId="77777777" w:rsidR="00086DF1" w:rsidRPr="00DA72A7" w:rsidRDefault="00086DF1" w:rsidP="00DC062C">
            <w:pPr>
              <w:pStyle w:val="08-Tabelageral"/>
              <w:rPr>
                <w:rFonts w:cs="Arial"/>
                <w:b/>
                <w:szCs w:val="14"/>
              </w:rPr>
            </w:pPr>
            <w:r>
              <w:rPr>
                <w:rFonts w:cs="Arial"/>
                <w:b/>
                <w:bCs/>
                <w:color w:val="000000"/>
                <w:szCs w:val="14"/>
              </w:rPr>
              <w:t>--</w:t>
            </w:r>
          </w:p>
        </w:tc>
        <w:tc>
          <w:tcPr>
            <w:tcW w:w="1241" w:type="dxa"/>
            <w:shd w:val="clear" w:color="auto" w:fill="auto"/>
            <w:vAlign w:val="bottom"/>
          </w:tcPr>
          <w:p w14:paraId="147C8E31" w14:textId="77777777" w:rsidR="00086DF1" w:rsidRPr="00DA72A7" w:rsidRDefault="00086DF1" w:rsidP="00DC062C">
            <w:pPr>
              <w:pStyle w:val="08-Tabelageral"/>
              <w:rPr>
                <w:rFonts w:cs="Arial"/>
                <w:b/>
                <w:szCs w:val="14"/>
              </w:rPr>
            </w:pPr>
            <w:r>
              <w:rPr>
                <w:rFonts w:cs="Arial"/>
                <w:b/>
                <w:bCs/>
                <w:color w:val="000000"/>
                <w:szCs w:val="14"/>
              </w:rPr>
              <w:t>(39,514)</w:t>
            </w:r>
          </w:p>
        </w:tc>
      </w:tr>
      <w:tr w:rsidR="00086DF1" w:rsidRPr="00DA72A7" w14:paraId="21BAA2F3" w14:textId="77777777" w:rsidTr="00DC062C">
        <w:trPr>
          <w:trHeight w:val="238"/>
        </w:trPr>
        <w:tc>
          <w:tcPr>
            <w:tcW w:w="4678" w:type="dxa"/>
            <w:shd w:val="clear" w:color="auto" w:fill="auto"/>
          </w:tcPr>
          <w:p w14:paraId="66FC39F7" w14:textId="77777777" w:rsidR="00086DF1" w:rsidRPr="00DA72A7" w:rsidRDefault="00086DF1" w:rsidP="00DC062C">
            <w:pPr>
              <w:pStyle w:val="08-Tabelageral"/>
              <w:ind w:left="113"/>
              <w:jc w:val="left"/>
              <w:rPr>
                <w:rFonts w:cs="Arial"/>
                <w:bCs/>
                <w:szCs w:val="14"/>
              </w:rPr>
            </w:pPr>
            <w:r w:rsidRPr="00DA72A7">
              <w:rPr>
                <w:rFonts w:cs="Arial"/>
                <w:bCs/>
                <w:szCs w:val="14"/>
              </w:rPr>
              <w:t>Personnel expenses</w:t>
            </w:r>
          </w:p>
        </w:tc>
        <w:tc>
          <w:tcPr>
            <w:tcW w:w="1240" w:type="dxa"/>
            <w:shd w:val="clear" w:color="auto" w:fill="auto"/>
            <w:vAlign w:val="bottom"/>
          </w:tcPr>
          <w:p w14:paraId="75489AF5" w14:textId="77777777" w:rsidR="00086DF1" w:rsidRPr="00DA72A7" w:rsidRDefault="00086DF1" w:rsidP="00DC062C">
            <w:pPr>
              <w:pStyle w:val="08-Tabelageral"/>
              <w:rPr>
                <w:rFonts w:cs="Arial"/>
                <w:bCs/>
                <w:szCs w:val="14"/>
              </w:rPr>
            </w:pPr>
            <w:r>
              <w:rPr>
                <w:rFonts w:cs="Arial"/>
                <w:color w:val="000000"/>
                <w:szCs w:val="14"/>
              </w:rPr>
              <w:t>(5,893)</w:t>
            </w:r>
          </w:p>
        </w:tc>
        <w:tc>
          <w:tcPr>
            <w:tcW w:w="1240" w:type="dxa"/>
            <w:shd w:val="clear" w:color="auto" w:fill="auto"/>
            <w:vAlign w:val="bottom"/>
          </w:tcPr>
          <w:p w14:paraId="7D6DAE39" w14:textId="77777777" w:rsidR="00086DF1" w:rsidRPr="00DA72A7" w:rsidRDefault="00086DF1" w:rsidP="00DC062C">
            <w:pPr>
              <w:pStyle w:val="08-Tabelageral"/>
              <w:rPr>
                <w:rFonts w:cs="Arial"/>
                <w:bCs/>
                <w:szCs w:val="14"/>
              </w:rPr>
            </w:pPr>
            <w:r>
              <w:rPr>
                <w:rFonts w:cs="Arial"/>
                <w:color w:val="000000"/>
                <w:szCs w:val="14"/>
              </w:rPr>
              <w:t>(13,669)</w:t>
            </w:r>
          </w:p>
        </w:tc>
        <w:tc>
          <w:tcPr>
            <w:tcW w:w="1240" w:type="dxa"/>
            <w:shd w:val="clear" w:color="auto" w:fill="auto"/>
            <w:vAlign w:val="bottom"/>
          </w:tcPr>
          <w:p w14:paraId="73C1BF68" w14:textId="77777777" w:rsidR="00086DF1" w:rsidRPr="00DA72A7" w:rsidRDefault="00086DF1" w:rsidP="00DC062C">
            <w:pPr>
              <w:pStyle w:val="08-Tabelageral"/>
              <w:rPr>
                <w:rFonts w:cs="Arial"/>
                <w:bCs/>
                <w:szCs w:val="14"/>
              </w:rPr>
            </w:pPr>
            <w:r>
              <w:rPr>
                <w:rFonts w:cs="Arial"/>
                <w:color w:val="000000"/>
                <w:szCs w:val="14"/>
              </w:rPr>
              <w:t>--</w:t>
            </w:r>
          </w:p>
        </w:tc>
        <w:tc>
          <w:tcPr>
            <w:tcW w:w="1241" w:type="dxa"/>
            <w:shd w:val="clear" w:color="auto" w:fill="auto"/>
            <w:vAlign w:val="bottom"/>
          </w:tcPr>
          <w:p w14:paraId="6AD8FEFA" w14:textId="77777777" w:rsidR="00086DF1" w:rsidRPr="00DA72A7" w:rsidRDefault="00086DF1" w:rsidP="00DC062C">
            <w:pPr>
              <w:pStyle w:val="08-Tabelageral"/>
              <w:rPr>
                <w:rFonts w:cs="Arial"/>
                <w:bCs/>
                <w:szCs w:val="14"/>
              </w:rPr>
            </w:pPr>
            <w:r>
              <w:rPr>
                <w:rFonts w:cs="Arial"/>
                <w:color w:val="000000"/>
                <w:szCs w:val="14"/>
              </w:rPr>
              <w:t>(19,562)</w:t>
            </w:r>
          </w:p>
        </w:tc>
      </w:tr>
      <w:tr w:rsidR="00086DF1" w:rsidRPr="00DA72A7" w14:paraId="1339D4E2" w14:textId="77777777" w:rsidTr="00DC062C">
        <w:trPr>
          <w:trHeight w:val="238"/>
        </w:trPr>
        <w:tc>
          <w:tcPr>
            <w:tcW w:w="4678" w:type="dxa"/>
            <w:shd w:val="clear" w:color="auto" w:fill="auto"/>
          </w:tcPr>
          <w:p w14:paraId="100A0DEF" w14:textId="77777777" w:rsidR="00086DF1" w:rsidRPr="00DA72A7" w:rsidRDefault="00086DF1" w:rsidP="00DC062C">
            <w:pPr>
              <w:pStyle w:val="08-Tabelageral"/>
              <w:ind w:left="113"/>
              <w:jc w:val="left"/>
              <w:rPr>
                <w:rFonts w:cs="Arial"/>
                <w:bCs/>
                <w:szCs w:val="14"/>
              </w:rPr>
            </w:pPr>
            <w:r w:rsidRPr="00DA72A7">
              <w:rPr>
                <w:rFonts w:cs="Arial"/>
                <w:bCs/>
                <w:szCs w:val="14"/>
              </w:rPr>
              <w:t>Adminstrative expenses</w:t>
            </w:r>
          </w:p>
        </w:tc>
        <w:tc>
          <w:tcPr>
            <w:tcW w:w="1240" w:type="dxa"/>
            <w:shd w:val="clear" w:color="auto" w:fill="auto"/>
            <w:vAlign w:val="bottom"/>
          </w:tcPr>
          <w:p w14:paraId="6CC55281" w14:textId="77777777" w:rsidR="00086DF1" w:rsidRPr="00DA72A7" w:rsidRDefault="00086DF1" w:rsidP="00DC062C">
            <w:pPr>
              <w:pStyle w:val="08-Tabelageral"/>
              <w:rPr>
                <w:rFonts w:cs="Arial"/>
                <w:bCs/>
                <w:szCs w:val="14"/>
              </w:rPr>
            </w:pPr>
            <w:r>
              <w:rPr>
                <w:rFonts w:cs="Arial"/>
                <w:color w:val="000000"/>
                <w:szCs w:val="14"/>
              </w:rPr>
              <w:t>(1,222)</w:t>
            </w:r>
          </w:p>
        </w:tc>
        <w:tc>
          <w:tcPr>
            <w:tcW w:w="1240" w:type="dxa"/>
            <w:shd w:val="clear" w:color="auto" w:fill="auto"/>
            <w:vAlign w:val="bottom"/>
          </w:tcPr>
          <w:p w14:paraId="68FB000B" w14:textId="77777777" w:rsidR="00086DF1" w:rsidRPr="00DA72A7" w:rsidRDefault="00086DF1" w:rsidP="00DC062C">
            <w:pPr>
              <w:pStyle w:val="08-Tabelageral"/>
              <w:rPr>
                <w:rFonts w:cs="Arial"/>
                <w:bCs/>
                <w:szCs w:val="14"/>
              </w:rPr>
            </w:pPr>
            <w:r>
              <w:rPr>
                <w:rFonts w:cs="Arial"/>
                <w:color w:val="000000"/>
                <w:szCs w:val="14"/>
              </w:rPr>
              <w:t>(7,807)</w:t>
            </w:r>
          </w:p>
        </w:tc>
        <w:tc>
          <w:tcPr>
            <w:tcW w:w="1240" w:type="dxa"/>
            <w:shd w:val="clear" w:color="auto" w:fill="auto"/>
            <w:vAlign w:val="bottom"/>
          </w:tcPr>
          <w:p w14:paraId="003D9678" w14:textId="77777777" w:rsidR="00086DF1" w:rsidRPr="00DA72A7" w:rsidRDefault="00086DF1" w:rsidP="00DC062C">
            <w:pPr>
              <w:pStyle w:val="08-Tabelageral"/>
              <w:rPr>
                <w:rFonts w:cs="Arial"/>
                <w:bCs/>
                <w:szCs w:val="14"/>
              </w:rPr>
            </w:pPr>
            <w:r>
              <w:rPr>
                <w:rFonts w:cs="Arial"/>
                <w:color w:val="000000"/>
                <w:szCs w:val="14"/>
              </w:rPr>
              <w:t>--</w:t>
            </w:r>
          </w:p>
        </w:tc>
        <w:tc>
          <w:tcPr>
            <w:tcW w:w="1241" w:type="dxa"/>
            <w:shd w:val="clear" w:color="auto" w:fill="auto"/>
            <w:vAlign w:val="bottom"/>
          </w:tcPr>
          <w:p w14:paraId="55C21F5B" w14:textId="77777777" w:rsidR="00086DF1" w:rsidRPr="00DA72A7" w:rsidRDefault="00086DF1" w:rsidP="00DC062C">
            <w:pPr>
              <w:pStyle w:val="08-Tabelageral"/>
              <w:rPr>
                <w:rFonts w:cs="Arial"/>
                <w:bCs/>
                <w:szCs w:val="14"/>
              </w:rPr>
            </w:pPr>
            <w:r>
              <w:rPr>
                <w:rFonts w:cs="Arial"/>
                <w:color w:val="000000"/>
                <w:szCs w:val="14"/>
              </w:rPr>
              <w:t>(9,029)</w:t>
            </w:r>
          </w:p>
        </w:tc>
      </w:tr>
      <w:tr w:rsidR="00086DF1" w:rsidRPr="00DA72A7" w14:paraId="5E43FEFD" w14:textId="77777777" w:rsidTr="00DC062C">
        <w:trPr>
          <w:trHeight w:val="238"/>
        </w:trPr>
        <w:tc>
          <w:tcPr>
            <w:tcW w:w="4678" w:type="dxa"/>
            <w:shd w:val="clear" w:color="auto" w:fill="auto"/>
          </w:tcPr>
          <w:p w14:paraId="2CA89667" w14:textId="77777777" w:rsidR="00086DF1" w:rsidRPr="00DA72A7" w:rsidRDefault="00086DF1" w:rsidP="00DC062C">
            <w:pPr>
              <w:pStyle w:val="08-Tabelageral"/>
              <w:ind w:left="113"/>
              <w:jc w:val="left"/>
              <w:rPr>
                <w:rFonts w:cs="Arial"/>
                <w:bCs/>
                <w:szCs w:val="14"/>
              </w:rPr>
            </w:pPr>
            <w:r w:rsidRPr="00DA72A7">
              <w:rPr>
                <w:rFonts w:cs="Arial"/>
                <w:bCs/>
                <w:szCs w:val="14"/>
              </w:rPr>
              <w:t>Tax expenses</w:t>
            </w:r>
          </w:p>
        </w:tc>
        <w:tc>
          <w:tcPr>
            <w:tcW w:w="1240" w:type="dxa"/>
            <w:shd w:val="clear" w:color="auto" w:fill="auto"/>
            <w:vAlign w:val="bottom"/>
          </w:tcPr>
          <w:p w14:paraId="5A9EBF03" w14:textId="77777777" w:rsidR="00086DF1" w:rsidRPr="00DA72A7" w:rsidRDefault="00086DF1" w:rsidP="00DC062C">
            <w:pPr>
              <w:pStyle w:val="08-Tabelageral"/>
              <w:rPr>
                <w:rFonts w:cs="Arial"/>
                <w:bCs/>
                <w:szCs w:val="14"/>
              </w:rPr>
            </w:pPr>
            <w:r>
              <w:rPr>
                <w:rFonts w:cs="Arial"/>
                <w:color w:val="000000"/>
                <w:szCs w:val="14"/>
              </w:rPr>
              <w:t>(6,672)</w:t>
            </w:r>
          </w:p>
        </w:tc>
        <w:tc>
          <w:tcPr>
            <w:tcW w:w="1240" w:type="dxa"/>
            <w:shd w:val="clear" w:color="auto" w:fill="auto"/>
            <w:vAlign w:val="bottom"/>
          </w:tcPr>
          <w:p w14:paraId="1712CEE1" w14:textId="77777777" w:rsidR="00086DF1" w:rsidRPr="00DA72A7" w:rsidRDefault="00086DF1" w:rsidP="00DC062C">
            <w:pPr>
              <w:pStyle w:val="08-Tabelageral"/>
              <w:rPr>
                <w:rFonts w:cs="Arial"/>
                <w:bCs/>
                <w:szCs w:val="14"/>
              </w:rPr>
            </w:pPr>
            <w:r>
              <w:rPr>
                <w:rFonts w:cs="Arial"/>
                <w:color w:val="000000"/>
                <w:szCs w:val="14"/>
              </w:rPr>
              <w:t>(5,435)</w:t>
            </w:r>
          </w:p>
        </w:tc>
        <w:tc>
          <w:tcPr>
            <w:tcW w:w="1240" w:type="dxa"/>
            <w:shd w:val="clear" w:color="auto" w:fill="auto"/>
            <w:vAlign w:val="bottom"/>
          </w:tcPr>
          <w:p w14:paraId="479739B9" w14:textId="77777777" w:rsidR="00086DF1" w:rsidRPr="00DA72A7" w:rsidRDefault="00086DF1" w:rsidP="00DC062C">
            <w:pPr>
              <w:pStyle w:val="08-Tabelageral"/>
              <w:rPr>
                <w:rFonts w:cs="Arial"/>
                <w:bCs/>
                <w:szCs w:val="14"/>
              </w:rPr>
            </w:pPr>
            <w:r>
              <w:rPr>
                <w:rFonts w:cs="Arial"/>
                <w:color w:val="000000"/>
                <w:szCs w:val="14"/>
              </w:rPr>
              <w:t>--</w:t>
            </w:r>
          </w:p>
        </w:tc>
        <w:tc>
          <w:tcPr>
            <w:tcW w:w="1241" w:type="dxa"/>
            <w:shd w:val="clear" w:color="auto" w:fill="auto"/>
            <w:vAlign w:val="bottom"/>
          </w:tcPr>
          <w:p w14:paraId="0F8E3997" w14:textId="77777777" w:rsidR="00086DF1" w:rsidRPr="00DA72A7" w:rsidRDefault="00086DF1" w:rsidP="00DC062C">
            <w:pPr>
              <w:pStyle w:val="08-Tabelageral"/>
              <w:rPr>
                <w:rFonts w:cs="Arial"/>
                <w:bCs/>
                <w:szCs w:val="14"/>
              </w:rPr>
            </w:pPr>
            <w:r>
              <w:rPr>
                <w:rFonts w:cs="Arial"/>
                <w:color w:val="000000"/>
                <w:szCs w:val="14"/>
              </w:rPr>
              <w:t>(12,106)</w:t>
            </w:r>
          </w:p>
        </w:tc>
      </w:tr>
      <w:tr w:rsidR="00086DF1" w:rsidRPr="00DA72A7" w14:paraId="6752BC6F" w14:textId="77777777" w:rsidTr="00DC062C">
        <w:trPr>
          <w:trHeight w:val="238"/>
        </w:trPr>
        <w:tc>
          <w:tcPr>
            <w:tcW w:w="4678" w:type="dxa"/>
            <w:shd w:val="clear" w:color="auto" w:fill="auto"/>
          </w:tcPr>
          <w:p w14:paraId="719A2565" w14:textId="77777777" w:rsidR="00086DF1" w:rsidRPr="00DA72A7" w:rsidRDefault="00086DF1" w:rsidP="00DC062C">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41998CB3" w14:textId="77777777" w:rsidR="00086DF1" w:rsidRPr="00DA72A7" w:rsidRDefault="00086DF1" w:rsidP="00DC062C">
            <w:pPr>
              <w:pStyle w:val="08-Tabelageral"/>
              <w:rPr>
                <w:rFonts w:cs="Arial"/>
                <w:bCs/>
                <w:szCs w:val="14"/>
              </w:rPr>
            </w:pPr>
            <w:r>
              <w:rPr>
                <w:rFonts w:cs="Arial"/>
                <w:color w:val="000000"/>
                <w:szCs w:val="14"/>
              </w:rPr>
              <w:t>2,927</w:t>
            </w:r>
          </w:p>
        </w:tc>
        <w:tc>
          <w:tcPr>
            <w:tcW w:w="1240" w:type="dxa"/>
            <w:shd w:val="clear" w:color="auto" w:fill="auto"/>
            <w:vAlign w:val="bottom"/>
          </w:tcPr>
          <w:p w14:paraId="3AB7965B" w14:textId="77777777" w:rsidR="00086DF1" w:rsidRPr="00DA72A7" w:rsidRDefault="00086DF1" w:rsidP="00DC062C">
            <w:pPr>
              <w:pStyle w:val="08-Tabelageral"/>
              <w:rPr>
                <w:rFonts w:cs="Arial"/>
                <w:bCs/>
                <w:szCs w:val="14"/>
              </w:rPr>
            </w:pPr>
            <w:r>
              <w:rPr>
                <w:rFonts w:cs="Arial"/>
                <w:color w:val="000000"/>
                <w:szCs w:val="14"/>
              </w:rPr>
              <w:t>(1,744)</w:t>
            </w:r>
          </w:p>
        </w:tc>
        <w:tc>
          <w:tcPr>
            <w:tcW w:w="1240" w:type="dxa"/>
            <w:shd w:val="clear" w:color="auto" w:fill="auto"/>
            <w:vAlign w:val="bottom"/>
          </w:tcPr>
          <w:p w14:paraId="300FE70B" w14:textId="77777777" w:rsidR="00086DF1" w:rsidRPr="00DA72A7" w:rsidRDefault="00086DF1" w:rsidP="00DC062C">
            <w:pPr>
              <w:pStyle w:val="08-Tabelageral"/>
              <w:rPr>
                <w:rFonts w:cs="Arial"/>
                <w:bCs/>
                <w:szCs w:val="14"/>
              </w:rPr>
            </w:pPr>
            <w:r>
              <w:rPr>
                <w:rFonts w:cs="Arial"/>
                <w:color w:val="000000"/>
                <w:szCs w:val="14"/>
              </w:rPr>
              <w:t>--</w:t>
            </w:r>
          </w:p>
        </w:tc>
        <w:tc>
          <w:tcPr>
            <w:tcW w:w="1241" w:type="dxa"/>
            <w:shd w:val="clear" w:color="auto" w:fill="auto"/>
            <w:vAlign w:val="bottom"/>
          </w:tcPr>
          <w:p w14:paraId="6D1F5D7F" w14:textId="77777777" w:rsidR="00086DF1" w:rsidRPr="00DA72A7" w:rsidRDefault="00086DF1" w:rsidP="00DC062C">
            <w:pPr>
              <w:pStyle w:val="08-Tabelageral"/>
              <w:rPr>
                <w:rFonts w:cs="Arial"/>
                <w:bCs/>
                <w:szCs w:val="14"/>
              </w:rPr>
            </w:pPr>
            <w:r>
              <w:rPr>
                <w:rFonts w:cs="Arial"/>
                <w:color w:val="000000"/>
                <w:szCs w:val="14"/>
              </w:rPr>
              <w:t>1,183</w:t>
            </w:r>
          </w:p>
        </w:tc>
      </w:tr>
      <w:tr w:rsidR="00086DF1" w:rsidRPr="00DA72A7" w14:paraId="062E5F0F" w14:textId="77777777" w:rsidTr="00DC062C">
        <w:trPr>
          <w:trHeight w:val="238"/>
        </w:trPr>
        <w:tc>
          <w:tcPr>
            <w:tcW w:w="4678" w:type="dxa"/>
            <w:shd w:val="clear" w:color="auto" w:fill="auto"/>
          </w:tcPr>
          <w:p w14:paraId="6C13CC5B" w14:textId="77777777" w:rsidR="00086DF1" w:rsidRPr="00DA72A7" w:rsidRDefault="00086DF1" w:rsidP="00DC062C">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4E93BDB0" w14:textId="77777777" w:rsidR="00086DF1" w:rsidRPr="00DA72A7" w:rsidRDefault="00086DF1" w:rsidP="00DC062C">
            <w:pPr>
              <w:pStyle w:val="08-Tabelageral"/>
              <w:rPr>
                <w:rFonts w:cs="Arial"/>
                <w:b/>
                <w:szCs w:val="14"/>
              </w:rPr>
            </w:pPr>
            <w:r>
              <w:rPr>
                <w:rFonts w:cs="Arial"/>
                <w:b/>
                <w:bCs/>
                <w:color w:val="000000"/>
                <w:szCs w:val="14"/>
              </w:rPr>
              <w:t>2,955,804</w:t>
            </w:r>
          </w:p>
        </w:tc>
        <w:tc>
          <w:tcPr>
            <w:tcW w:w="1240" w:type="dxa"/>
            <w:shd w:val="clear" w:color="auto" w:fill="auto"/>
            <w:vAlign w:val="bottom"/>
          </w:tcPr>
          <w:p w14:paraId="14E0E1E1" w14:textId="77777777" w:rsidR="00086DF1" w:rsidRPr="00DA72A7" w:rsidRDefault="00086DF1" w:rsidP="00DC062C">
            <w:pPr>
              <w:pStyle w:val="08-Tabelageral"/>
              <w:rPr>
                <w:rFonts w:cs="Arial"/>
                <w:b/>
                <w:szCs w:val="14"/>
              </w:rPr>
            </w:pPr>
            <w:r>
              <w:rPr>
                <w:rFonts w:cs="Arial"/>
                <w:b/>
                <w:bCs/>
                <w:color w:val="000000"/>
                <w:szCs w:val="14"/>
              </w:rPr>
              <w:t>988,928</w:t>
            </w:r>
          </w:p>
        </w:tc>
        <w:tc>
          <w:tcPr>
            <w:tcW w:w="1240" w:type="dxa"/>
            <w:shd w:val="clear" w:color="auto" w:fill="auto"/>
            <w:vAlign w:val="bottom"/>
          </w:tcPr>
          <w:p w14:paraId="12463F85" w14:textId="77777777" w:rsidR="00086DF1" w:rsidRPr="00DA72A7" w:rsidRDefault="00086DF1" w:rsidP="00DC062C">
            <w:pPr>
              <w:pStyle w:val="08-Tabelageral"/>
              <w:rPr>
                <w:rFonts w:cs="Arial"/>
                <w:b/>
                <w:szCs w:val="14"/>
              </w:rPr>
            </w:pPr>
            <w:r>
              <w:rPr>
                <w:rFonts w:cs="Arial"/>
                <w:b/>
                <w:bCs/>
                <w:color w:val="000000"/>
                <w:szCs w:val="14"/>
              </w:rPr>
              <w:t>(1,838,891)</w:t>
            </w:r>
          </w:p>
        </w:tc>
        <w:tc>
          <w:tcPr>
            <w:tcW w:w="1241" w:type="dxa"/>
            <w:shd w:val="clear" w:color="auto" w:fill="auto"/>
            <w:vAlign w:val="bottom"/>
          </w:tcPr>
          <w:p w14:paraId="2BFF8F6F" w14:textId="77777777" w:rsidR="00086DF1" w:rsidRPr="00DA72A7" w:rsidRDefault="00086DF1" w:rsidP="00DC062C">
            <w:pPr>
              <w:pStyle w:val="08-Tabelageral"/>
              <w:rPr>
                <w:rFonts w:cs="Arial"/>
                <w:b/>
                <w:szCs w:val="14"/>
              </w:rPr>
            </w:pPr>
            <w:r>
              <w:rPr>
                <w:rFonts w:cs="Arial"/>
                <w:b/>
                <w:bCs/>
                <w:color w:val="000000"/>
                <w:szCs w:val="14"/>
              </w:rPr>
              <w:t>2,105,841</w:t>
            </w:r>
          </w:p>
        </w:tc>
      </w:tr>
      <w:tr w:rsidR="00086DF1" w:rsidRPr="00DA72A7" w14:paraId="5B12A223" w14:textId="77777777" w:rsidTr="00DC062C">
        <w:trPr>
          <w:trHeight w:val="238"/>
        </w:trPr>
        <w:tc>
          <w:tcPr>
            <w:tcW w:w="4678" w:type="dxa"/>
            <w:shd w:val="clear" w:color="auto" w:fill="auto"/>
          </w:tcPr>
          <w:p w14:paraId="3C016BBC" w14:textId="77777777" w:rsidR="00086DF1" w:rsidRPr="00DA72A7" w:rsidRDefault="00086DF1" w:rsidP="00DC062C">
            <w:pPr>
              <w:pStyle w:val="08-Tabelageral"/>
              <w:jc w:val="left"/>
              <w:rPr>
                <w:rFonts w:cs="Arial"/>
                <w:b/>
                <w:szCs w:val="14"/>
              </w:rPr>
            </w:pPr>
            <w:r w:rsidRPr="00DA72A7">
              <w:rPr>
                <w:rFonts w:cs="Arial"/>
                <w:b/>
                <w:szCs w:val="14"/>
              </w:rPr>
              <w:t>Financial Result</w:t>
            </w:r>
          </w:p>
        </w:tc>
        <w:tc>
          <w:tcPr>
            <w:tcW w:w="1240" w:type="dxa"/>
            <w:shd w:val="clear" w:color="auto" w:fill="auto"/>
            <w:vAlign w:val="bottom"/>
          </w:tcPr>
          <w:p w14:paraId="1D8EE85C" w14:textId="77777777" w:rsidR="00086DF1" w:rsidRPr="00DA72A7" w:rsidRDefault="00086DF1" w:rsidP="00DC062C">
            <w:pPr>
              <w:pStyle w:val="08-Tabelageral"/>
              <w:rPr>
                <w:rFonts w:cs="Arial"/>
                <w:b/>
                <w:szCs w:val="14"/>
              </w:rPr>
            </w:pPr>
            <w:r>
              <w:rPr>
                <w:rFonts w:cs="Arial"/>
                <w:b/>
                <w:bCs/>
                <w:color w:val="000000"/>
                <w:szCs w:val="14"/>
              </w:rPr>
              <w:t>12,861</w:t>
            </w:r>
          </w:p>
        </w:tc>
        <w:tc>
          <w:tcPr>
            <w:tcW w:w="1240" w:type="dxa"/>
            <w:shd w:val="clear" w:color="auto" w:fill="auto"/>
            <w:vAlign w:val="bottom"/>
          </w:tcPr>
          <w:p w14:paraId="0E74DBD4" w14:textId="77777777" w:rsidR="00086DF1" w:rsidRPr="00DA72A7" w:rsidRDefault="00086DF1" w:rsidP="00DC062C">
            <w:pPr>
              <w:pStyle w:val="08-Tabelageral"/>
              <w:rPr>
                <w:rFonts w:cs="Arial"/>
                <w:b/>
                <w:szCs w:val="14"/>
              </w:rPr>
            </w:pPr>
            <w:r>
              <w:rPr>
                <w:rFonts w:cs="Arial"/>
                <w:b/>
                <w:bCs/>
                <w:color w:val="000000"/>
                <w:szCs w:val="14"/>
              </w:rPr>
              <w:t>83,337</w:t>
            </w:r>
          </w:p>
        </w:tc>
        <w:tc>
          <w:tcPr>
            <w:tcW w:w="1240" w:type="dxa"/>
            <w:shd w:val="clear" w:color="auto" w:fill="auto"/>
            <w:vAlign w:val="bottom"/>
          </w:tcPr>
          <w:p w14:paraId="342215A7" w14:textId="77777777" w:rsidR="00086DF1" w:rsidRPr="00DA72A7" w:rsidRDefault="00086DF1" w:rsidP="00DC062C">
            <w:pPr>
              <w:pStyle w:val="08-Tabelageral"/>
              <w:rPr>
                <w:rFonts w:cs="Arial"/>
                <w:b/>
                <w:szCs w:val="14"/>
              </w:rPr>
            </w:pPr>
            <w:r>
              <w:rPr>
                <w:rFonts w:cs="Arial"/>
                <w:b/>
                <w:bCs/>
                <w:color w:val="000000"/>
                <w:szCs w:val="14"/>
              </w:rPr>
              <w:t>--</w:t>
            </w:r>
          </w:p>
        </w:tc>
        <w:tc>
          <w:tcPr>
            <w:tcW w:w="1241" w:type="dxa"/>
            <w:shd w:val="clear" w:color="auto" w:fill="auto"/>
            <w:vAlign w:val="bottom"/>
          </w:tcPr>
          <w:p w14:paraId="1AA58601" w14:textId="77777777" w:rsidR="00086DF1" w:rsidRPr="00DA72A7" w:rsidRDefault="00086DF1" w:rsidP="00DC062C">
            <w:pPr>
              <w:pStyle w:val="08-Tabelageral"/>
              <w:rPr>
                <w:rFonts w:cs="Arial"/>
                <w:b/>
                <w:szCs w:val="14"/>
              </w:rPr>
            </w:pPr>
            <w:r>
              <w:rPr>
                <w:rFonts w:cs="Arial"/>
                <w:b/>
                <w:bCs/>
                <w:color w:val="000000"/>
                <w:szCs w:val="14"/>
              </w:rPr>
              <w:t>96,198</w:t>
            </w:r>
          </w:p>
        </w:tc>
      </w:tr>
      <w:tr w:rsidR="00086DF1" w:rsidRPr="00DA72A7" w14:paraId="47277275" w14:textId="77777777" w:rsidTr="00DC062C">
        <w:trPr>
          <w:trHeight w:val="238"/>
        </w:trPr>
        <w:tc>
          <w:tcPr>
            <w:tcW w:w="4678" w:type="dxa"/>
            <w:shd w:val="clear" w:color="auto" w:fill="auto"/>
          </w:tcPr>
          <w:p w14:paraId="74E30762" w14:textId="77777777" w:rsidR="00086DF1" w:rsidRPr="00DA72A7" w:rsidRDefault="00086DF1" w:rsidP="00DC062C">
            <w:pPr>
              <w:pStyle w:val="08-Tabelageral"/>
              <w:ind w:left="113"/>
              <w:jc w:val="left"/>
              <w:rPr>
                <w:rFonts w:cs="Arial"/>
                <w:bCs/>
                <w:szCs w:val="14"/>
              </w:rPr>
            </w:pPr>
            <w:r w:rsidRPr="00DA72A7">
              <w:rPr>
                <w:rFonts w:cs="Arial"/>
                <w:bCs/>
                <w:szCs w:val="14"/>
              </w:rPr>
              <w:t>Financial revenue</w:t>
            </w:r>
          </w:p>
        </w:tc>
        <w:tc>
          <w:tcPr>
            <w:tcW w:w="1240" w:type="dxa"/>
            <w:shd w:val="clear" w:color="auto" w:fill="auto"/>
            <w:vAlign w:val="bottom"/>
          </w:tcPr>
          <w:p w14:paraId="449F1F4E" w14:textId="77777777" w:rsidR="00086DF1" w:rsidRPr="00DA72A7" w:rsidRDefault="00086DF1" w:rsidP="00DC062C">
            <w:pPr>
              <w:pStyle w:val="08-Tabelageral"/>
              <w:rPr>
                <w:rFonts w:cs="Arial"/>
                <w:bCs/>
                <w:szCs w:val="14"/>
              </w:rPr>
            </w:pPr>
            <w:r>
              <w:rPr>
                <w:rFonts w:cs="Arial"/>
                <w:color w:val="000000"/>
                <w:szCs w:val="14"/>
              </w:rPr>
              <w:t>137,853</w:t>
            </w:r>
          </w:p>
        </w:tc>
        <w:tc>
          <w:tcPr>
            <w:tcW w:w="1240" w:type="dxa"/>
            <w:shd w:val="clear" w:color="auto" w:fill="auto"/>
            <w:vAlign w:val="bottom"/>
          </w:tcPr>
          <w:p w14:paraId="2780D1F9" w14:textId="77777777" w:rsidR="00086DF1" w:rsidRPr="00DA72A7" w:rsidRDefault="00086DF1" w:rsidP="00DC062C">
            <w:pPr>
              <w:pStyle w:val="08-Tabelageral"/>
              <w:rPr>
                <w:rFonts w:cs="Arial"/>
                <w:bCs/>
                <w:szCs w:val="14"/>
              </w:rPr>
            </w:pPr>
            <w:r>
              <w:rPr>
                <w:rFonts w:cs="Arial"/>
                <w:color w:val="000000"/>
                <w:szCs w:val="14"/>
              </w:rPr>
              <w:t>115,425</w:t>
            </w:r>
          </w:p>
        </w:tc>
        <w:tc>
          <w:tcPr>
            <w:tcW w:w="1240" w:type="dxa"/>
            <w:shd w:val="clear" w:color="auto" w:fill="auto"/>
            <w:vAlign w:val="bottom"/>
          </w:tcPr>
          <w:p w14:paraId="140400BF" w14:textId="77777777" w:rsidR="00086DF1" w:rsidRPr="00DA72A7" w:rsidRDefault="00086DF1" w:rsidP="00DC062C">
            <w:pPr>
              <w:pStyle w:val="08-Tabelageral"/>
              <w:rPr>
                <w:rFonts w:cs="Arial"/>
                <w:bCs/>
                <w:szCs w:val="14"/>
              </w:rPr>
            </w:pPr>
            <w:r>
              <w:rPr>
                <w:rFonts w:cs="Arial"/>
                <w:color w:val="000000"/>
                <w:szCs w:val="14"/>
              </w:rPr>
              <w:t>(77,483)</w:t>
            </w:r>
          </w:p>
        </w:tc>
        <w:tc>
          <w:tcPr>
            <w:tcW w:w="1241" w:type="dxa"/>
            <w:shd w:val="clear" w:color="auto" w:fill="auto"/>
            <w:vAlign w:val="bottom"/>
          </w:tcPr>
          <w:p w14:paraId="789D5735" w14:textId="77777777" w:rsidR="00086DF1" w:rsidRPr="00DA72A7" w:rsidRDefault="00086DF1" w:rsidP="00DC062C">
            <w:pPr>
              <w:pStyle w:val="08-Tabelageral"/>
              <w:rPr>
                <w:rFonts w:cs="Arial"/>
                <w:bCs/>
                <w:szCs w:val="14"/>
              </w:rPr>
            </w:pPr>
            <w:r>
              <w:rPr>
                <w:rFonts w:cs="Arial"/>
                <w:color w:val="000000"/>
                <w:szCs w:val="14"/>
              </w:rPr>
              <w:t>175,795</w:t>
            </w:r>
          </w:p>
        </w:tc>
      </w:tr>
      <w:tr w:rsidR="00086DF1" w:rsidRPr="00DA72A7" w14:paraId="222F264A" w14:textId="77777777" w:rsidTr="00DC062C">
        <w:trPr>
          <w:trHeight w:val="238"/>
        </w:trPr>
        <w:tc>
          <w:tcPr>
            <w:tcW w:w="4678" w:type="dxa"/>
            <w:shd w:val="clear" w:color="auto" w:fill="auto"/>
          </w:tcPr>
          <w:p w14:paraId="4F5EC30D" w14:textId="77777777" w:rsidR="00086DF1" w:rsidRPr="00DA72A7" w:rsidRDefault="00086DF1" w:rsidP="00DC062C">
            <w:pPr>
              <w:pStyle w:val="08-Tabelageral"/>
              <w:ind w:left="113"/>
              <w:jc w:val="left"/>
              <w:rPr>
                <w:rFonts w:cs="Arial"/>
                <w:bCs/>
                <w:szCs w:val="14"/>
              </w:rPr>
            </w:pPr>
            <w:r w:rsidRPr="00DA72A7">
              <w:rPr>
                <w:rFonts w:cs="Arial"/>
                <w:bCs/>
                <w:szCs w:val="14"/>
              </w:rPr>
              <w:t>Financial expenses</w:t>
            </w:r>
          </w:p>
        </w:tc>
        <w:tc>
          <w:tcPr>
            <w:tcW w:w="1240" w:type="dxa"/>
            <w:shd w:val="clear" w:color="auto" w:fill="auto"/>
            <w:vAlign w:val="bottom"/>
          </w:tcPr>
          <w:p w14:paraId="016DADAE" w14:textId="77777777" w:rsidR="00086DF1" w:rsidRPr="00DA72A7" w:rsidRDefault="00086DF1" w:rsidP="00DC062C">
            <w:pPr>
              <w:pStyle w:val="08-Tabelageral"/>
              <w:rPr>
                <w:rFonts w:cs="Arial"/>
                <w:bCs/>
                <w:szCs w:val="14"/>
              </w:rPr>
            </w:pPr>
            <w:r>
              <w:rPr>
                <w:rFonts w:cs="Arial"/>
                <w:color w:val="000000"/>
                <w:szCs w:val="14"/>
              </w:rPr>
              <w:t>(124,991)</w:t>
            </w:r>
          </w:p>
        </w:tc>
        <w:tc>
          <w:tcPr>
            <w:tcW w:w="1240" w:type="dxa"/>
            <w:shd w:val="clear" w:color="auto" w:fill="auto"/>
            <w:vAlign w:val="bottom"/>
          </w:tcPr>
          <w:p w14:paraId="67ACAB86" w14:textId="77777777" w:rsidR="00086DF1" w:rsidRPr="00DA72A7" w:rsidRDefault="00086DF1" w:rsidP="00DC062C">
            <w:pPr>
              <w:pStyle w:val="08-Tabelageral"/>
              <w:rPr>
                <w:rFonts w:cs="Arial"/>
                <w:bCs/>
                <w:szCs w:val="14"/>
              </w:rPr>
            </w:pPr>
            <w:r>
              <w:rPr>
                <w:rFonts w:cs="Arial"/>
                <w:color w:val="000000"/>
                <w:szCs w:val="14"/>
              </w:rPr>
              <w:t>(32,088)</w:t>
            </w:r>
          </w:p>
        </w:tc>
        <w:tc>
          <w:tcPr>
            <w:tcW w:w="1240" w:type="dxa"/>
            <w:shd w:val="clear" w:color="auto" w:fill="auto"/>
            <w:vAlign w:val="bottom"/>
          </w:tcPr>
          <w:p w14:paraId="663D202D" w14:textId="77777777" w:rsidR="00086DF1" w:rsidRPr="00DA72A7" w:rsidRDefault="00086DF1" w:rsidP="00DC062C">
            <w:pPr>
              <w:pStyle w:val="08-Tabelageral"/>
              <w:rPr>
                <w:rFonts w:cs="Arial"/>
                <w:bCs/>
                <w:szCs w:val="14"/>
              </w:rPr>
            </w:pPr>
            <w:r>
              <w:rPr>
                <w:rFonts w:cs="Arial"/>
                <w:color w:val="000000"/>
                <w:szCs w:val="14"/>
              </w:rPr>
              <w:t>77,483</w:t>
            </w:r>
          </w:p>
        </w:tc>
        <w:tc>
          <w:tcPr>
            <w:tcW w:w="1241" w:type="dxa"/>
            <w:shd w:val="clear" w:color="auto" w:fill="auto"/>
            <w:vAlign w:val="bottom"/>
          </w:tcPr>
          <w:p w14:paraId="52084440" w14:textId="77777777" w:rsidR="00086DF1" w:rsidRPr="00DA72A7" w:rsidRDefault="00086DF1" w:rsidP="00DC062C">
            <w:pPr>
              <w:pStyle w:val="08-Tabelageral"/>
              <w:rPr>
                <w:rFonts w:cs="Arial"/>
                <w:bCs/>
                <w:szCs w:val="14"/>
              </w:rPr>
            </w:pPr>
            <w:r>
              <w:rPr>
                <w:rFonts w:cs="Arial"/>
                <w:color w:val="000000"/>
                <w:szCs w:val="14"/>
              </w:rPr>
              <w:t>(79,596)</w:t>
            </w:r>
          </w:p>
        </w:tc>
      </w:tr>
      <w:tr w:rsidR="00086DF1" w:rsidRPr="00DA72A7" w14:paraId="1ACF59F7" w14:textId="77777777" w:rsidTr="00DC062C">
        <w:trPr>
          <w:trHeight w:val="238"/>
        </w:trPr>
        <w:tc>
          <w:tcPr>
            <w:tcW w:w="4678" w:type="dxa"/>
            <w:shd w:val="clear" w:color="auto" w:fill="auto"/>
          </w:tcPr>
          <w:p w14:paraId="05DCB2F6" w14:textId="77777777" w:rsidR="00086DF1" w:rsidRPr="00DA72A7" w:rsidRDefault="00086DF1" w:rsidP="00DC062C">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7ECA452E" w14:textId="77777777" w:rsidR="00086DF1" w:rsidRPr="00DA72A7" w:rsidRDefault="00086DF1" w:rsidP="00DC062C">
            <w:pPr>
              <w:pStyle w:val="08-Tabelageral"/>
              <w:rPr>
                <w:rFonts w:cs="Arial"/>
                <w:b/>
                <w:szCs w:val="14"/>
              </w:rPr>
            </w:pPr>
            <w:r>
              <w:rPr>
                <w:rFonts w:cs="Arial"/>
                <w:b/>
                <w:bCs/>
                <w:color w:val="000000"/>
                <w:szCs w:val="14"/>
              </w:rPr>
              <w:t>2,968,665</w:t>
            </w:r>
          </w:p>
        </w:tc>
        <w:tc>
          <w:tcPr>
            <w:tcW w:w="1240" w:type="dxa"/>
            <w:shd w:val="clear" w:color="auto" w:fill="auto"/>
            <w:vAlign w:val="bottom"/>
          </w:tcPr>
          <w:p w14:paraId="30CCF04B" w14:textId="77777777" w:rsidR="00086DF1" w:rsidRPr="00DA72A7" w:rsidRDefault="00086DF1" w:rsidP="00DC062C">
            <w:pPr>
              <w:pStyle w:val="08-Tabelageral"/>
              <w:rPr>
                <w:rFonts w:cs="Arial"/>
                <w:b/>
                <w:szCs w:val="14"/>
              </w:rPr>
            </w:pPr>
            <w:r>
              <w:rPr>
                <w:rFonts w:cs="Arial"/>
                <w:b/>
                <w:bCs/>
                <w:color w:val="000000"/>
                <w:szCs w:val="14"/>
              </w:rPr>
              <w:t>1,072,265</w:t>
            </w:r>
          </w:p>
        </w:tc>
        <w:tc>
          <w:tcPr>
            <w:tcW w:w="1240" w:type="dxa"/>
            <w:shd w:val="clear" w:color="auto" w:fill="auto"/>
            <w:vAlign w:val="bottom"/>
          </w:tcPr>
          <w:p w14:paraId="412B4D61" w14:textId="77777777" w:rsidR="00086DF1" w:rsidRPr="00DA72A7" w:rsidRDefault="00086DF1" w:rsidP="00DC062C">
            <w:pPr>
              <w:pStyle w:val="08-Tabelageral"/>
              <w:rPr>
                <w:rFonts w:cs="Arial"/>
                <w:b/>
                <w:szCs w:val="14"/>
              </w:rPr>
            </w:pPr>
            <w:r>
              <w:rPr>
                <w:rFonts w:cs="Arial"/>
                <w:b/>
                <w:bCs/>
                <w:color w:val="000000"/>
                <w:szCs w:val="14"/>
              </w:rPr>
              <w:t>(1,838,891)</w:t>
            </w:r>
          </w:p>
        </w:tc>
        <w:tc>
          <w:tcPr>
            <w:tcW w:w="1241" w:type="dxa"/>
            <w:shd w:val="clear" w:color="auto" w:fill="auto"/>
            <w:vAlign w:val="bottom"/>
          </w:tcPr>
          <w:p w14:paraId="35445DCD" w14:textId="77777777" w:rsidR="00086DF1" w:rsidRPr="00DA72A7" w:rsidRDefault="00086DF1" w:rsidP="00DC062C">
            <w:pPr>
              <w:pStyle w:val="08-Tabelageral"/>
              <w:rPr>
                <w:rFonts w:cs="Arial"/>
                <w:b/>
                <w:szCs w:val="14"/>
              </w:rPr>
            </w:pPr>
            <w:r>
              <w:rPr>
                <w:rFonts w:cs="Arial"/>
                <w:b/>
                <w:bCs/>
                <w:color w:val="000000"/>
                <w:szCs w:val="14"/>
              </w:rPr>
              <w:t>2,202,039</w:t>
            </w:r>
          </w:p>
        </w:tc>
      </w:tr>
      <w:tr w:rsidR="00086DF1" w:rsidRPr="00DA72A7" w14:paraId="4D5E7047" w14:textId="77777777" w:rsidTr="00DC062C">
        <w:trPr>
          <w:trHeight w:val="238"/>
        </w:trPr>
        <w:tc>
          <w:tcPr>
            <w:tcW w:w="4678" w:type="dxa"/>
            <w:shd w:val="clear" w:color="auto" w:fill="auto"/>
          </w:tcPr>
          <w:p w14:paraId="1FBB2011" w14:textId="77777777" w:rsidR="00086DF1" w:rsidRPr="00647C8D" w:rsidRDefault="00086DF1" w:rsidP="00DC062C">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68C9DCA7" w14:textId="77777777" w:rsidR="00086DF1" w:rsidRPr="00BE238B" w:rsidRDefault="00086DF1" w:rsidP="00DC062C">
            <w:pPr>
              <w:pStyle w:val="08-Tabelageral"/>
              <w:ind w:left="113"/>
              <w:rPr>
                <w:rFonts w:cs="Arial"/>
                <w:bCs/>
                <w:szCs w:val="14"/>
              </w:rPr>
            </w:pPr>
            <w:r>
              <w:rPr>
                <w:rFonts w:cs="Arial"/>
                <w:color w:val="000000"/>
                <w:szCs w:val="14"/>
              </w:rPr>
              <w:t>(1,748)</w:t>
            </w:r>
          </w:p>
        </w:tc>
        <w:tc>
          <w:tcPr>
            <w:tcW w:w="1240" w:type="dxa"/>
            <w:shd w:val="clear" w:color="auto" w:fill="auto"/>
            <w:vAlign w:val="bottom"/>
          </w:tcPr>
          <w:p w14:paraId="2322E084" w14:textId="77777777" w:rsidR="00086DF1" w:rsidRPr="00BE238B" w:rsidRDefault="00086DF1" w:rsidP="00DC062C">
            <w:pPr>
              <w:pStyle w:val="08-Tabelageral"/>
              <w:ind w:left="113"/>
              <w:rPr>
                <w:rFonts w:cs="Arial"/>
                <w:bCs/>
                <w:szCs w:val="14"/>
              </w:rPr>
            </w:pPr>
            <w:r>
              <w:rPr>
                <w:rFonts w:cs="Arial"/>
                <w:color w:val="000000"/>
                <w:szCs w:val="14"/>
              </w:rPr>
              <w:t>(364,554)</w:t>
            </w:r>
          </w:p>
        </w:tc>
        <w:tc>
          <w:tcPr>
            <w:tcW w:w="1240" w:type="dxa"/>
            <w:shd w:val="clear" w:color="auto" w:fill="auto"/>
            <w:vAlign w:val="bottom"/>
          </w:tcPr>
          <w:p w14:paraId="0C0BE65F" w14:textId="77777777" w:rsidR="00086DF1" w:rsidRPr="00BE238B" w:rsidRDefault="00086DF1" w:rsidP="00DC062C">
            <w:pPr>
              <w:pStyle w:val="08-Tabelageral"/>
              <w:ind w:left="113"/>
              <w:rPr>
                <w:rFonts w:cs="Arial"/>
                <w:bCs/>
                <w:szCs w:val="14"/>
              </w:rPr>
            </w:pPr>
            <w:r>
              <w:rPr>
                <w:rFonts w:cs="Arial"/>
                <w:color w:val="000000"/>
                <w:szCs w:val="14"/>
              </w:rPr>
              <w:t>--</w:t>
            </w:r>
          </w:p>
        </w:tc>
        <w:tc>
          <w:tcPr>
            <w:tcW w:w="1241" w:type="dxa"/>
            <w:shd w:val="clear" w:color="auto" w:fill="auto"/>
            <w:vAlign w:val="bottom"/>
          </w:tcPr>
          <w:p w14:paraId="3F9189C0" w14:textId="77777777" w:rsidR="00086DF1" w:rsidRPr="00BE238B" w:rsidRDefault="00086DF1" w:rsidP="00DC062C">
            <w:pPr>
              <w:pStyle w:val="08-Tabelageral"/>
              <w:ind w:left="113"/>
              <w:rPr>
                <w:rFonts w:cs="Arial"/>
                <w:bCs/>
                <w:szCs w:val="14"/>
              </w:rPr>
            </w:pPr>
            <w:r>
              <w:rPr>
                <w:rFonts w:cs="Arial"/>
                <w:color w:val="000000"/>
                <w:szCs w:val="14"/>
              </w:rPr>
              <w:t>(366,302)</w:t>
            </w:r>
          </w:p>
        </w:tc>
      </w:tr>
      <w:tr w:rsidR="00086DF1" w:rsidRPr="00DA72A7" w14:paraId="02DDA317" w14:textId="77777777" w:rsidTr="00DC062C">
        <w:trPr>
          <w:trHeight w:val="238"/>
        </w:trPr>
        <w:tc>
          <w:tcPr>
            <w:tcW w:w="4678" w:type="dxa"/>
            <w:tcBorders>
              <w:bottom w:val="single" w:sz="2" w:space="0" w:color="1F4E79" w:themeColor="accent1" w:themeShade="80"/>
            </w:tcBorders>
            <w:shd w:val="clear" w:color="auto" w:fill="auto"/>
          </w:tcPr>
          <w:p w14:paraId="3B06325A" w14:textId="77777777" w:rsidR="00086DF1" w:rsidRPr="00DA72A7" w:rsidRDefault="00086DF1" w:rsidP="00DC062C">
            <w:pPr>
              <w:pStyle w:val="08-Tabelageral"/>
              <w:jc w:val="left"/>
              <w:rPr>
                <w:rFonts w:cs="Arial"/>
                <w:b/>
                <w:szCs w:val="14"/>
                <w:lang w:val="en-US"/>
              </w:rPr>
            </w:pPr>
            <w:r w:rsidRPr="00DA72A7">
              <w:rPr>
                <w:rFonts w:cs="Arial"/>
                <w:b/>
                <w:szCs w:val="14"/>
                <w:lang w:val="en-US"/>
              </w:rPr>
              <w:t>Net Income</w:t>
            </w:r>
          </w:p>
        </w:tc>
        <w:tc>
          <w:tcPr>
            <w:tcW w:w="1240" w:type="dxa"/>
            <w:tcBorders>
              <w:bottom w:val="single" w:sz="2" w:space="0" w:color="1F4E79" w:themeColor="accent1" w:themeShade="80"/>
            </w:tcBorders>
            <w:shd w:val="clear" w:color="auto" w:fill="auto"/>
            <w:vAlign w:val="bottom"/>
          </w:tcPr>
          <w:p w14:paraId="77C6895F" w14:textId="77777777" w:rsidR="00086DF1" w:rsidRPr="00DA72A7" w:rsidRDefault="00086DF1" w:rsidP="00DC062C">
            <w:pPr>
              <w:pStyle w:val="08-Tabelageral"/>
              <w:rPr>
                <w:rFonts w:cs="Arial"/>
                <w:b/>
                <w:szCs w:val="14"/>
              </w:rPr>
            </w:pPr>
            <w:r>
              <w:rPr>
                <w:rFonts w:cs="Arial"/>
                <w:b/>
                <w:bCs/>
                <w:color w:val="000000"/>
                <w:szCs w:val="14"/>
              </w:rPr>
              <w:t>2,966,917</w:t>
            </w:r>
          </w:p>
        </w:tc>
        <w:tc>
          <w:tcPr>
            <w:tcW w:w="1240" w:type="dxa"/>
            <w:tcBorders>
              <w:bottom w:val="single" w:sz="2" w:space="0" w:color="1F4E79" w:themeColor="accent1" w:themeShade="80"/>
            </w:tcBorders>
            <w:shd w:val="clear" w:color="auto" w:fill="auto"/>
            <w:vAlign w:val="bottom"/>
          </w:tcPr>
          <w:p w14:paraId="16910A2F" w14:textId="77777777" w:rsidR="00086DF1" w:rsidRPr="00DA72A7" w:rsidRDefault="00086DF1" w:rsidP="00DC062C">
            <w:pPr>
              <w:pStyle w:val="08-Tabelageral"/>
              <w:rPr>
                <w:rFonts w:cs="Arial"/>
                <w:b/>
                <w:szCs w:val="14"/>
              </w:rPr>
            </w:pPr>
            <w:r>
              <w:rPr>
                <w:rFonts w:cs="Arial"/>
                <w:b/>
                <w:bCs/>
                <w:color w:val="000000"/>
                <w:szCs w:val="14"/>
              </w:rPr>
              <w:t>707,711</w:t>
            </w:r>
          </w:p>
        </w:tc>
        <w:tc>
          <w:tcPr>
            <w:tcW w:w="1240" w:type="dxa"/>
            <w:tcBorders>
              <w:bottom w:val="single" w:sz="2" w:space="0" w:color="1F4E79" w:themeColor="accent1" w:themeShade="80"/>
            </w:tcBorders>
            <w:shd w:val="clear" w:color="auto" w:fill="auto"/>
            <w:vAlign w:val="bottom"/>
          </w:tcPr>
          <w:p w14:paraId="55406C8A" w14:textId="77777777" w:rsidR="00086DF1" w:rsidRPr="00DA72A7" w:rsidRDefault="00086DF1" w:rsidP="00DC062C">
            <w:pPr>
              <w:pStyle w:val="08-Tabelageral"/>
              <w:rPr>
                <w:rFonts w:cs="Arial"/>
                <w:b/>
                <w:szCs w:val="14"/>
              </w:rPr>
            </w:pPr>
            <w:r>
              <w:rPr>
                <w:rFonts w:cs="Arial"/>
                <w:b/>
                <w:bCs/>
                <w:color w:val="000000"/>
                <w:szCs w:val="14"/>
              </w:rPr>
              <w:t>(1,838,890)</w:t>
            </w:r>
          </w:p>
        </w:tc>
        <w:tc>
          <w:tcPr>
            <w:tcW w:w="1241" w:type="dxa"/>
            <w:tcBorders>
              <w:bottom w:val="single" w:sz="2" w:space="0" w:color="1F4E79" w:themeColor="accent1" w:themeShade="80"/>
            </w:tcBorders>
            <w:shd w:val="clear" w:color="auto" w:fill="auto"/>
            <w:vAlign w:val="bottom"/>
          </w:tcPr>
          <w:p w14:paraId="2390BE34" w14:textId="1304C0CA" w:rsidR="00086DF1" w:rsidRPr="00DA72A7" w:rsidRDefault="00086DF1" w:rsidP="00DC062C">
            <w:pPr>
              <w:pStyle w:val="08-Tabelageral"/>
              <w:rPr>
                <w:rFonts w:cs="Arial"/>
                <w:b/>
                <w:szCs w:val="14"/>
              </w:rPr>
            </w:pPr>
            <w:r>
              <w:rPr>
                <w:rFonts w:cs="Arial"/>
                <w:b/>
                <w:bCs/>
                <w:color w:val="000000"/>
                <w:szCs w:val="14"/>
              </w:rPr>
              <w:t>1,835,78</w:t>
            </w:r>
          </w:p>
        </w:tc>
      </w:tr>
    </w:tbl>
    <w:p w14:paraId="0BC666CD" w14:textId="77777777" w:rsidR="00086DF1" w:rsidRDefault="00086DF1" w:rsidP="00DC062C">
      <w:pPr>
        <w:spacing w:after="0"/>
        <w:jc w:val="right"/>
        <w:rPr>
          <w:rFonts w:cs="Arial"/>
          <w:b/>
          <w:sz w:val="14"/>
          <w:szCs w:val="18"/>
        </w:rPr>
        <w:sectPr w:rsidR="00086DF1" w:rsidSect="00DC062C">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851" w:left="1134" w:header="851" w:footer="284" w:gutter="0"/>
          <w:cols w:space="708"/>
          <w:docGrid w:linePitch="360"/>
        </w:sectPr>
      </w:pPr>
    </w:p>
    <w:p w14:paraId="556277DA" w14:textId="0E40F9CF" w:rsidR="00086DF1" w:rsidRPr="008D3175" w:rsidRDefault="00633486" w:rsidP="00633486">
      <w:pPr>
        <w:keepNext/>
        <w:keepLines/>
        <w:tabs>
          <w:tab w:val="left" w:pos="8678"/>
          <w:tab w:val="right" w:pos="9638"/>
        </w:tabs>
        <w:spacing w:after="0"/>
        <w:rPr>
          <w:rFonts w:cs="Arial"/>
          <w:b/>
          <w:sz w:val="14"/>
          <w:szCs w:val="18"/>
        </w:rPr>
      </w:pPr>
      <w:r>
        <w:rPr>
          <w:rFonts w:cs="Arial"/>
          <w:b/>
          <w:sz w:val="14"/>
          <w:szCs w:val="18"/>
        </w:rPr>
        <w:lastRenderedPageBreak/>
        <w:tab/>
      </w:r>
      <w:r>
        <w:rPr>
          <w:rFonts w:cs="Arial"/>
          <w:b/>
          <w:sz w:val="14"/>
          <w:szCs w:val="18"/>
        </w:rPr>
        <w:tab/>
      </w:r>
      <w:r w:rsidR="00086DF1" w:rsidRPr="008D3175">
        <w:rPr>
          <w:rFonts w:cs="Arial"/>
          <w:b/>
          <w:sz w:val="14"/>
          <w:szCs w:val="18"/>
        </w:rPr>
        <w:t xml:space="preserve">R$ </w:t>
      </w:r>
      <w:r w:rsidR="00086DF1"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086DF1" w:rsidRPr="0093755D" w14:paraId="2BF6CAEB" w14:textId="77777777" w:rsidTr="00DC062C">
        <w:trPr>
          <w:trHeight w:val="238"/>
        </w:trPr>
        <w:tc>
          <w:tcPr>
            <w:tcW w:w="4678" w:type="dxa"/>
            <w:tcBorders>
              <w:top w:val="single" w:sz="2" w:space="0" w:color="1F4E79" w:themeColor="accent1" w:themeShade="80"/>
              <w:bottom w:val="nil"/>
            </w:tcBorders>
            <w:shd w:val="clear" w:color="auto" w:fill="auto"/>
          </w:tcPr>
          <w:p w14:paraId="3D9CCB90" w14:textId="77777777" w:rsidR="00086DF1" w:rsidRPr="0093755D" w:rsidRDefault="00086DF1" w:rsidP="00DC062C">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433A3B03" w14:textId="77777777" w:rsidR="00086DF1" w:rsidRPr="0093755D" w:rsidRDefault="00086DF1" w:rsidP="00DC062C">
            <w:pPr>
              <w:spacing w:after="0"/>
              <w:jc w:val="center"/>
              <w:rPr>
                <w:rFonts w:cs="Arial"/>
                <w:b/>
                <w:sz w:val="14"/>
                <w:szCs w:val="14"/>
              </w:rPr>
            </w:pPr>
            <w:r w:rsidRPr="00E30F81">
              <w:rPr>
                <w:rFonts w:cs="Arial"/>
                <w:b/>
                <w:sz w:val="14"/>
                <w:szCs w:val="14"/>
              </w:rPr>
              <w:t>1st Quarter 202</w:t>
            </w:r>
            <w:r>
              <w:rPr>
                <w:rFonts w:cs="Arial"/>
                <w:b/>
                <w:sz w:val="14"/>
                <w:szCs w:val="14"/>
              </w:rPr>
              <w:t>2</w:t>
            </w:r>
          </w:p>
        </w:tc>
      </w:tr>
      <w:tr w:rsidR="00086DF1" w:rsidRPr="0093755D" w14:paraId="6278E161" w14:textId="77777777" w:rsidTr="00DC062C">
        <w:trPr>
          <w:trHeight w:val="238"/>
        </w:trPr>
        <w:tc>
          <w:tcPr>
            <w:tcW w:w="4678" w:type="dxa"/>
            <w:tcBorders>
              <w:top w:val="nil"/>
              <w:bottom w:val="single" w:sz="2" w:space="0" w:color="1F4E79" w:themeColor="accent1" w:themeShade="80"/>
            </w:tcBorders>
            <w:shd w:val="clear" w:color="auto" w:fill="auto"/>
          </w:tcPr>
          <w:p w14:paraId="35D35145" w14:textId="77777777" w:rsidR="00086DF1" w:rsidRPr="0093755D" w:rsidRDefault="00086DF1" w:rsidP="00DC062C">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6E18AE1" w14:textId="77777777" w:rsidR="00086DF1" w:rsidRPr="0093755D" w:rsidRDefault="00086DF1" w:rsidP="00DC062C">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5997FCE" w14:textId="77777777" w:rsidR="00086DF1" w:rsidRPr="0093755D" w:rsidRDefault="00086DF1" w:rsidP="00DC062C">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3CC8BFCD" w14:textId="77777777" w:rsidR="00086DF1" w:rsidRPr="0093755D" w:rsidRDefault="00086DF1" w:rsidP="00DC062C">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7C72FDA0" w14:textId="77777777" w:rsidR="00086DF1" w:rsidRPr="0093755D" w:rsidRDefault="00086DF1" w:rsidP="00DC062C">
            <w:pPr>
              <w:pStyle w:val="08-Tabelageral"/>
              <w:jc w:val="center"/>
              <w:rPr>
                <w:rFonts w:cs="Arial"/>
                <w:b/>
                <w:szCs w:val="14"/>
              </w:rPr>
            </w:pPr>
            <w:r w:rsidRPr="0093755D">
              <w:rPr>
                <w:rFonts w:cs="Arial"/>
                <w:b/>
                <w:szCs w:val="14"/>
              </w:rPr>
              <w:t>Total</w:t>
            </w:r>
          </w:p>
        </w:tc>
      </w:tr>
      <w:tr w:rsidR="00086DF1" w:rsidRPr="0093755D" w14:paraId="438AA461" w14:textId="77777777" w:rsidTr="00DC062C">
        <w:trPr>
          <w:trHeight w:val="238"/>
        </w:trPr>
        <w:tc>
          <w:tcPr>
            <w:tcW w:w="4678" w:type="dxa"/>
            <w:tcBorders>
              <w:top w:val="single" w:sz="2" w:space="0" w:color="1F4E79" w:themeColor="accent1" w:themeShade="80"/>
            </w:tcBorders>
            <w:shd w:val="clear" w:color="auto" w:fill="auto"/>
          </w:tcPr>
          <w:p w14:paraId="526B22A0" w14:textId="77777777" w:rsidR="00086DF1" w:rsidRPr="0093755D" w:rsidRDefault="00086DF1" w:rsidP="00DC062C">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tcPr>
          <w:p w14:paraId="731C2C8A" w14:textId="77777777" w:rsidR="00086DF1" w:rsidRPr="0093755D" w:rsidRDefault="00086DF1" w:rsidP="00DC062C">
            <w:pPr>
              <w:pStyle w:val="08-Tabelageral"/>
              <w:rPr>
                <w:rFonts w:cs="Arial"/>
                <w:b/>
                <w:szCs w:val="14"/>
              </w:rPr>
            </w:pPr>
            <w:r w:rsidRPr="00563B36">
              <w:rPr>
                <w:b/>
              </w:rPr>
              <w:t>1</w:t>
            </w:r>
            <w:r>
              <w:rPr>
                <w:b/>
              </w:rPr>
              <w:t>,</w:t>
            </w:r>
            <w:r w:rsidRPr="00563B36">
              <w:rPr>
                <w:b/>
              </w:rPr>
              <w:t>785</w:t>
            </w:r>
            <w:r>
              <w:rPr>
                <w:b/>
              </w:rPr>
              <w:t>,</w:t>
            </w:r>
            <w:r w:rsidRPr="00563B36">
              <w:rPr>
                <w:b/>
              </w:rPr>
              <w:t>207</w:t>
            </w:r>
          </w:p>
        </w:tc>
        <w:tc>
          <w:tcPr>
            <w:tcW w:w="1240" w:type="dxa"/>
            <w:tcBorders>
              <w:top w:val="single" w:sz="2" w:space="0" w:color="1F4E79" w:themeColor="accent1" w:themeShade="80"/>
            </w:tcBorders>
            <w:shd w:val="clear" w:color="auto" w:fill="auto"/>
          </w:tcPr>
          <w:p w14:paraId="1AE590DD" w14:textId="77777777" w:rsidR="00086DF1" w:rsidRPr="0093755D" w:rsidRDefault="00086DF1" w:rsidP="00DC062C">
            <w:pPr>
              <w:pStyle w:val="08-Tabelageral"/>
              <w:rPr>
                <w:rFonts w:cs="Arial"/>
                <w:b/>
                <w:szCs w:val="14"/>
              </w:rPr>
            </w:pPr>
            <w:r w:rsidRPr="00563B36">
              <w:rPr>
                <w:b/>
              </w:rPr>
              <w:t>905</w:t>
            </w:r>
            <w:r>
              <w:rPr>
                <w:b/>
              </w:rPr>
              <w:t>,</w:t>
            </w:r>
            <w:r w:rsidRPr="00563B36">
              <w:rPr>
                <w:b/>
              </w:rPr>
              <w:t>186</w:t>
            </w:r>
          </w:p>
        </w:tc>
        <w:tc>
          <w:tcPr>
            <w:tcW w:w="1240" w:type="dxa"/>
            <w:tcBorders>
              <w:top w:val="single" w:sz="2" w:space="0" w:color="1F4E79" w:themeColor="accent1" w:themeShade="80"/>
            </w:tcBorders>
            <w:shd w:val="clear" w:color="auto" w:fill="auto"/>
          </w:tcPr>
          <w:p w14:paraId="73F322F5" w14:textId="77777777" w:rsidR="00086DF1" w:rsidRPr="0093755D" w:rsidRDefault="00086DF1" w:rsidP="00DC062C">
            <w:pPr>
              <w:pStyle w:val="08-Tabelageral"/>
              <w:rPr>
                <w:rFonts w:cs="Arial"/>
                <w:b/>
                <w:szCs w:val="14"/>
              </w:rPr>
            </w:pPr>
            <w:r w:rsidRPr="00563B36">
              <w:rPr>
                <w:b/>
              </w:rPr>
              <w:t>(1</w:t>
            </w:r>
            <w:r>
              <w:rPr>
                <w:b/>
              </w:rPr>
              <w:t>,</w:t>
            </w:r>
            <w:r w:rsidRPr="00563B36">
              <w:rPr>
                <w:b/>
              </w:rPr>
              <w:t>179</w:t>
            </w:r>
            <w:r>
              <w:rPr>
                <w:b/>
              </w:rPr>
              <w:t>,</w:t>
            </w:r>
            <w:r w:rsidRPr="00563B36">
              <w:rPr>
                <w:b/>
              </w:rPr>
              <w:t>085)</w:t>
            </w:r>
          </w:p>
        </w:tc>
        <w:tc>
          <w:tcPr>
            <w:tcW w:w="1241" w:type="dxa"/>
            <w:tcBorders>
              <w:top w:val="single" w:sz="2" w:space="0" w:color="1F4E79" w:themeColor="accent1" w:themeShade="80"/>
            </w:tcBorders>
            <w:shd w:val="clear" w:color="auto" w:fill="auto"/>
          </w:tcPr>
          <w:p w14:paraId="51910571" w14:textId="77777777" w:rsidR="00086DF1" w:rsidRPr="0093755D" w:rsidRDefault="00086DF1" w:rsidP="00DC062C">
            <w:pPr>
              <w:pStyle w:val="08-Tabelageral"/>
              <w:rPr>
                <w:rFonts w:cs="Arial"/>
                <w:b/>
                <w:szCs w:val="14"/>
              </w:rPr>
            </w:pPr>
            <w:r w:rsidRPr="00563B36">
              <w:rPr>
                <w:b/>
              </w:rPr>
              <w:t>1</w:t>
            </w:r>
            <w:r>
              <w:rPr>
                <w:b/>
              </w:rPr>
              <w:t>,</w:t>
            </w:r>
            <w:r w:rsidRPr="00563B36">
              <w:rPr>
                <w:b/>
              </w:rPr>
              <w:t>511</w:t>
            </w:r>
            <w:r>
              <w:rPr>
                <w:b/>
              </w:rPr>
              <w:t>,</w:t>
            </w:r>
            <w:r w:rsidRPr="00563B36">
              <w:rPr>
                <w:b/>
              </w:rPr>
              <w:t>308</w:t>
            </w:r>
          </w:p>
        </w:tc>
      </w:tr>
      <w:tr w:rsidR="00086DF1" w:rsidRPr="0093755D" w14:paraId="54326522" w14:textId="77777777" w:rsidTr="00DC062C">
        <w:trPr>
          <w:trHeight w:val="238"/>
        </w:trPr>
        <w:tc>
          <w:tcPr>
            <w:tcW w:w="4678" w:type="dxa"/>
            <w:shd w:val="clear" w:color="auto" w:fill="auto"/>
          </w:tcPr>
          <w:p w14:paraId="38D0FF65" w14:textId="77777777" w:rsidR="00086DF1" w:rsidRPr="0093755D" w:rsidRDefault="00086DF1" w:rsidP="00DC062C">
            <w:pPr>
              <w:pStyle w:val="08-Tabelageral"/>
              <w:ind w:left="113"/>
              <w:jc w:val="left"/>
              <w:rPr>
                <w:rFonts w:cs="Arial"/>
                <w:szCs w:val="14"/>
              </w:rPr>
            </w:pPr>
            <w:r w:rsidRPr="0093755D">
              <w:rPr>
                <w:rFonts w:cs="Arial"/>
                <w:szCs w:val="14"/>
              </w:rPr>
              <w:t>Equity income</w:t>
            </w:r>
          </w:p>
        </w:tc>
        <w:tc>
          <w:tcPr>
            <w:tcW w:w="1240" w:type="dxa"/>
            <w:shd w:val="clear" w:color="auto" w:fill="auto"/>
          </w:tcPr>
          <w:p w14:paraId="44E29D95" w14:textId="77777777" w:rsidR="00086DF1" w:rsidRPr="0093755D" w:rsidRDefault="00086DF1" w:rsidP="00DC062C">
            <w:pPr>
              <w:pStyle w:val="08-Tabelageral"/>
              <w:rPr>
                <w:rFonts w:cs="Arial"/>
                <w:szCs w:val="14"/>
              </w:rPr>
            </w:pPr>
            <w:r w:rsidRPr="003A613D">
              <w:t>1</w:t>
            </w:r>
            <w:r>
              <w:t>,</w:t>
            </w:r>
            <w:r w:rsidRPr="003A613D">
              <w:t>785</w:t>
            </w:r>
            <w:r>
              <w:t>,</w:t>
            </w:r>
            <w:r w:rsidRPr="003A613D">
              <w:t>207</w:t>
            </w:r>
          </w:p>
        </w:tc>
        <w:tc>
          <w:tcPr>
            <w:tcW w:w="1240" w:type="dxa"/>
            <w:shd w:val="clear" w:color="auto" w:fill="auto"/>
          </w:tcPr>
          <w:p w14:paraId="44C43971" w14:textId="77777777" w:rsidR="00086DF1" w:rsidRPr="0093755D" w:rsidRDefault="00086DF1" w:rsidP="00DC062C">
            <w:pPr>
              <w:pStyle w:val="08-Tabelageral"/>
              <w:rPr>
                <w:rFonts w:cs="Arial"/>
                <w:szCs w:val="14"/>
              </w:rPr>
            </w:pPr>
            <w:r w:rsidRPr="003A613D">
              <w:t>(839)</w:t>
            </w:r>
          </w:p>
        </w:tc>
        <w:tc>
          <w:tcPr>
            <w:tcW w:w="1240" w:type="dxa"/>
            <w:shd w:val="clear" w:color="auto" w:fill="auto"/>
          </w:tcPr>
          <w:p w14:paraId="36DC7580" w14:textId="77777777" w:rsidR="00086DF1" w:rsidRPr="0093755D" w:rsidRDefault="00086DF1" w:rsidP="00DC062C">
            <w:pPr>
              <w:pStyle w:val="08-Tabelageral"/>
              <w:rPr>
                <w:rFonts w:cs="Arial"/>
                <w:szCs w:val="14"/>
              </w:rPr>
            </w:pPr>
            <w:r w:rsidRPr="003A613D">
              <w:t>(1</w:t>
            </w:r>
            <w:r>
              <w:t>,</w:t>
            </w:r>
            <w:r w:rsidRPr="003A613D">
              <w:t>179</w:t>
            </w:r>
            <w:r>
              <w:t>,</w:t>
            </w:r>
            <w:r w:rsidRPr="003A613D">
              <w:t>085)</w:t>
            </w:r>
          </w:p>
        </w:tc>
        <w:tc>
          <w:tcPr>
            <w:tcW w:w="1241" w:type="dxa"/>
            <w:shd w:val="clear" w:color="auto" w:fill="auto"/>
          </w:tcPr>
          <w:p w14:paraId="429473FC" w14:textId="77777777" w:rsidR="00086DF1" w:rsidRPr="0093755D" w:rsidRDefault="00086DF1" w:rsidP="00DC062C">
            <w:pPr>
              <w:pStyle w:val="08-Tabelageral"/>
              <w:rPr>
                <w:rFonts w:cs="Arial"/>
                <w:szCs w:val="14"/>
              </w:rPr>
            </w:pPr>
            <w:r w:rsidRPr="003A613D">
              <w:t>605</w:t>
            </w:r>
            <w:r>
              <w:t>,</w:t>
            </w:r>
            <w:r w:rsidRPr="003A613D">
              <w:t>283</w:t>
            </w:r>
          </w:p>
        </w:tc>
      </w:tr>
      <w:tr w:rsidR="00086DF1" w:rsidRPr="0093755D" w14:paraId="308DC776" w14:textId="77777777" w:rsidTr="00DC062C">
        <w:trPr>
          <w:trHeight w:val="238"/>
        </w:trPr>
        <w:tc>
          <w:tcPr>
            <w:tcW w:w="4678" w:type="dxa"/>
            <w:shd w:val="clear" w:color="auto" w:fill="auto"/>
          </w:tcPr>
          <w:p w14:paraId="2C5EBA58" w14:textId="77777777" w:rsidR="00086DF1" w:rsidRPr="0093755D" w:rsidRDefault="00086DF1" w:rsidP="00DC062C">
            <w:pPr>
              <w:pStyle w:val="08-Tabelageral"/>
              <w:ind w:left="113"/>
              <w:jc w:val="left"/>
              <w:rPr>
                <w:rFonts w:cs="Arial"/>
                <w:szCs w:val="14"/>
              </w:rPr>
            </w:pPr>
            <w:r w:rsidRPr="0093755D">
              <w:rPr>
                <w:rFonts w:cs="Arial"/>
                <w:szCs w:val="14"/>
              </w:rPr>
              <w:t>Commissions income</w:t>
            </w:r>
          </w:p>
        </w:tc>
        <w:tc>
          <w:tcPr>
            <w:tcW w:w="1240" w:type="dxa"/>
            <w:shd w:val="clear" w:color="auto" w:fill="auto"/>
          </w:tcPr>
          <w:p w14:paraId="491F9883" w14:textId="77777777" w:rsidR="00086DF1" w:rsidRPr="0093755D" w:rsidRDefault="00086DF1" w:rsidP="00DC062C">
            <w:pPr>
              <w:pStyle w:val="08-Tabelageral"/>
              <w:rPr>
                <w:rFonts w:cs="Arial"/>
                <w:szCs w:val="14"/>
              </w:rPr>
            </w:pPr>
            <w:r w:rsidRPr="003A613D">
              <w:t>--</w:t>
            </w:r>
          </w:p>
        </w:tc>
        <w:tc>
          <w:tcPr>
            <w:tcW w:w="1240" w:type="dxa"/>
            <w:shd w:val="clear" w:color="auto" w:fill="auto"/>
          </w:tcPr>
          <w:p w14:paraId="5C2AAB8F" w14:textId="77777777" w:rsidR="00086DF1" w:rsidRPr="0093755D" w:rsidRDefault="00086DF1" w:rsidP="00DC062C">
            <w:pPr>
              <w:pStyle w:val="08-Tabelageral"/>
              <w:rPr>
                <w:rFonts w:cs="Arial"/>
                <w:szCs w:val="14"/>
              </w:rPr>
            </w:pPr>
            <w:r w:rsidRPr="003A613D">
              <w:t>906</w:t>
            </w:r>
            <w:r>
              <w:t>,</w:t>
            </w:r>
            <w:r w:rsidRPr="003A613D">
              <w:t>025</w:t>
            </w:r>
          </w:p>
        </w:tc>
        <w:tc>
          <w:tcPr>
            <w:tcW w:w="1240" w:type="dxa"/>
            <w:shd w:val="clear" w:color="auto" w:fill="auto"/>
          </w:tcPr>
          <w:p w14:paraId="6C048236" w14:textId="77777777" w:rsidR="00086DF1" w:rsidRPr="0093755D" w:rsidRDefault="00086DF1" w:rsidP="00DC062C">
            <w:pPr>
              <w:pStyle w:val="08-Tabelageral"/>
              <w:rPr>
                <w:rFonts w:cs="Arial"/>
                <w:szCs w:val="14"/>
              </w:rPr>
            </w:pPr>
            <w:r w:rsidRPr="003A613D">
              <w:t>--</w:t>
            </w:r>
          </w:p>
        </w:tc>
        <w:tc>
          <w:tcPr>
            <w:tcW w:w="1241" w:type="dxa"/>
            <w:shd w:val="clear" w:color="auto" w:fill="auto"/>
          </w:tcPr>
          <w:p w14:paraId="040435BA" w14:textId="77777777" w:rsidR="00086DF1" w:rsidRPr="0093755D" w:rsidRDefault="00086DF1" w:rsidP="00DC062C">
            <w:pPr>
              <w:pStyle w:val="08-Tabelageral"/>
              <w:rPr>
                <w:rFonts w:cs="Arial"/>
                <w:szCs w:val="14"/>
              </w:rPr>
            </w:pPr>
            <w:r w:rsidRPr="003A613D">
              <w:t>906</w:t>
            </w:r>
            <w:r>
              <w:t>,</w:t>
            </w:r>
            <w:r w:rsidRPr="003A613D">
              <w:t>025</w:t>
            </w:r>
          </w:p>
        </w:tc>
      </w:tr>
      <w:tr w:rsidR="00086DF1" w:rsidRPr="0093755D" w14:paraId="1A946379" w14:textId="77777777" w:rsidTr="00DC062C">
        <w:trPr>
          <w:trHeight w:val="238"/>
        </w:trPr>
        <w:tc>
          <w:tcPr>
            <w:tcW w:w="4678" w:type="dxa"/>
            <w:shd w:val="clear" w:color="auto" w:fill="auto"/>
          </w:tcPr>
          <w:p w14:paraId="4A29B7C2" w14:textId="77777777" w:rsidR="00086DF1" w:rsidRPr="0093755D" w:rsidRDefault="00086DF1" w:rsidP="00DC062C">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tcPr>
          <w:p w14:paraId="3D7B68AA" w14:textId="77777777" w:rsidR="00086DF1" w:rsidRPr="0093755D" w:rsidRDefault="00086DF1" w:rsidP="00DC062C">
            <w:pPr>
              <w:pStyle w:val="08-Tabelageral"/>
              <w:rPr>
                <w:rFonts w:cs="Arial"/>
                <w:b/>
                <w:szCs w:val="14"/>
              </w:rPr>
            </w:pPr>
            <w:r w:rsidRPr="00563B36">
              <w:rPr>
                <w:b/>
              </w:rPr>
              <w:t>--</w:t>
            </w:r>
          </w:p>
        </w:tc>
        <w:tc>
          <w:tcPr>
            <w:tcW w:w="1240" w:type="dxa"/>
            <w:shd w:val="clear" w:color="auto" w:fill="auto"/>
          </w:tcPr>
          <w:p w14:paraId="426B1DC5" w14:textId="77777777" w:rsidR="00086DF1" w:rsidRPr="0093755D" w:rsidRDefault="00086DF1" w:rsidP="00DC062C">
            <w:pPr>
              <w:pStyle w:val="08-Tabelageral"/>
              <w:rPr>
                <w:rFonts w:cs="Arial"/>
                <w:b/>
                <w:szCs w:val="14"/>
              </w:rPr>
            </w:pPr>
            <w:r w:rsidRPr="00563B36">
              <w:rPr>
                <w:b/>
              </w:rPr>
              <w:t>(48</w:t>
            </w:r>
            <w:r>
              <w:rPr>
                <w:b/>
              </w:rPr>
              <w:t>,</w:t>
            </w:r>
            <w:r w:rsidRPr="00563B36">
              <w:rPr>
                <w:b/>
              </w:rPr>
              <w:t>037)</w:t>
            </w:r>
          </w:p>
        </w:tc>
        <w:tc>
          <w:tcPr>
            <w:tcW w:w="1240" w:type="dxa"/>
            <w:shd w:val="clear" w:color="auto" w:fill="auto"/>
          </w:tcPr>
          <w:p w14:paraId="2261EA81" w14:textId="77777777" w:rsidR="00086DF1" w:rsidRPr="0093755D" w:rsidRDefault="00086DF1" w:rsidP="00DC062C">
            <w:pPr>
              <w:pStyle w:val="08-Tabelageral"/>
              <w:rPr>
                <w:rFonts w:cs="Arial"/>
                <w:b/>
                <w:szCs w:val="14"/>
              </w:rPr>
            </w:pPr>
            <w:r w:rsidRPr="00563B36">
              <w:rPr>
                <w:b/>
              </w:rPr>
              <w:t>--</w:t>
            </w:r>
          </w:p>
        </w:tc>
        <w:tc>
          <w:tcPr>
            <w:tcW w:w="1241" w:type="dxa"/>
            <w:shd w:val="clear" w:color="auto" w:fill="auto"/>
          </w:tcPr>
          <w:p w14:paraId="216E2BD6" w14:textId="77777777" w:rsidR="00086DF1" w:rsidRPr="0093755D" w:rsidRDefault="00086DF1" w:rsidP="00DC062C">
            <w:pPr>
              <w:pStyle w:val="08-Tabelageral"/>
              <w:rPr>
                <w:rFonts w:cs="Arial"/>
                <w:b/>
                <w:szCs w:val="14"/>
              </w:rPr>
            </w:pPr>
            <w:r w:rsidRPr="00563B36">
              <w:rPr>
                <w:b/>
              </w:rPr>
              <w:t>(48</w:t>
            </w:r>
            <w:r>
              <w:rPr>
                <w:b/>
              </w:rPr>
              <w:t>,</w:t>
            </w:r>
            <w:r w:rsidRPr="00563B36">
              <w:rPr>
                <w:b/>
              </w:rPr>
              <w:t>037)</w:t>
            </w:r>
          </w:p>
        </w:tc>
      </w:tr>
      <w:tr w:rsidR="00086DF1" w:rsidRPr="0093755D" w14:paraId="3806D02C" w14:textId="77777777" w:rsidTr="00DC062C">
        <w:trPr>
          <w:trHeight w:val="238"/>
        </w:trPr>
        <w:tc>
          <w:tcPr>
            <w:tcW w:w="4678" w:type="dxa"/>
            <w:shd w:val="clear" w:color="auto" w:fill="auto"/>
          </w:tcPr>
          <w:p w14:paraId="49B8CB4F" w14:textId="77777777" w:rsidR="00086DF1" w:rsidRPr="0093755D" w:rsidRDefault="00086DF1" w:rsidP="00DC062C">
            <w:pPr>
              <w:pStyle w:val="08-Tabelageral"/>
              <w:jc w:val="left"/>
              <w:rPr>
                <w:rFonts w:cs="Arial"/>
                <w:b/>
                <w:szCs w:val="14"/>
              </w:rPr>
            </w:pPr>
            <w:r w:rsidRPr="0093755D">
              <w:rPr>
                <w:rFonts w:cs="Arial"/>
                <w:b/>
                <w:szCs w:val="14"/>
              </w:rPr>
              <w:t>Gross Profit</w:t>
            </w:r>
          </w:p>
        </w:tc>
        <w:tc>
          <w:tcPr>
            <w:tcW w:w="1240" w:type="dxa"/>
            <w:shd w:val="clear" w:color="auto" w:fill="auto"/>
          </w:tcPr>
          <w:p w14:paraId="515C71EF" w14:textId="77777777" w:rsidR="00086DF1" w:rsidRPr="0093755D" w:rsidRDefault="00086DF1" w:rsidP="00DC062C">
            <w:pPr>
              <w:pStyle w:val="08-Tabelageral"/>
              <w:rPr>
                <w:rFonts w:cs="Arial"/>
                <w:b/>
                <w:szCs w:val="14"/>
              </w:rPr>
            </w:pPr>
            <w:r w:rsidRPr="00563B36">
              <w:rPr>
                <w:b/>
              </w:rPr>
              <w:t>1</w:t>
            </w:r>
            <w:r>
              <w:rPr>
                <w:b/>
              </w:rPr>
              <w:t>,</w:t>
            </w:r>
            <w:r w:rsidRPr="00563B36">
              <w:rPr>
                <w:b/>
              </w:rPr>
              <w:t>785</w:t>
            </w:r>
            <w:r>
              <w:rPr>
                <w:b/>
              </w:rPr>
              <w:t>,</w:t>
            </w:r>
            <w:r w:rsidRPr="00563B36">
              <w:rPr>
                <w:b/>
              </w:rPr>
              <w:t>207</w:t>
            </w:r>
          </w:p>
        </w:tc>
        <w:tc>
          <w:tcPr>
            <w:tcW w:w="1240" w:type="dxa"/>
            <w:shd w:val="clear" w:color="auto" w:fill="auto"/>
          </w:tcPr>
          <w:p w14:paraId="628BCEAA" w14:textId="77777777" w:rsidR="00086DF1" w:rsidRPr="0093755D" w:rsidRDefault="00086DF1" w:rsidP="00DC062C">
            <w:pPr>
              <w:pStyle w:val="08-Tabelageral"/>
              <w:rPr>
                <w:rFonts w:cs="Arial"/>
                <w:b/>
                <w:szCs w:val="14"/>
              </w:rPr>
            </w:pPr>
            <w:r w:rsidRPr="00563B36">
              <w:rPr>
                <w:b/>
              </w:rPr>
              <w:t>857</w:t>
            </w:r>
            <w:r>
              <w:rPr>
                <w:b/>
              </w:rPr>
              <w:t>,</w:t>
            </w:r>
            <w:r w:rsidRPr="00563B36">
              <w:rPr>
                <w:b/>
              </w:rPr>
              <w:t>149</w:t>
            </w:r>
          </w:p>
        </w:tc>
        <w:tc>
          <w:tcPr>
            <w:tcW w:w="1240" w:type="dxa"/>
            <w:shd w:val="clear" w:color="auto" w:fill="auto"/>
          </w:tcPr>
          <w:p w14:paraId="28843EBA" w14:textId="77777777" w:rsidR="00086DF1" w:rsidRPr="0093755D" w:rsidRDefault="00086DF1" w:rsidP="00DC062C">
            <w:pPr>
              <w:pStyle w:val="08-Tabelageral"/>
              <w:rPr>
                <w:rFonts w:cs="Arial"/>
                <w:b/>
                <w:szCs w:val="14"/>
              </w:rPr>
            </w:pPr>
            <w:r w:rsidRPr="00563B36">
              <w:rPr>
                <w:b/>
              </w:rPr>
              <w:t>(1</w:t>
            </w:r>
            <w:r>
              <w:rPr>
                <w:b/>
              </w:rPr>
              <w:t>,</w:t>
            </w:r>
            <w:r w:rsidRPr="00563B36">
              <w:rPr>
                <w:b/>
              </w:rPr>
              <w:t>179</w:t>
            </w:r>
            <w:r>
              <w:rPr>
                <w:b/>
              </w:rPr>
              <w:t>,</w:t>
            </w:r>
            <w:r w:rsidRPr="00563B36">
              <w:rPr>
                <w:b/>
              </w:rPr>
              <w:t>085)</w:t>
            </w:r>
          </w:p>
        </w:tc>
        <w:tc>
          <w:tcPr>
            <w:tcW w:w="1241" w:type="dxa"/>
            <w:shd w:val="clear" w:color="auto" w:fill="auto"/>
          </w:tcPr>
          <w:p w14:paraId="74673FC8" w14:textId="77777777" w:rsidR="00086DF1" w:rsidRPr="0093755D" w:rsidRDefault="00086DF1" w:rsidP="00DC062C">
            <w:pPr>
              <w:pStyle w:val="08-Tabelageral"/>
              <w:rPr>
                <w:rFonts w:cs="Arial"/>
                <w:b/>
                <w:szCs w:val="14"/>
              </w:rPr>
            </w:pPr>
            <w:r w:rsidRPr="00563B36">
              <w:rPr>
                <w:b/>
              </w:rPr>
              <w:t>1</w:t>
            </w:r>
            <w:r>
              <w:rPr>
                <w:b/>
              </w:rPr>
              <w:t>,</w:t>
            </w:r>
            <w:r w:rsidRPr="00563B36">
              <w:rPr>
                <w:b/>
              </w:rPr>
              <w:t>463</w:t>
            </w:r>
            <w:r>
              <w:rPr>
                <w:b/>
              </w:rPr>
              <w:t>,</w:t>
            </w:r>
            <w:r w:rsidRPr="00563B36">
              <w:rPr>
                <w:b/>
              </w:rPr>
              <w:t>271</w:t>
            </w:r>
          </w:p>
        </w:tc>
      </w:tr>
      <w:tr w:rsidR="00086DF1" w:rsidRPr="0093755D" w14:paraId="0EC70BF3" w14:textId="77777777" w:rsidTr="00DC062C">
        <w:trPr>
          <w:trHeight w:val="238"/>
        </w:trPr>
        <w:tc>
          <w:tcPr>
            <w:tcW w:w="4678" w:type="dxa"/>
            <w:shd w:val="clear" w:color="auto" w:fill="auto"/>
          </w:tcPr>
          <w:p w14:paraId="786CECD7" w14:textId="77777777" w:rsidR="00086DF1" w:rsidRPr="0093755D" w:rsidRDefault="00086DF1" w:rsidP="00DC062C">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tcPr>
          <w:p w14:paraId="05C6F18A" w14:textId="77777777" w:rsidR="00086DF1" w:rsidRPr="0093755D" w:rsidRDefault="00086DF1" w:rsidP="00DC062C">
            <w:pPr>
              <w:pStyle w:val="08-Tabelageral"/>
              <w:rPr>
                <w:rFonts w:cs="Arial"/>
                <w:b/>
                <w:szCs w:val="14"/>
              </w:rPr>
            </w:pPr>
            <w:r w:rsidRPr="00563B36">
              <w:rPr>
                <w:b/>
              </w:rPr>
              <w:t>(13</w:t>
            </w:r>
            <w:r>
              <w:rPr>
                <w:b/>
              </w:rPr>
              <w:t>,</w:t>
            </w:r>
            <w:r w:rsidRPr="00563B36">
              <w:rPr>
                <w:b/>
              </w:rPr>
              <w:t>759)</w:t>
            </w:r>
          </w:p>
        </w:tc>
        <w:tc>
          <w:tcPr>
            <w:tcW w:w="1240" w:type="dxa"/>
            <w:shd w:val="clear" w:color="auto" w:fill="auto"/>
          </w:tcPr>
          <w:p w14:paraId="3C2CF14E" w14:textId="77777777" w:rsidR="00086DF1" w:rsidRPr="0093755D" w:rsidRDefault="00086DF1" w:rsidP="00DC062C">
            <w:pPr>
              <w:pStyle w:val="08-Tabelageral"/>
              <w:rPr>
                <w:rFonts w:cs="Arial"/>
                <w:b/>
                <w:szCs w:val="14"/>
              </w:rPr>
            </w:pPr>
            <w:r w:rsidRPr="00563B36">
              <w:rPr>
                <w:b/>
              </w:rPr>
              <w:t>(28</w:t>
            </w:r>
            <w:r>
              <w:rPr>
                <w:b/>
              </w:rPr>
              <w:t>,</w:t>
            </w:r>
            <w:r w:rsidRPr="00563B36">
              <w:rPr>
                <w:b/>
              </w:rPr>
              <w:t>903)</w:t>
            </w:r>
          </w:p>
        </w:tc>
        <w:tc>
          <w:tcPr>
            <w:tcW w:w="1240" w:type="dxa"/>
            <w:shd w:val="clear" w:color="auto" w:fill="auto"/>
          </w:tcPr>
          <w:p w14:paraId="233223B1" w14:textId="77777777" w:rsidR="00086DF1" w:rsidRPr="0093755D" w:rsidRDefault="00086DF1" w:rsidP="00DC062C">
            <w:pPr>
              <w:pStyle w:val="08-Tabelageral"/>
              <w:rPr>
                <w:rFonts w:cs="Arial"/>
                <w:b/>
                <w:szCs w:val="14"/>
              </w:rPr>
            </w:pPr>
            <w:r w:rsidRPr="00563B36">
              <w:rPr>
                <w:b/>
              </w:rPr>
              <w:t>--</w:t>
            </w:r>
          </w:p>
        </w:tc>
        <w:tc>
          <w:tcPr>
            <w:tcW w:w="1241" w:type="dxa"/>
            <w:shd w:val="clear" w:color="auto" w:fill="auto"/>
          </w:tcPr>
          <w:p w14:paraId="558FF56C" w14:textId="77777777" w:rsidR="00086DF1" w:rsidRPr="0093755D" w:rsidRDefault="00086DF1" w:rsidP="00DC062C">
            <w:pPr>
              <w:pStyle w:val="08-Tabelageral"/>
              <w:rPr>
                <w:rFonts w:cs="Arial"/>
                <w:b/>
                <w:szCs w:val="14"/>
              </w:rPr>
            </w:pPr>
            <w:r w:rsidRPr="00563B36">
              <w:rPr>
                <w:b/>
              </w:rPr>
              <w:t>(42</w:t>
            </w:r>
            <w:r>
              <w:rPr>
                <w:b/>
              </w:rPr>
              <w:t>,</w:t>
            </w:r>
            <w:r w:rsidRPr="00563B36">
              <w:rPr>
                <w:b/>
              </w:rPr>
              <w:t>662)</w:t>
            </w:r>
          </w:p>
        </w:tc>
      </w:tr>
      <w:tr w:rsidR="00086DF1" w:rsidRPr="0093755D" w14:paraId="3A58380A" w14:textId="77777777" w:rsidTr="00DC062C">
        <w:trPr>
          <w:trHeight w:val="238"/>
        </w:trPr>
        <w:tc>
          <w:tcPr>
            <w:tcW w:w="4678" w:type="dxa"/>
            <w:shd w:val="clear" w:color="auto" w:fill="auto"/>
          </w:tcPr>
          <w:p w14:paraId="05222958" w14:textId="77777777" w:rsidR="00086DF1" w:rsidRPr="0093755D" w:rsidRDefault="00086DF1" w:rsidP="00DC062C">
            <w:pPr>
              <w:pStyle w:val="08-Tabelageral"/>
              <w:ind w:left="113"/>
              <w:jc w:val="left"/>
              <w:rPr>
                <w:rFonts w:cs="Arial"/>
                <w:szCs w:val="14"/>
              </w:rPr>
            </w:pPr>
            <w:r w:rsidRPr="0093755D">
              <w:rPr>
                <w:rFonts w:cs="Arial"/>
                <w:szCs w:val="14"/>
              </w:rPr>
              <w:t>Personnel expenses</w:t>
            </w:r>
          </w:p>
        </w:tc>
        <w:tc>
          <w:tcPr>
            <w:tcW w:w="1240" w:type="dxa"/>
            <w:shd w:val="clear" w:color="auto" w:fill="auto"/>
          </w:tcPr>
          <w:p w14:paraId="0A98D410" w14:textId="77777777" w:rsidR="00086DF1" w:rsidRPr="0093755D" w:rsidRDefault="00086DF1" w:rsidP="00DC062C">
            <w:pPr>
              <w:pStyle w:val="08-Tabelageral"/>
              <w:rPr>
                <w:rFonts w:cs="Arial"/>
                <w:szCs w:val="14"/>
              </w:rPr>
            </w:pPr>
            <w:r w:rsidRPr="003A613D">
              <w:t>(5</w:t>
            </w:r>
            <w:r>
              <w:t>,</w:t>
            </w:r>
            <w:r w:rsidRPr="003A613D">
              <w:t>418)</w:t>
            </w:r>
          </w:p>
        </w:tc>
        <w:tc>
          <w:tcPr>
            <w:tcW w:w="1240" w:type="dxa"/>
            <w:shd w:val="clear" w:color="auto" w:fill="auto"/>
          </w:tcPr>
          <w:p w14:paraId="240C1B0B" w14:textId="77777777" w:rsidR="00086DF1" w:rsidRPr="0093755D" w:rsidRDefault="00086DF1" w:rsidP="00DC062C">
            <w:pPr>
              <w:pStyle w:val="08-Tabelageral"/>
              <w:rPr>
                <w:rFonts w:cs="Arial"/>
                <w:szCs w:val="14"/>
              </w:rPr>
            </w:pPr>
            <w:r w:rsidRPr="003A613D">
              <w:t>(10</w:t>
            </w:r>
            <w:r>
              <w:t>,</w:t>
            </w:r>
            <w:r w:rsidRPr="003A613D">
              <w:t>972)</w:t>
            </w:r>
          </w:p>
        </w:tc>
        <w:tc>
          <w:tcPr>
            <w:tcW w:w="1240" w:type="dxa"/>
            <w:shd w:val="clear" w:color="auto" w:fill="auto"/>
          </w:tcPr>
          <w:p w14:paraId="7F76356E" w14:textId="77777777" w:rsidR="00086DF1" w:rsidRPr="0093755D" w:rsidRDefault="00086DF1" w:rsidP="00DC062C">
            <w:pPr>
              <w:pStyle w:val="08-Tabelageral"/>
              <w:rPr>
                <w:rFonts w:cs="Arial"/>
                <w:szCs w:val="14"/>
              </w:rPr>
            </w:pPr>
            <w:r w:rsidRPr="003A613D">
              <w:t>--</w:t>
            </w:r>
          </w:p>
        </w:tc>
        <w:tc>
          <w:tcPr>
            <w:tcW w:w="1241" w:type="dxa"/>
            <w:shd w:val="clear" w:color="auto" w:fill="auto"/>
          </w:tcPr>
          <w:p w14:paraId="74ECC541" w14:textId="77777777" w:rsidR="00086DF1" w:rsidRPr="0093755D" w:rsidRDefault="00086DF1" w:rsidP="00DC062C">
            <w:pPr>
              <w:pStyle w:val="08-Tabelageral"/>
              <w:rPr>
                <w:rFonts w:cs="Arial"/>
                <w:szCs w:val="14"/>
              </w:rPr>
            </w:pPr>
            <w:r w:rsidRPr="003A613D">
              <w:t>(16</w:t>
            </w:r>
            <w:r>
              <w:t>,</w:t>
            </w:r>
            <w:r w:rsidRPr="003A613D">
              <w:t>390)</w:t>
            </w:r>
          </w:p>
        </w:tc>
      </w:tr>
      <w:tr w:rsidR="00086DF1" w:rsidRPr="0093755D" w14:paraId="3CD39E9C" w14:textId="77777777" w:rsidTr="00DC062C">
        <w:trPr>
          <w:trHeight w:val="238"/>
        </w:trPr>
        <w:tc>
          <w:tcPr>
            <w:tcW w:w="4678" w:type="dxa"/>
            <w:shd w:val="clear" w:color="auto" w:fill="auto"/>
          </w:tcPr>
          <w:p w14:paraId="656AA0FC" w14:textId="77777777" w:rsidR="00086DF1" w:rsidRPr="0093755D" w:rsidRDefault="00086DF1" w:rsidP="00DC062C">
            <w:pPr>
              <w:pStyle w:val="08-Tabelageral"/>
              <w:ind w:left="113"/>
              <w:jc w:val="left"/>
              <w:rPr>
                <w:rFonts w:cs="Arial"/>
                <w:szCs w:val="14"/>
              </w:rPr>
            </w:pPr>
            <w:r w:rsidRPr="0093755D">
              <w:rPr>
                <w:rFonts w:cs="Arial"/>
                <w:szCs w:val="14"/>
              </w:rPr>
              <w:t>Adminstrative expenses</w:t>
            </w:r>
          </w:p>
        </w:tc>
        <w:tc>
          <w:tcPr>
            <w:tcW w:w="1240" w:type="dxa"/>
            <w:shd w:val="clear" w:color="auto" w:fill="auto"/>
          </w:tcPr>
          <w:p w14:paraId="46AEDD15" w14:textId="77777777" w:rsidR="00086DF1" w:rsidRPr="0093755D" w:rsidRDefault="00086DF1" w:rsidP="00DC062C">
            <w:pPr>
              <w:pStyle w:val="08-Tabelageral"/>
              <w:rPr>
                <w:rFonts w:cs="Arial"/>
                <w:szCs w:val="14"/>
              </w:rPr>
            </w:pPr>
            <w:r w:rsidRPr="003A613D">
              <w:t>(1</w:t>
            </w:r>
            <w:r>
              <w:t>,</w:t>
            </w:r>
            <w:r w:rsidRPr="003A613D">
              <w:t>131)</w:t>
            </w:r>
          </w:p>
        </w:tc>
        <w:tc>
          <w:tcPr>
            <w:tcW w:w="1240" w:type="dxa"/>
            <w:shd w:val="clear" w:color="auto" w:fill="auto"/>
          </w:tcPr>
          <w:p w14:paraId="3D6439EF" w14:textId="77777777" w:rsidR="00086DF1" w:rsidRPr="0093755D" w:rsidRDefault="00086DF1" w:rsidP="00DC062C">
            <w:pPr>
              <w:pStyle w:val="08-Tabelageral"/>
              <w:rPr>
                <w:rFonts w:cs="Arial"/>
                <w:szCs w:val="14"/>
              </w:rPr>
            </w:pPr>
            <w:r w:rsidRPr="003A613D">
              <w:t>(4</w:t>
            </w:r>
            <w:r>
              <w:t>,</w:t>
            </w:r>
            <w:r w:rsidRPr="003A613D">
              <w:t>747)</w:t>
            </w:r>
          </w:p>
        </w:tc>
        <w:tc>
          <w:tcPr>
            <w:tcW w:w="1240" w:type="dxa"/>
            <w:shd w:val="clear" w:color="auto" w:fill="auto"/>
          </w:tcPr>
          <w:p w14:paraId="490F4E5B" w14:textId="77777777" w:rsidR="00086DF1" w:rsidRPr="0093755D" w:rsidRDefault="00086DF1" w:rsidP="00DC062C">
            <w:pPr>
              <w:pStyle w:val="08-Tabelageral"/>
              <w:rPr>
                <w:rFonts w:cs="Arial"/>
                <w:szCs w:val="14"/>
              </w:rPr>
            </w:pPr>
            <w:r w:rsidRPr="003A613D">
              <w:t>--</w:t>
            </w:r>
          </w:p>
        </w:tc>
        <w:tc>
          <w:tcPr>
            <w:tcW w:w="1241" w:type="dxa"/>
            <w:shd w:val="clear" w:color="auto" w:fill="auto"/>
          </w:tcPr>
          <w:p w14:paraId="6B3DCC4D" w14:textId="77777777" w:rsidR="00086DF1" w:rsidRPr="0093755D" w:rsidRDefault="00086DF1" w:rsidP="00DC062C">
            <w:pPr>
              <w:pStyle w:val="08-Tabelageral"/>
              <w:rPr>
                <w:rFonts w:cs="Arial"/>
                <w:szCs w:val="14"/>
              </w:rPr>
            </w:pPr>
            <w:r w:rsidRPr="003A613D">
              <w:t>(5</w:t>
            </w:r>
            <w:r>
              <w:t>,</w:t>
            </w:r>
            <w:r w:rsidRPr="003A613D">
              <w:t>878)</w:t>
            </w:r>
          </w:p>
        </w:tc>
      </w:tr>
      <w:tr w:rsidR="00086DF1" w:rsidRPr="0093755D" w14:paraId="46809FDB" w14:textId="77777777" w:rsidTr="00DC062C">
        <w:trPr>
          <w:trHeight w:val="238"/>
        </w:trPr>
        <w:tc>
          <w:tcPr>
            <w:tcW w:w="4678" w:type="dxa"/>
            <w:shd w:val="clear" w:color="auto" w:fill="auto"/>
          </w:tcPr>
          <w:p w14:paraId="1D788B3C" w14:textId="77777777" w:rsidR="00086DF1" w:rsidRPr="0093755D" w:rsidRDefault="00086DF1" w:rsidP="00DC062C">
            <w:pPr>
              <w:pStyle w:val="08-Tabelageral"/>
              <w:ind w:left="113"/>
              <w:jc w:val="left"/>
              <w:rPr>
                <w:rFonts w:cs="Arial"/>
                <w:szCs w:val="14"/>
              </w:rPr>
            </w:pPr>
            <w:r w:rsidRPr="0093755D">
              <w:rPr>
                <w:rFonts w:cs="Arial"/>
                <w:szCs w:val="14"/>
              </w:rPr>
              <w:t>Tax expenses</w:t>
            </w:r>
          </w:p>
        </w:tc>
        <w:tc>
          <w:tcPr>
            <w:tcW w:w="1240" w:type="dxa"/>
            <w:shd w:val="clear" w:color="auto" w:fill="auto"/>
          </w:tcPr>
          <w:p w14:paraId="348237FE" w14:textId="77777777" w:rsidR="00086DF1" w:rsidRPr="0093755D" w:rsidRDefault="00086DF1" w:rsidP="00DC062C">
            <w:pPr>
              <w:pStyle w:val="08-Tabelageral"/>
              <w:rPr>
                <w:rFonts w:cs="Arial"/>
                <w:szCs w:val="14"/>
              </w:rPr>
            </w:pPr>
            <w:r w:rsidRPr="003A613D">
              <w:t>(2</w:t>
            </w:r>
            <w:r>
              <w:t>,</w:t>
            </w:r>
            <w:r w:rsidRPr="003A613D">
              <w:t>290)</w:t>
            </w:r>
          </w:p>
        </w:tc>
        <w:tc>
          <w:tcPr>
            <w:tcW w:w="1240" w:type="dxa"/>
            <w:shd w:val="clear" w:color="auto" w:fill="auto"/>
          </w:tcPr>
          <w:p w14:paraId="02AAD1C9" w14:textId="77777777" w:rsidR="00086DF1" w:rsidRPr="0093755D" w:rsidRDefault="00086DF1" w:rsidP="00DC062C">
            <w:pPr>
              <w:pStyle w:val="08-Tabelageral"/>
              <w:rPr>
                <w:rFonts w:cs="Arial"/>
                <w:szCs w:val="14"/>
              </w:rPr>
            </w:pPr>
            <w:r w:rsidRPr="003A613D">
              <w:t>(3</w:t>
            </w:r>
            <w:r>
              <w:t>,</w:t>
            </w:r>
            <w:r w:rsidRPr="003A613D">
              <w:t>027)</w:t>
            </w:r>
          </w:p>
        </w:tc>
        <w:tc>
          <w:tcPr>
            <w:tcW w:w="1240" w:type="dxa"/>
            <w:shd w:val="clear" w:color="auto" w:fill="auto"/>
          </w:tcPr>
          <w:p w14:paraId="6E3EBC92" w14:textId="77777777" w:rsidR="00086DF1" w:rsidRPr="0093755D" w:rsidRDefault="00086DF1" w:rsidP="00DC062C">
            <w:pPr>
              <w:pStyle w:val="08-Tabelageral"/>
              <w:rPr>
                <w:rFonts w:cs="Arial"/>
                <w:szCs w:val="14"/>
              </w:rPr>
            </w:pPr>
            <w:r w:rsidRPr="003A613D">
              <w:t>--</w:t>
            </w:r>
          </w:p>
        </w:tc>
        <w:tc>
          <w:tcPr>
            <w:tcW w:w="1241" w:type="dxa"/>
            <w:shd w:val="clear" w:color="auto" w:fill="auto"/>
          </w:tcPr>
          <w:p w14:paraId="77D521DA" w14:textId="77777777" w:rsidR="00086DF1" w:rsidRPr="0093755D" w:rsidRDefault="00086DF1" w:rsidP="00DC062C">
            <w:pPr>
              <w:pStyle w:val="08-Tabelageral"/>
              <w:rPr>
                <w:rFonts w:cs="Arial"/>
                <w:szCs w:val="14"/>
              </w:rPr>
            </w:pPr>
            <w:r w:rsidRPr="003A613D">
              <w:t>(5</w:t>
            </w:r>
            <w:r>
              <w:t>,</w:t>
            </w:r>
            <w:r w:rsidRPr="003A613D">
              <w:t>317)</w:t>
            </w:r>
          </w:p>
        </w:tc>
      </w:tr>
      <w:tr w:rsidR="00086DF1" w:rsidRPr="0093755D" w14:paraId="555D0B81" w14:textId="77777777" w:rsidTr="00DC062C">
        <w:trPr>
          <w:trHeight w:val="238"/>
        </w:trPr>
        <w:tc>
          <w:tcPr>
            <w:tcW w:w="4678" w:type="dxa"/>
            <w:shd w:val="clear" w:color="auto" w:fill="auto"/>
          </w:tcPr>
          <w:p w14:paraId="4F81718B" w14:textId="77777777" w:rsidR="00086DF1" w:rsidRPr="0093755D" w:rsidRDefault="00086DF1" w:rsidP="00DC062C">
            <w:pPr>
              <w:pStyle w:val="08-Tabelageral"/>
              <w:ind w:left="113"/>
              <w:jc w:val="left"/>
              <w:rPr>
                <w:rFonts w:cs="Arial"/>
                <w:szCs w:val="14"/>
              </w:rPr>
            </w:pPr>
            <w:r w:rsidRPr="0093755D">
              <w:rPr>
                <w:rFonts w:cs="Arial"/>
                <w:szCs w:val="14"/>
              </w:rPr>
              <w:t>Other</w:t>
            </w:r>
          </w:p>
        </w:tc>
        <w:tc>
          <w:tcPr>
            <w:tcW w:w="1240" w:type="dxa"/>
            <w:shd w:val="clear" w:color="auto" w:fill="auto"/>
          </w:tcPr>
          <w:p w14:paraId="33EDCB4C" w14:textId="77777777" w:rsidR="00086DF1" w:rsidRPr="0093755D" w:rsidRDefault="00086DF1" w:rsidP="00DC062C">
            <w:pPr>
              <w:pStyle w:val="08-Tabelageral"/>
              <w:rPr>
                <w:rFonts w:cs="Arial"/>
                <w:szCs w:val="14"/>
              </w:rPr>
            </w:pPr>
            <w:r w:rsidRPr="003A613D">
              <w:t>(4</w:t>
            </w:r>
            <w:r>
              <w:t>,</w:t>
            </w:r>
            <w:r w:rsidRPr="003A613D">
              <w:t>920)</w:t>
            </w:r>
          </w:p>
        </w:tc>
        <w:tc>
          <w:tcPr>
            <w:tcW w:w="1240" w:type="dxa"/>
            <w:shd w:val="clear" w:color="auto" w:fill="auto"/>
          </w:tcPr>
          <w:p w14:paraId="449CE85E" w14:textId="77777777" w:rsidR="00086DF1" w:rsidRPr="0093755D" w:rsidRDefault="00086DF1" w:rsidP="00DC062C">
            <w:pPr>
              <w:pStyle w:val="08-Tabelageral"/>
              <w:rPr>
                <w:rFonts w:cs="Arial"/>
                <w:szCs w:val="14"/>
              </w:rPr>
            </w:pPr>
            <w:r w:rsidRPr="003A613D">
              <w:t>(10</w:t>
            </w:r>
            <w:r>
              <w:t>,</w:t>
            </w:r>
            <w:r w:rsidRPr="003A613D">
              <w:t>157)</w:t>
            </w:r>
          </w:p>
        </w:tc>
        <w:tc>
          <w:tcPr>
            <w:tcW w:w="1240" w:type="dxa"/>
            <w:shd w:val="clear" w:color="auto" w:fill="auto"/>
          </w:tcPr>
          <w:p w14:paraId="528B3C1C" w14:textId="77777777" w:rsidR="00086DF1" w:rsidRPr="0093755D" w:rsidRDefault="00086DF1" w:rsidP="00DC062C">
            <w:pPr>
              <w:pStyle w:val="08-Tabelageral"/>
              <w:rPr>
                <w:rFonts w:cs="Arial"/>
                <w:szCs w:val="14"/>
              </w:rPr>
            </w:pPr>
            <w:r w:rsidRPr="003A613D">
              <w:t>--</w:t>
            </w:r>
          </w:p>
        </w:tc>
        <w:tc>
          <w:tcPr>
            <w:tcW w:w="1241" w:type="dxa"/>
            <w:shd w:val="clear" w:color="auto" w:fill="auto"/>
          </w:tcPr>
          <w:p w14:paraId="428DCF78" w14:textId="77777777" w:rsidR="00086DF1" w:rsidRPr="0093755D" w:rsidRDefault="00086DF1" w:rsidP="00DC062C">
            <w:pPr>
              <w:pStyle w:val="08-Tabelageral"/>
              <w:rPr>
                <w:rFonts w:cs="Arial"/>
                <w:szCs w:val="14"/>
              </w:rPr>
            </w:pPr>
            <w:r w:rsidRPr="003A613D">
              <w:t>(15</w:t>
            </w:r>
            <w:r>
              <w:t>,</w:t>
            </w:r>
            <w:r w:rsidRPr="003A613D">
              <w:t>077)</w:t>
            </w:r>
          </w:p>
        </w:tc>
      </w:tr>
      <w:tr w:rsidR="00086DF1" w:rsidRPr="0093755D" w14:paraId="2B5971E6" w14:textId="77777777" w:rsidTr="00DC062C">
        <w:trPr>
          <w:trHeight w:val="238"/>
        </w:trPr>
        <w:tc>
          <w:tcPr>
            <w:tcW w:w="4678" w:type="dxa"/>
            <w:shd w:val="clear" w:color="auto" w:fill="auto"/>
          </w:tcPr>
          <w:p w14:paraId="6D8F36B1" w14:textId="77777777" w:rsidR="00086DF1" w:rsidRPr="0093755D" w:rsidRDefault="00086DF1" w:rsidP="00DC062C">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tcPr>
          <w:p w14:paraId="2A32148C" w14:textId="77777777" w:rsidR="00086DF1" w:rsidRPr="0093755D" w:rsidRDefault="00086DF1" w:rsidP="00DC062C">
            <w:pPr>
              <w:pStyle w:val="08-Tabelageral"/>
              <w:rPr>
                <w:rFonts w:cs="Arial"/>
                <w:b/>
                <w:szCs w:val="14"/>
              </w:rPr>
            </w:pPr>
            <w:r w:rsidRPr="00563B36">
              <w:rPr>
                <w:b/>
              </w:rPr>
              <w:t>1</w:t>
            </w:r>
            <w:r>
              <w:rPr>
                <w:b/>
              </w:rPr>
              <w:t>,</w:t>
            </w:r>
            <w:r w:rsidRPr="00563B36">
              <w:rPr>
                <w:b/>
              </w:rPr>
              <w:t>771</w:t>
            </w:r>
            <w:r>
              <w:rPr>
                <w:b/>
              </w:rPr>
              <w:t>,</w:t>
            </w:r>
            <w:r w:rsidRPr="00563B36">
              <w:rPr>
                <w:b/>
              </w:rPr>
              <w:t>448</w:t>
            </w:r>
          </w:p>
        </w:tc>
        <w:tc>
          <w:tcPr>
            <w:tcW w:w="1240" w:type="dxa"/>
            <w:shd w:val="clear" w:color="auto" w:fill="auto"/>
          </w:tcPr>
          <w:p w14:paraId="5E4AF63B" w14:textId="77777777" w:rsidR="00086DF1" w:rsidRPr="0093755D" w:rsidRDefault="00086DF1" w:rsidP="00DC062C">
            <w:pPr>
              <w:pStyle w:val="08-Tabelageral"/>
              <w:rPr>
                <w:rFonts w:cs="Arial"/>
                <w:b/>
                <w:szCs w:val="14"/>
              </w:rPr>
            </w:pPr>
            <w:r w:rsidRPr="00563B36">
              <w:rPr>
                <w:b/>
              </w:rPr>
              <w:t>828</w:t>
            </w:r>
            <w:r>
              <w:rPr>
                <w:b/>
              </w:rPr>
              <w:t>,</w:t>
            </w:r>
            <w:r w:rsidRPr="00563B36">
              <w:rPr>
                <w:b/>
              </w:rPr>
              <w:t>246</w:t>
            </w:r>
          </w:p>
        </w:tc>
        <w:tc>
          <w:tcPr>
            <w:tcW w:w="1240" w:type="dxa"/>
            <w:shd w:val="clear" w:color="auto" w:fill="auto"/>
          </w:tcPr>
          <w:p w14:paraId="7CD51830" w14:textId="77777777" w:rsidR="00086DF1" w:rsidRPr="0093755D" w:rsidRDefault="00086DF1" w:rsidP="00DC062C">
            <w:pPr>
              <w:pStyle w:val="08-Tabelageral"/>
              <w:rPr>
                <w:rFonts w:cs="Arial"/>
                <w:b/>
                <w:szCs w:val="14"/>
              </w:rPr>
            </w:pPr>
            <w:r w:rsidRPr="00563B36">
              <w:rPr>
                <w:b/>
              </w:rPr>
              <w:t>(1</w:t>
            </w:r>
            <w:r>
              <w:rPr>
                <w:b/>
              </w:rPr>
              <w:t>,</w:t>
            </w:r>
            <w:r w:rsidRPr="00563B36">
              <w:rPr>
                <w:b/>
              </w:rPr>
              <w:t>179</w:t>
            </w:r>
            <w:r>
              <w:rPr>
                <w:b/>
              </w:rPr>
              <w:t>,</w:t>
            </w:r>
            <w:r w:rsidRPr="00563B36">
              <w:rPr>
                <w:b/>
              </w:rPr>
              <w:t>085)</w:t>
            </w:r>
          </w:p>
        </w:tc>
        <w:tc>
          <w:tcPr>
            <w:tcW w:w="1241" w:type="dxa"/>
            <w:shd w:val="clear" w:color="auto" w:fill="auto"/>
          </w:tcPr>
          <w:p w14:paraId="160DD2B7" w14:textId="77777777" w:rsidR="00086DF1" w:rsidRPr="0093755D" w:rsidRDefault="00086DF1" w:rsidP="00DC062C">
            <w:pPr>
              <w:pStyle w:val="08-Tabelageral"/>
              <w:rPr>
                <w:rFonts w:cs="Arial"/>
                <w:b/>
                <w:szCs w:val="14"/>
              </w:rPr>
            </w:pPr>
            <w:r w:rsidRPr="00563B36">
              <w:rPr>
                <w:b/>
              </w:rPr>
              <w:t>1</w:t>
            </w:r>
            <w:r>
              <w:rPr>
                <w:b/>
              </w:rPr>
              <w:t>,</w:t>
            </w:r>
            <w:r w:rsidRPr="00563B36">
              <w:rPr>
                <w:b/>
              </w:rPr>
              <w:t>420</w:t>
            </w:r>
            <w:r>
              <w:rPr>
                <w:b/>
              </w:rPr>
              <w:t>,</w:t>
            </w:r>
            <w:r w:rsidRPr="00563B36">
              <w:rPr>
                <w:b/>
              </w:rPr>
              <w:t>609</w:t>
            </w:r>
          </w:p>
        </w:tc>
      </w:tr>
      <w:tr w:rsidR="00086DF1" w:rsidRPr="0093755D" w14:paraId="4C86018B" w14:textId="77777777" w:rsidTr="00DC062C">
        <w:trPr>
          <w:trHeight w:val="238"/>
        </w:trPr>
        <w:tc>
          <w:tcPr>
            <w:tcW w:w="4678" w:type="dxa"/>
            <w:shd w:val="clear" w:color="auto" w:fill="auto"/>
          </w:tcPr>
          <w:p w14:paraId="21735FF8" w14:textId="77777777" w:rsidR="00086DF1" w:rsidRPr="0093755D" w:rsidRDefault="00086DF1" w:rsidP="00DC062C">
            <w:pPr>
              <w:pStyle w:val="08-Tabelageral"/>
              <w:jc w:val="left"/>
              <w:rPr>
                <w:rFonts w:cs="Arial"/>
                <w:b/>
                <w:szCs w:val="14"/>
              </w:rPr>
            </w:pPr>
            <w:r w:rsidRPr="0093755D">
              <w:rPr>
                <w:rFonts w:cs="Arial"/>
                <w:b/>
                <w:szCs w:val="14"/>
              </w:rPr>
              <w:t>Financial Result</w:t>
            </w:r>
          </w:p>
        </w:tc>
        <w:tc>
          <w:tcPr>
            <w:tcW w:w="1240" w:type="dxa"/>
            <w:shd w:val="clear" w:color="auto" w:fill="auto"/>
          </w:tcPr>
          <w:p w14:paraId="623577A5" w14:textId="77777777" w:rsidR="00086DF1" w:rsidRPr="0093755D" w:rsidRDefault="00086DF1" w:rsidP="00DC062C">
            <w:pPr>
              <w:pStyle w:val="08-Tabelageral"/>
              <w:rPr>
                <w:rFonts w:cs="Arial"/>
                <w:b/>
                <w:szCs w:val="14"/>
              </w:rPr>
            </w:pPr>
            <w:r w:rsidRPr="00563B36">
              <w:rPr>
                <w:b/>
              </w:rPr>
              <w:t>11</w:t>
            </w:r>
            <w:r>
              <w:rPr>
                <w:b/>
              </w:rPr>
              <w:t>,</w:t>
            </w:r>
            <w:r w:rsidRPr="00563B36">
              <w:rPr>
                <w:b/>
              </w:rPr>
              <w:t>945</w:t>
            </w:r>
          </w:p>
        </w:tc>
        <w:tc>
          <w:tcPr>
            <w:tcW w:w="1240" w:type="dxa"/>
            <w:shd w:val="clear" w:color="auto" w:fill="auto"/>
          </w:tcPr>
          <w:p w14:paraId="383BEAE1" w14:textId="77777777" w:rsidR="00086DF1" w:rsidRPr="0093755D" w:rsidRDefault="00086DF1" w:rsidP="00DC062C">
            <w:pPr>
              <w:pStyle w:val="08-Tabelageral"/>
              <w:rPr>
                <w:rFonts w:cs="Arial"/>
                <w:b/>
                <w:szCs w:val="14"/>
              </w:rPr>
            </w:pPr>
            <w:r w:rsidRPr="00563B36">
              <w:rPr>
                <w:b/>
              </w:rPr>
              <w:t>46</w:t>
            </w:r>
            <w:r>
              <w:rPr>
                <w:b/>
              </w:rPr>
              <w:t>,</w:t>
            </w:r>
            <w:r w:rsidRPr="00563B36">
              <w:rPr>
                <w:b/>
              </w:rPr>
              <w:t>196</w:t>
            </w:r>
          </w:p>
        </w:tc>
        <w:tc>
          <w:tcPr>
            <w:tcW w:w="1240" w:type="dxa"/>
            <w:shd w:val="clear" w:color="auto" w:fill="auto"/>
          </w:tcPr>
          <w:p w14:paraId="6DAE8FD4" w14:textId="77777777" w:rsidR="00086DF1" w:rsidRPr="0093755D" w:rsidRDefault="00086DF1" w:rsidP="00DC062C">
            <w:pPr>
              <w:pStyle w:val="08-Tabelageral"/>
              <w:rPr>
                <w:rFonts w:cs="Arial"/>
                <w:b/>
                <w:szCs w:val="14"/>
              </w:rPr>
            </w:pPr>
            <w:r w:rsidRPr="00563B36">
              <w:rPr>
                <w:b/>
              </w:rPr>
              <w:t>--</w:t>
            </w:r>
          </w:p>
        </w:tc>
        <w:tc>
          <w:tcPr>
            <w:tcW w:w="1241" w:type="dxa"/>
            <w:shd w:val="clear" w:color="auto" w:fill="auto"/>
          </w:tcPr>
          <w:p w14:paraId="5CD0ACE7" w14:textId="77777777" w:rsidR="00086DF1" w:rsidRPr="0093755D" w:rsidRDefault="00086DF1" w:rsidP="00DC062C">
            <w:pPr>
              <w:pStyle w:val="08-Tabelageral"/>
              <w:rPr>
                <w:rFonts w:cs="Arial"/>
                <w:b/>
                <w:szCs w:val="14"/>
              </w:rPr>
            </w:pPr>
            <w:r w:rsidRPr="00563B36">
              <w:rPr>
                <w:b/>
              </w:rPr>
              <w:t>58</w:t>
            </w:r>
            <w:r>
              <w:rPr>
                <w:b/>
              </w:rPr>
              <w:t>,</w:t>
            </w:r>
            <w:r w:rsidRPr="00563B36">
              <w:rPr>
                <w:b/>
              </w:rPr>
              <w:t>142</w:t>
            </w:r>
          </w:p>
        </w:tc>
      </w:tr>
      <w:tr w:rsidR="00086DF1" w:rsidRPr="0093755D" w14:paraId="2DA9929D" w14:textId="77777777" w:rsidTr="00DC062C">
        <w:trPr>
          <w:trHeight w:val="238"/>
        </w:trPr>
        <w:tc>
          <w:tcPr>
            <w:tcW w:w="4678" w:type="dxa"/>
            <w:shd w:val="clear" w:color="auto" w:fill="auto"/>
          </w:tcPr>
          <w:p w14:paraId="4BF6135A" w14:textId="77777777" w:rsidR="00086DF1" w:rsidRPr="0093755D" w:rsidRDefault="00086DF1" w:rsidP="00DC062C">
            <w:pPr>
              <w:pStyle w:val="08-Tabelageral"/>
              <w:ind w:left="113"/>
              <w:jc w:val="left"/>
              <w:rPr>
                <w:rFonts w:cs="Arial"/>
                <w:szCs w:val="14"/>
              </w:rPr>
            </w:pPr>
            <w:r w:rsidRPr="0093755D">
              <w:rPr>
                <w:rFonts w:cs="Arial"/>
                <w:szCs w:val="14"/>
              </w:rPr>
              <w:t>Financial revenue</w:t>
            </w:r>
          </w:p>
        </w:tc>
        <w:tc>
          <w:tcPr>
            <w:tcW w:w="1240" w:type="dxa"/>
            <w:shd w:val="clear" w:color="auto" w:fill="auto"/>
          </w:tcPr>
          <w:p w14:paraId="3A514614" w14:textId="77777777" w:rsidR="00086DF1" w:rsidRPr="0093755D" w:rsidRDefault="00086DF1" w:rsidP="00DC062C">
            <w:pPr>
              <w:pStyle w:val="08-Tabelageral"/>
              <w:rPr>
                <w:rFonts w:cs="Arial"/>
                <w:szCs w:val="14"/>
              </w:rPr>
            </w:pPr>
            <w:r w:rsidRPr="003A613D">
              <w:t>44</w:t>
            </w:r>
            <w:r>
              <w:t>,</w:t>
            </w:r>
            <w:r w:rsidRPr="003A613D">
              <w:t>726</w:t>
            </w:r>
          </w:p>
        </w:tc>
        <w:tc>
          <w:tcPr>
            <w:tcW w:w="1240" w:type="dxa"/>
            <w:shd w:val="clear" w:color="auto" w:fill="auto"/>
          </w:tcPr>
          <w:p w14:paraId="5AFA33B2" w14:textId="77777777" w:rsidR="00086DF1" w:rsidRPr="0093755D" w:rsidRDefault="00086DF1" w:rsidP="00DC062C">
            <w:pPr>
              <w:pStyle w:val="08-Tabelageral"/>
              <w:rPr>
                <w:rFonts w:cs="Arial"/>
                <w:szCs w:val="14"/>
              </w:rPr>
            </w:pPr>
            <w:r w:rsidRPr="003A613D">
              <w:t>63</w:t>
            </w:r>
            <w:r>
              <w:t>,</w:t>
            </w:r>
            <w:r w:rsidRPr="003A613D">
              <w:t>329</w:t>
            </w:r>
          </w:p>
        </w:tc>
        <w:tc>
          <w:tcPr>
            <w:tcW w:w="1240" w:type="dxa"/>
            <w:shd w:val="clear" w:color="auto" w:fill="auto"/>
          </w:tcPr>
          <w:p w14:paraId="4B9E29FA" w14:textId="77777777" w:rsidR="00086DF1" w:rsidRPr="0093755D" w:rsidRDefault="00086DF1" w:rsidP="00DC062C">
            <w:pPr>
              <w:pStyle w:val="08-Tabelageral"/>
              <w:rPr>
                <w:rFonts w:cs="Arial"/>
                <w:szCs w:val="14"/>
              </w:rPr>
            </w:pPr>
            <w:r w:rsidRPr="003A613D">
              <w:t>(22</w:t>
            </w:r>
            <w:r>
              <w:t>,</w:t>
            </w:r>
            <w:r w:rsidRPr="003A613D">
              <w:t>106)</w:t>
            </w:r>
          </w:p>
        </w:tc>
        <w:tc>
          <w:tcPr>
            <w:tcW w:w="1241" w:type="dxa"/>
            <w:shd w:val="clear" w:color="auto" w:fill="auto"/>
          </w:tcPr>
          <w:p w14:paraId="0DBD2E65" w14:textId="77777777" w:rsidR="00086DF1" w:rsidRPr="0093755D" w:rsidRDefault="00086DF1" w:rsidP="00DC062C">
            <w:pPr>
              <w:pStyle w:val="08-Tabelageral"/>
              <w:rPr>
                <w:rFonts w:cs="Arial"/>
                <w:szCs w:val="14"/>
              </w:rPr>
            </w:pPr>
            <w:r w:rsidRPr="003A613D">
              <w:t>85</w:t>
            </w:r>
            <w:r>
              <w:t>,</w:t>
            </w:r>
            <w:r w:rsidRPr="003A613D">
              <w:t>950</w:t>
            </w:r>
          </w:p>
        </w:tc>
      </w:tr>
      <w:tr w:rsidR="00086DF1" w:rsidRPr="0093755D" w14:paraId="529435BA" w14:textId="77777777" w:rsidTr="00DC062C">
        <w:trPr>
          <w:trHeight w:val="238"/>
        </w:trPr>
        <w:tc>
          <w:tcPr>
            <w:tcW w:w="4678" w:type="dxa"/>
            <w:shd w:val="clear" w:color="auto" w:fill="auto"/>
          </w:tcPr>
          <w:p w14:paraId="5D6A542B" w14:textId="77777777" w:rsidR="00086DF1" w:rsidRPr="0093755D" w:rsidRDefault="00086DF1" w:rsidP="00DC062C">
            <w:pPr>
              <w:pStyle w:val="08-Tabelageral"/>
              <w:ind w:left="113"/>
              <w:jc w:val="left"/>
              <w:rPr>
                <w:rFonts w:cs="Arial"/>
                <w:szCs w:val="14"/>
              </w:rPr>
            </w:pPr>
            <w:r w:rsidRPr="0093755D">
              <w:rPr>
                <w:rFonts w:cs="Arial"/>
                <w:szCs w:val="14"/>
              </w:rPr>
              <w:t>Financial expenses</w:t>
            </w:r>
          </w:p>
        </w:tc>
        <w:tc>
          <w:tcPr>
            <w:tcW w:w="1240" w:type="dxa"/>
            <w:shd w:val="clear" w:color="auto" w:fill="auto"/>
          </w:tcPr>
          <w:p w14:paraId="532BEC3B" w14:textId="77777777" w:rsidR="00086DF1" w:rsidRPr="0093755D" w:rsidRDefault="00086DF1" w:rsidP="00DC062C">
            <w:pPr>
              <w:pStyle w:val="08-Tabelageral"/>
              <w:rPr>
                <w:rFonts w:cs="Arial"/>
                <w:szCs w:val="14"/>
              </w:rPr>
            </w:pPr>
            <w:r w:rsidRPr="003A613D">
              <w:t>(32</w:t>
            </w:r>
            <w:r>
              <w:t>,</w:t>
            </w:r>
            <w:r w:rsidRPr="003A613D">
              <w:t>781)</w:t>
            </w:r>
          </w:p>
        </w:tc>
        <w:tc>
          <w:tcPr>
            <w:tcW w:w="1240" w:type="dxa"/>
            <w:shd w:val="clear" w:color="auto" w:fill="auto"/>
          </w:tcPr>
          <w:p w14:paraId="571281E0" w14:textId="77777777" w:rsidR="00086DF1" w:rsidRPr="0093755D" w:rsidRDefault="00086DF1" w:rsidP="00DC062C">
            <w:pPr>
              <w:pStyle w:val="08-Tabelageral"/>
              <w:rPr>
                <w:rFonts w:cs="Arial"/>
                <w:szCs w:val="14"/>
              </w:rPr>
            </w:pPr>
            <w:r w:rsidRPr="003A613D">
              <w:t>(17</w:t>
            </w:r>
            <w:r>
              <w:t>,</w:t>
            </w:r>
            <w:r w:rsidRPr="003A613D">
              <w:t>133)</w:t>
            </w:r>
          </w:p>
        </w:tc>
        <w:tc>
          <w:tcPr>
            <w:tcW w:w="1240" w:type="dxa"/>
            <w:shd w:val="clear" w:color="auto" w:fill="auto"/>
          </w:tcPr>
          <w:p w14:paraId="7C0D6489" w14:textId="77777777" w:rsidR="00086DF1" w:rsidRPr="0093755D" w:rsidRDefault="00086DF1" w:rsidP="00DC062C">
            <w:pPr>
              <w:pStyle w:val="08-Tabelageral"/>
              <w:rPr>
                <w:rFonts w:cs="Arial"/>
                <w:szCs w:val="14"/>
              </w:rPr>
            </w:pPr>
            <w:r w:rsidRPr="003A613D">
              <w:t>22</w:t>
            </w:r>
            <w:r>
              <w:t>,</w:t>
            </w:r>
            <w:r w:rsidRPr="003A613D">
              <w:t>106</w:t>
            </w:r>
          </w:p>
        </w:tc>
        <w:tc>
          <w:tcPr>
            <w:tcW w:w="1241" w:type="dxa"/>
            <w:shd w:val="clear" w:color="auto" w:fill="auto"/>
          </w:tcPr>
          <w:p w14:paraId="28D6C6C5" w14:textId="77777777" w:rsidR="00086DF1" w:rsidRPr="0093755D" w:rsidRDefault="00086DF1" w:rsidP="00DC062C">
            <w:pPr>
              <w:pStyle w:val="08-Tabelageral"/>
              <w:rPr>
                <w:rFonts w:cs="Arial"/>
                <w:szCs w:val="14"/>
              </w:rPr>
            </w:pPr>
            <w:r w:rsidRPr="003A613D">
              <w:t>(27</w:t>
            </w:r>
            <w:r>
              <w:t>,</w:t>
            </w:r>
            <w:r w:rsidRPr="003A613D">
              <w:t>808)</w:t>
            </w:r>
          </w:p>
        </w:tc>
      </w:tr>
      <w:tr w:rsidR="00086DF1" w:rsidRPr="0093755D" w14:paraId="649DE697" w14:textId="77777777" w:rsidTr="00DC062C">
        <w:trPr>
          <w:trHeight w:val="238"/>
        </w:trPr>
        <w:tc>
          <w:tcPr>
            <w:tcW w:w="4678" w:type="dxa"/>
            <w:shd w:val="clear" w:color="auto" w:fill="auto"/>
          </w:tcPr>
          <w:p w14:paraId="1ADE0953" w14:textId="77777777" w:rsidR="00086DF1" w:rsidRPr="0093755D" w:rsidRDefault="00086DF1" w:rsidP="00DC062C">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tcPr>
          <w:p w14:paraId="53186614" w14:textId="77777777" w:rsidR="00086DF1" w:rsidRPr="0093755D" w:rsidRDefault="00086DF1" w:rsidP="00DC062C">
            <w:pPr>
              <w:pStyle w:val="08-Tabelageral"/>
              <w:rPr>
                <w:rFonts w:cs="Arial"/>
                <w:b/>
                <w:szCs w:val="14"/>
              </w:rPr>
            </w:pPr>
            <w:r w:rsidRPr="00563B36">
              <w:rPr>
                <w:b/>
              </w:rPr>
              <w:t>1</w:t>
            </w:r>
            <w:r>
              <w:rPr>
                <w:b/>
              </w:rPr>
              <w:t>,</w:t>
            </w:r>
            <w:r w:rsidRPr="00563B36">
              <w:rPr>
                <w:b/>
              </w:rPr>
              <w:t>783</w:t>
            </w:r>
            <w:r>
              <w:rPr>
                <w:b/>
              </w:rPr>
              <w:t>,</w:t>
            </w:r>
            <w:r w:rsidRPr="00563B36">
              <w:rPr>
                <w:b/>
              </w:rPr>
              <w:t>393</w:t>
            </w:r>
          </w:p>
        </w:tc>
        <w:tc>
          <w:tcPr>
            <w:tcW w:w="1240" w:type="dxa"/>
            <w:shd w:val="clear" w:color="auto" w:fill="auto"/>
          </w:tcPr>
          <w:p w14:paraId="6A10FE8E" w14:textId="77777777" w:rsidR="00086DF1" w:rsidRPr="0093755D" w:rsidRDefault="00086DF1" w:rsidP="00DC062C">
            <w:pPr>
              <w:pStyle w:val="08-Tabelageral"/>
              <w:rPr>
                <w:rFonts w:cs="Arial"/>
                <w:b/>
                <w:szCs w:val="14"/>
              </w:rPr>
            </w:pPr>
            <w:r w:rsidRPr="00563B36">
              <w:rPr>
                <w:b/>
              </w:rPr>
              <w:t>874</w:t>
            </w:r>
            <w:r>
              <w:rPr>
                <w:b/>
              </w:rPr>
              <w:t>,</w:t>
            </w:r>
            <w:r w:rsidRPr="00563B36">
              <w:rPr>
                <w:b/>
              </w:rPr>
              <w:t>442</w:t>
            </w:r>
          </w:p>
        </w:tc>
        <w:tc>
          <w:tcPr>
            <w:tcW w:w="1240" w:type="dxa"/>
            <w:shd w:val="clear" w:color="auto" w:fill="auto"/>
          </w:tcPr>
          <w:p w14:paraId="29028001" w14:textId="77777777" w:rsidR="00086DF1" w:rsidRPr="0093755D" w:rsidRDefault="00086DF1" w:rsidP="00DC062C">
            <w:pPr>
              <w:pStyle w:val="08-Tabelageral"/>
              <w:rPr>
                <w:rFonts w:cs="Arial"/>
                <w:b/>
                <w:szCs w:val="14"/>
              </w:rPr>
            </w:pPr>
            <w:r w:rsidRPr="00563B36">
              <w:rPr>
                <w:b/>
              </w:rPr>
              <w:t>(1</w:t>
            </w:r>
            <w:r>
              <w:rPr>
                <w:b/>
              </w:rPr>
              <w:t>,</w:t>
            </w:r>
            <w:r w:rsidRPr="00563B36">
              <w:rPr>
                <w:b/>
              </w:rPr>
              <w:t>179</w:t>
            </w:r>
            <w:r>
              <w:rPr>
                <w:b/>
              </w:rPr>
              <w:t>,</w:t>
            </w:r>
            <w:r w:rsidRPr="00563B36">
              <w:rPr>
                <w:b/>
              </w:rPr>
              <w:t>085)</w:t>
            </w:r>
          </w:p>
        </w:tc>
        <w:tc>
          <w:tcPr>
            <w:tcW w:w="1241" w:type="dxa"/>
            <w:shd w:val="clear" w:color="auto" w:fill="auto"/>
          </w:tcPr>
          <w:p w14:paraId="5FF567D9" w14:textId="77777777" w:rsidR="00086DF1" w:rsidRPr="0093755D" w:rsidRDefault="00086DF1" w:rsidP="00DC062C">
            <w:pPr>
              <w:pStyle w:val="08-Tabelageral"/>
              <w:rPr>
                <w:rFonts w:cs="Arial"/>
                <w:b/>
                <w:szCs w:val="14"/>
              </w:rPr>
            </w:pPr>
            <w:r w:rsidRPr="00563B36">
              <w:rPr>
                <w:b/>
              </w:rPr>
              <w:t>1</w:t>
            </w:r>
            <w:r>
              <w:rPr>
                <w:b/>
              </w:rPr>
              <w:t>,</w:t>
            </w:r>
            <w:r w:rsidRPr="00563B36">
              <w:rPr>
                <w:b/>
              </w:rPr>
              <w:t>478</w:t>
            </w:r>
            <w:r>
              <w:rPr>
                <w:b/>
              </w:rPr>
              <w:t>,</w:t>
            </w:r>
            <w:r w:rsidRPr="00563B36">
              <w:rPr>
                <w:b/>
              </w:rPr>
              <w:t>751</w:t>
            </w:r>
          </w:p>
        </w:tc>
      </w:tr>
      <w:tr w:rsidR="00086DF1" w:rsidRPr="000F19A6" w14:paraId="7B4A0997" w14:textId="77777777" w:rsidTr="00DC062C">
        <w:trPr>
          <w:trHeight w:val="238"/>
        </w:trPr>
        <w:tc>
          <w:tcPr>
            <w:tcW w:w="4678" w:type="dxa"/>
            <w:tcBorders>
              <w:bottom w:val="nil"/>
            </w:tcBorders>
            <w:shd w:val="clear" w:color="auto" w:fill="auto"/>
          </w:tcPr>
          <w:p w14:paraId="18A42B3D" w14:textId="77777777" w:rsidR="00086DF1" w:rsidRPr="000F19A6" w:rsidRDefault="00086DF1" w:rsidP="00DC062C">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tcPr>
          <w:p w14:paraId="6D1B8AB7" w14:textId="77777777" w:rsidR="00086DF1" w:rsidRPr="000F19A6" w:rsidRDefault="00086DF1" w:rsidP="00DC062C">
            <w:pPr>
              <w:pStyle w:val="08-Tabelageral"/>
              <w:rPr>
                <w:rFonts w:cs="Arial"/>
                <w:szCs w:val="14"/>
              </w:rPr>
            </w:pPr>
            <w:r w:rsidRPr="003A613D">
              <w:t>(182)</w:t>
            </w:r>
          </w:p>
        </w:tc>
        <w:tc>
          <w:tcPr>
            <w:tcW w:w="1240" w:type="dxa"/>
            <w:tcBorders>
              <w:bottom w:val="nil"/>
            </w:tcBorders>
            <w:shd w:val="clear" w:color="auto" w:fill="auto"/>
          </w:tcPr>
          <w:p w14:paraId="54A57A3A" w14:textId="77777777" w:rsidR="00086DF1" w:rsidRPr="000F19A6" w:rsidRDefault="00086DF1" w:rsidP="00DC062C">
            <w:pPr>
              <w:pStyle w:val="08-Tabelageral"/>
              <w:rPr>
                <w:rFonts w:cs="Arial"/>
                <w:szCs w:val="14"/>
              </w:rPr>
            </w:pPr>
            <w:r w:rsidRPr="003A613D">
              <w:t>(299</w:t>
            </w:r>
            <w:r>
              <w:t>,</w:t>
            </w:r>
            <w:r w:rsidRPr="003A613D">
              <w:t>138)</w:t>
            </w:r>
          </w:p>
        </w:tc>
        <w:tc>
          <w:tcPr>
            <w:tcW w:w="1240" w:type="dxa"/>
            <w:tcBorders>
              <w:bottom w:val="nil"/>
            </w:tcBorders>
            <w:shd w:val="clear" w:color="auto" w:fill="auto"/>
          </w:tcPr>
          <w:p w14:paraId="6B4EE4B3" w14:textId="77777777" w:rsidR="00086DF1" w:rsidRPr="000F19A6" w:rsidRDefault="00086DF1" w:rsidP="00DC062C">
            <w:pPr>
              <w:pStyle w:val="08-Tabelageral"/>
              <w:rPr>
                <w:rFonts w:cs="Arial"/>
                <w:szCs w:val="14"/>
              </w:rPr>
            </w:pPr>
            <w:r w:rsidRPr="003A613D">
              <w:t>--</w:t>
            </w:r>
          </w:p>
        </w:tc>
        <w:tc>
          <w:tcPr>
            <w:tcW w:w="1241" w:type="dxa"/>
            <w:tcBorders>
              <w:bottom w:val="nil"/>
            </w:tcBorders>
            <w:shd w:val="clear" w:color="auto" w:fill="auto"/>
          </w:tcPr>
          <w:p w14:paraId="4CA89ADE" w14:textId="77777777" w:rsidR="00086DF1" w:rsidRPr="000F19A6" w:rsidRDefault="00086DF1" w:rsidP="00DC062C">
            <w:pPr>
              <w:pStyle w:val="08-Tabelageral"/>
              <w:rPr>
                <w:rFonts w:cs="Arial"/>
                <w:szCs w:val="14"/>
              </w:rPr>
            </w:pPr>
            <w:r w:rsidRPr="003A613D">
              <w:t>(299</w:t>
            </w:r>
            <w:r>
              <w:t>,</w:t>
            </w:r>
            <w:r w:rsidRPr="003A613D">
              <w:t>320)</w:t>
            </w:r>
          </w:p>
        </w:tc>
      </w:tr>
      <w:tr w:rsidR="00086DF1" w:rsidRPr="0093755D" w14:paraId="3EBEA8C3" w14:textId="77777777" w:rsidTr="00DC062C">
        <w:trPr>
          <w:trHeight w:val="238"/>
        </w:trPr>
        <w:tc>
          <w:tcPr>
            <w:tcW w:w="4678" w:type="dxa"/>
            <w:tcBorders>
              <w:top w:val="nil"/>
              <w:bottom w:val="single" w:sz="2" w:space="0" w:color="1F3864" w:themeColor="accent5" w:themeShade="80"/>
            </w:tcBorders>
            <w:shd w:val="clear" w:color="auto" w:fill="auto"/>
          </w:tcPr>
          <w:p w14:paraId="625EE8FA" w14:textId="77777777" w:rsidR="00086DF1" w:rsidRPr="0093755D" w:rsidRDefault="00086DF1" w:rsidP="00DC062C">
            <w:pPr>
              <w:pStyle w:val="08-Tabelageral"/>
              <w:jc w:val="left"/>
              <w:rPr>
                <w:rFonts w:cs="Arial"/>
                <w:b/>
                <w:bCs/>
                <w:szCs w:val="14"/>
                <w:lang w:val="en-US"/>
              </w:rPr>
            </w:pPr>
            <w:r w:rsidRPr="0093755D">
              <w:rPr>
                <w:rFonts w:cs="Arial"/>
                <w:b/>
                <w:szCs w:val="14"/>
                <w:lang w:val="en-US"/>
              </w:rPr>
              <w:t>Net Income</w:t>
            </w:r>
          </w:p>
        </w:tc>
        <w:tc>
          <w:tcPr>
            <w:tcW w:w="1240" w:type="dxa"/>
            <w:tcBorders>
              <w:top w:val="nil"/>
              <w:bottom w:val="single" w:sz="2" w:space="0" w:color="1F3864" w:themeColor="accent5" w:themeShade="80"/>
            </w:tcBorders>
            <w:shd w:val="clear" w:color="auto" w:fill="auto"/>
          </w:tcPr>
          <w:p w14:paraId="6E1CBA3A" w14:textId="77777777" w:rsidR="00086DF1" w:rsidRPr="0093755D" w:rsidRDefault="00086DF1" w:rsidP="00DC062C">
            <w:pPr>
              <w:pStyle w:val="08-Tabelageral"/>
              <w:rPr>
                <w:rFonts w:cs="Arial"/>
                <w:b/>
                <w:szCs w:val="14"/>
              </w:rPr>
            </w:pPr>
            <w:r w:rsidRPr="00563B36">
              <w:rPr>
                <w:b/>
              </w:rPr>
              <w:t>1</w:t>
            </w:r>
            <w:r>
              <w:rPr>
                <w:b/>
              </w:rPr>
              <w:t>,</w:t>
            </w:r>
            <w:r w:rsidRPr="00563B36">
              <w:rPr>
                <w:b/>
              </w:rPr>
              <w:t>783</w:t>
            </w:r>
            <w:r>
              <w:rPr>
                <w:b/>
              </w:rPr>
              <w:t>,</w:t>
            </w:r>
            <w:r w:rsidRPr="00563B36">
              <w:rPr>
                <w:b/>
              </w:rPr>
              <w:t>211</w:t>
            </w:r>
          </w:p>
        </w:tc>
        <w:tc>
          <w:tcPr>
            <w:tcW w:w="1240" w:type="dxa"/>
            <w:tcBorders>
              <w:top w:val="nil"/>
              <w:bottom w:val="single" w:sz="2" w:space="0" w:color="1F3864" w:themeColor="accent5" w:themeShade="80"/>
            </w:tcBorders>
            <w:shd w:val="clear" w:color="auto" w:fill="auto"/>
          </w:tcPr>
          <w:p w14:paraId="5F212320" w14:textId="77777777" w:rsidR="00086DF1" w:rsidRPr="0093755D" w:rsidRDefault="00086DF1" w:rsidP="00DC062C">
            <w:pPr>
              <w:pStyle w:val="08-Tabelageral"/>
              <w:rPr>
                <w:rFonts w:cs="Arial"/>
                <w:b/>
                <w:szCs w:val="14"/>
              </w:rPr>
            </w:pPr>
            <w:r w:rsidRPr="00563B36">
              <w:rPr>
                <w:b/>
              </w:rPr>
              <w:t>575</w:t>
            </w:r>
            <w:r>
              <w:rPr>
                <w:b/>
              </w:rPr>
              <w:t>,</w:t>
            </w:r>
            <w:r w:rsidRPr="00563B36">
              <w:rPr>
                <w:b/>
              </w:rPr>
              <w:t>304</w:t>
            </w:r>
          </w:p>
        </w:tc>
        <w:tc>
          <w:tcPr>
            <w:tcW w:w="1240" w:type="dxa"/>
            <w:tcBorders>
              <w:top w:val="nil"/>
              <w:bottom w:val="single" w:sz="2" w:space="0" w:color="1F3864" w:themeColor="accent5" w:themeShade="80"/>
            </w:tcBorders>
            <w:shd w:val="clear" w:color="auto" w:fill="auto"/>
          </w:tcPr>
          <w:p w14:paraId="154D7DBC" w14:textId="77777777" w:rsidR="00086DF1" w:rsidRPr="0093755D" w:rsidRDefault="00086DF1" w:rsidP="00DC062C">
            <w:pPr>
              <w:pStyle w:val="08-Tabelageral"/>
              <w:rPr>
                <w:rFonts w:cs="Arial"/>
                <w:b/>
                <w:szCs w:val="14"/>
              </w:rPr>
            </w:pPr>
            <w:r w:rsidRPr="00563B36">
              <w:rPr>
                <w:b/>
              </w:rPr>
              <w:t>(1</w:t>
            </w:r>
            <w:r>
              <w:rPr>
                <w:b/>
              </w:rPr>
              <w:t>,</w:t>
            </w:r>
            <w:r w:rsidRPr="00563B36">
              <w:rPr>
                <w:b/>
              </w:rPr>
              <w:t>179</w:t>
            </w:r>
            <w:r>
              <w:rPr>
                <w:b/>
              </w:rPr>
              <w:t>,</w:t>
            </w:r>
            <w:r w:rsidRPr="00563B36">
              <w:rPr>
                <w:b/>
              </w:rPr>
              <w:t>085)</w:t>
            </w:r>
          </w:p>
        </w:tc>
        <w:tc>
          <w:tcPr>
            <w:tcW w:w="1241" w:type="dxa"/>
            <w:tcBorders>
              <w:top w:val="nil"/>
              <w:bottom w:val="single" w:sz="2" w:space="0" w:color="1F3864" w:themeColor="accent5" w:themeShade="80"/>
            </w:tcBorders>
            <w:shd w:val="clear" w:color="auto" w:fill="auto"/>
          </w:tcPr>
          <w:p w14:paraId="58DD597B" w14:textId="77777777" w:rsidR="00086DF1" w:rsidRPr="0093755D" w:rsidRDefault="00086DF1" w:rsidP="00DC062C">
            <w:pPr>
              <w:pStyle w:val="08-Tabelageral"/>
              <w:rPr>
                <w:rFonts w:cs="Arial"/>
                <w:b/>
                <w:szCs w:val="14"/>
              </w:rPr>
            </w:pPr>
            <w:r w:rsidRPr="00563B36">
              <w:rPr>
                <w:b/>
              </w:rPr>
              <w:t>1</w:t>
            </w:r>
            <w:r>
              <w:rPr>
                <w:b/>
              </w:rPr>
              <w:t>,</w:t>
            </w:r>
            <w:r w:rsidRPr="00563B36">
              <w:rPr>
                <w:b/>
              </w:rPr>
              <w:t>179</w:t>
            </w:r>
            <w:r>
              <w:rPr>
                <w:b/>
              </w:rPr>
              <w:t>,</w:t>
            </w:r>
            <w:r w:rsidRPr="00563B36">
              <w:rPr>
                <w:b/>
              </w:rPr>
              <w:t>431</w:t>
            </w:r>
          </w:p>
        </w:tc>
      </w:tr>
    </w:tbl>
    <w:p w14:paraId="335D1BF4" w14:textId="77777777" w:rsidR="00086DF1" w:rsidRDefault="00086DF1" w:rsidP="00DC062C">
      <w:pPr>
        <w:spacing w:after="0" w:line="240" w:lineRule="auto"/>
        <w:rPr>
          <w:rFonts w:cs="Arial"/>
          <w:b/>
          <w:color w:val="1F4E79" w:themeColor="accent1" w:themeShade="80"/>
          <w:szCs w:val="18"/>
          <w:lang w:val="en-US"/>
        </w:rPr>
      </w:pPr>
    </w:p>
    <w:p w14:paraId="160634B0" w14:textId="77777777" w:rsidR="00086DF1" w:rsidRDefault="00086DF1" w:rsidP="00DC062C">
      <w:pPr>
        <w:spacing w:after="0" w:line="240" w:lineRule="auto"/>
        <w:rPr>
          <w:rFonts w:cs="Arial"/>
          <w:b/>
          <w:color w:val="1F4E79" w:themeColor="accent1" w:themeShade="80"/>
          <w:szCs w:val="18"/>
          <w:lang w:val="en-US"/>
        </w:rPr>
      </w:pPr>
      <w:r w:rsidRPr="00C7533E">
        <w:rPr>
          <w:rFonts w:cs="Arial"/>
          <w:b/>
          <w:color w:val="1F4E79" w:themeColor="accent1" w:themeShade="80"/>
          <w:szCs w:val="18"/>
          <w:lang w:val="en-US"/>
        </w:rPr>
        <w:t>d) Balance sheet by segment</w:t>
      </w:r>
    </w:p>
    <w:p w14:paraId="071FFDA3" w14:textId="77777777" w:rsidR="00086DF1" w:rsidRPr="00C7533E" w:rsidRDefault="00086DF1" w:rsidP="00DC062C">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39" w:type="dxa"/>
        <w:tblLayout w:type="fixed"/>
        <w:tblLook w:val="04A0" w:firstRow="1" w:lastRow="0" w:firstColumn="1" w:lastColumn="0" w:noHBand="0" w:noVBand="1"/>
      </w:tblPr>
      <w:tblGrid>
        <w:gridCol w:w="3119"/>
        <w:gridCol w:w="1630"/>
        <w:gridCol w:w="1630"/>
        <w:gridCol w:w="1630"/>
        <w:gridCol w:w="1630"/>
      </w:tblGrid>
      <w:tr w:rsidR="00086DF1" w:rsidRPr="005C67D6" w14:paraId="6933E17F" w14:textId="77777777" w:rsidTr="00DC062C">
        <w:trPr>
          <w:trHeight w:val="238"/>
        </w:trPr>
        <w:tc>
          <w:tcPr>
            <w:tcW w:w="3119" w:type="dxa"/>
            <w:tcBorders>
              <w:top w:val="single" w:sz="2" w:space="0" w:color="1F4E79" w:themeColor="accent1" w:themeShade="80"/>
            </w:tcBorders>
            <w:shd w:val="clear" w:color="auto" w:fill="auto"/>
            <w:vAlign w:val="center"/>
          </w:tcPr>
          <w:p w14:paraId="71520471" w14:textId="77777777" w:rsidR="00086DF1" w:rsidRPr="00C7533E" w:rsidRDefault="00086DF1" w:rsidP="00DC062C">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72816606" w14:textId="77777777" w:rsidR="00086DF1" w:rsidRPr="005C67D6" w:rsidRDefault="00086DF1" w:rsidP="00DC062C">
            <w:pPr>
              <w:spacing w:after="0"/>
              <w:jc w:val="center"/>
              <w:rPr>
                <w:rFonts w:cs="Arial"/>
                <w:b/>
                <w:szCs w:val="18"/>
              </w:rPr>
            </w:pPr>
            <w:r>
              <w:rPr>
                <w:rFonts w:cs="Arial"/>
                <w:b/>
                <w:sz w:val="14"/>
                <w:szCs w:val="18"/>
              </w:rPr>
              <w:t>Mar 31, 2023</w:t>
            </w:r>
          </w:p>
        </w:tc>
      </w:tr>
      <w:tr w:rsidR="00086DF1" w:rsidRPr="005C67D6" w14:paraId="459F0BB1" w14:textId="77777777" w:rsidTr="00DC062C">
        <w:trPr>
          <w:trHeight w:val="238"/>
        </w:trPr>
        <w:tc>
          <w:tcPr>
            <w:tcW w:w="3119" w:type="dxa"/>
            <w:tcBorders>
              <w:bottom w:val="single" w:sz="2" w:space="0" w:color="1F4E79" w:themeColor="accent1" w:themeShade="80"/>
            </w:tcBorders>
            <w:shd w:val="clear" w:color="auto" w:fill="auto"/>
            <w:vAlign w:val="center"/>
          </w:tcPr>
          <w:p w14:paraId="065EC5F1" w14:textId="77777777" w:rsidR="00086DF1" w:rsidRPr="005C67D6" w:rsidRDefault="00086DF1" w:rsidP="00DC062C">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7CDC6B3D" w14:textId="77777777" w:rsidR="00086DF1" w:rsidRPr="005C67D6" w:rsidRDefault="00086DF1" w:rsidP="00DC062C">
            <w:pPr>
              <w:pStyle w:val="08-Tabelageral"/>
              <w:jc w:val="center"/>
              <w:rPr>
                <w:rFonts w:cs="Arial"/>
                <w:b/>
              </w:rPr>
            </w:pPr>
            <w:r w:rsidRPr="005C67D6">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2F0B084F" w14:textId="77777777" w:rsidR="00086DF1" w:rsidRPr="005C67D6" w:rsidRDefault="00086DF1" w:rsidP="00DC062C">
            <w:pPr>
              <w:pStyle w:val="08-Tabelageral"/>
              <w:jc w:val="center"/>
              <w:rPr>
                <w:rFonts w:cs="Arial"/>
                <w:b/>
                <w:szCs w:val="12"/>
              </w:rPr>
            </w:pPr>
            <w:r w:rsidRPr="005C67D6">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54A8FFF" w14:textId="77777777" w:rsidR="00086DF1" w:rsidRPr="005C67D6" w:rsidRDefault="00086DF1" w:rsidP="00DC062C">
            <w:pPr>
              <w:pStyle w:val="08-Tabelageral"/>
              <w:jc w:val="center"/>
              <w:rPr>
                <w:rFonts w:cs="Arial"/>
                <w:b/>
              </w:rPr>
            </w:pPr>
            <w:r w:rsidRPr="005C67D6">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2883068D" w14:textId="77777777" w:rsidR="00086DF1" w:rsidRPr="005C67D6" w:rsidRDefault="00086DF1" w:rsidP="00DC062C">
            <w:pPr>
              <w:pStyle w:val="08-Tabelageral"/>
              <w:jc w:val="center"/>
              <w:rPr>
                <w:rFonts w:cs="Arial"/>
                <w:b/>
              </w:rPr>
            </w:pPr>
            <w:r w:rsidRPr="005C67D6">
              <w:rPr>
                <w:rFonts w:cs="Arial"/>
                <w:b/>
              </w:rPr>
              <w:t>Total</w:t>
            </w:r>
          </w:p>
        </w:tc>
      </w:tr>
      <w:tr w:rsidR="00086DF1" w:rsidRPr="005C67D6" w14:paraId="067D4C7B" w14:textId="77777777" w:rsidTr="00DC062C">
        <w:trPr>
          <w:trHeight w:val="238"/>
        </w:trPr>
        <w:tc>
          <w:tcPr>
            <w:tcW w:w="3119" w:type="dxa"/>
            <w:tcBorders>
              <w:top w:val="single" w:sz="2" w:space="0" w:color="1F4E79" w:themeColor="accent1" w:themeShade="80"/>
            </w:tcBorders>
            <w:shd w:val="clear" w:color="auto" w:fill="auto"/>
          </w:tcPr>
          <w:p w14:paraId="01904F2F" w14:textId="77777777" w:rsidR="00086DF1" w:rsidRPr="005C67D6" w:rsidRDefault="00086DF1" w:rsidP="00DC062C">
            <w:pPr>
              <w:pStyle w:val="08-Tabelageral"/>
              <w:ind w:left="113"/>
              <w:jc w:val="left"/>
              <w:rPr>
                <w:rFonts w:cs="Arial"/>
                <w:bCs/>
              </w:rPr>
            </w:pPr>
            <w:r w:rsidRPr="005C67D6">
              <w:t>Current assets</w:t>
            </w:r>
          </w:p>
        </w:tc>
        <w:tc>
          <w:tcPr>
            <w:tcW w:w="1630" w:type="dxa"/>
            <w:tcBorders>
              <w:top w:val="single" w:sz="2" w:space="0" w:color="1F4E79" w:themeColor="accent1" w:themeShade="80"/>
            </w:tcBorders>
            <w:shd w:val="clear" w:color="auto" w:fill="auto"/>
            <w:vAlign w:val="bottom"/>
          </w:tcPr>
          <w:p w14:paraId="183A754D" w14:textId="77777777" w:rsidR="00086DF1" w:rsidRPr="005C67D6" w:rsidRDefault="00086DF1" w:rsidP="00DC062C">
            <w:pPr>
              <w:pStyle w:val="08-Tabelageral"/>
              <w:rPr>
                <w:color w:val="000000"/>
              </w:rPr>
            </w:pPr>
            <w:r>
              <w:rPr>
                <w:rFonts w:cs="Arial"/>
                <w:color w:val="000000"/>
                <w:szCs w:val="14"/>
              </w:rPr>
              <w:t>1,150,223</w:t>
            </w:r>
          </w:p>
        </w:tc>
        <w:tc>
          <w:tcPr>
            <w:tcW w:w="1630" w:type="dxa"/>
            <w:tcBorders>
              <w:top w:val="single" w:sz="2" w:space="0" w:color="1F4E79" w:themeColor="accent1" w:themeShade="80"/>
            </w:tcBorders>
            <w:shd w:val="clear" w:color="auto" w:fill="auto"/>
            <w:vAlign w:val="bottom"/>
          </w:tcPr>
          <w:p w14:paraId="15B2B96F" w14:textId="77777777" w:rsidR="00086DF1" w:rsidRPr="005C67D6" w:rsidRDefault="00086DF1" w:rsidP="00DC062C">
            <w:pPr>
              <w:pStyle w:val="08-Tabelageral"/>
            </w:pPr>
            <w:r>
              <w:rPr>
                <w:rFonts w:cs="Arial"/>
                <w:color w:val="000000"/>
                <w:szCs w:val="14"/>
              </w:rPr>
              <w:t>2,772,306</w:t>
            </w:r>
          </w:p>
        </w:tc>
        <w:tc>
          <w:tcPr>
            <w:tcW w:w="1630" w:type="dxa"/>
            <w:tcBorders>
              <w:top w:val="single" w:sz="2" w:space="0" w:color="1F4E79" w:themeColor="accent1" w:themeShade="80"/>
            </w:tcBorders>
            <w:shd w:val="clear" w:color="auto" w:fill="auto"/>
            <w:vAlign w:val="bottom"/>
          </w:tcPr>
          <w:p w14:paraId="0480879F" w14:textId="77777777" w:rsidR="00086DF1" w:rsidRPr="005C67D6" w:rsidRDefault="00086DF1" w:rsidP="00DC062C">
            <w:pPr>
              <w:pStyle w:val="08-Tabelageral"/>
            </w:pPr>
            <w:r>
              <w:rPr>
                <w:rFonts w:cs="Arial"/>
                <w:color w:val="000000"/>
                <w:szCs w:val="14"/>
              </w:rPr>
              <w:t>(7,497)</w:t>
            </w:r>
          </w:p>
        </w:tc>
        <w:tc>
          <w:tcPr>
            <w:tcW w:w="1630" w:type="dxa"/>
            <w:tcBorders>
              <w:top w:val="single" w:sz="2" w:space="0" w:color="1F4E79" w:themeColor="accent1" w:themeShade="80"/>
            </w:tcBorders>
            <w:shd w:val="clear" w:color="auto" w:fill="auto"/>
            <w:vAlign w:val="bottom"/>
          </w:tcPr>
          <w:p w14:paraId="51DF81A4" w14:textId="77777777" w:rsidR="00086DF1" w:rsidRPr="005C67D6" w:rsidRDefault="00086DF1" w:rsidP="00DC062C">
            <w:pPr>
              <w:pStyle w:val="08-Tabelageral"/>
            </w:pPr>
            <w:r>
              <w:rPr>
                <w:rFonts w:cs="Arial"/>
                <w:color w:val="000000"/>
                <w:szCs w:val="14"/>
              </w:rPr>
              <w:t>3,915,032</w:t>
            </w:r>
          </w:p>
        </w:tc>
      </w:tr>
      <w:tr w:rsidR="00086DF1" w:rsidRPr="005C67D6" w14:paraId="650B0265" w14:textId="77777777" w:rsidTr="00DC062C">
        <w:trPr>
          <w:trHeight w:val="238"/>
        </w:trPr>
        <w:tc>
          <w:tcPr>
            <w:tcW w:w="3119" w:type="dxa"/>
            <w:shd w:val="clear" w:color="auto" w:fill="auto"/>
          </w:tcPr>
          <w:p w14:paraId="0FEBC907" w14:textId="77777777" w:rsidR="00086DF1" w:rsidRPr="005C67D6" w:rsidRDefault="00086DF1" w:rsidP="00DC062C">
            <w:pPr>
              <w:pStyle w:val="08-Tabelageral"/>
              <w:ind w:left="113"/>
              <w:jc w:val="left"/>
              <w:rPr>
                <w:rFonts w:cs="Arial"/>
                <w:bCs/>
              </w:rPr>
            </w:pPr>
            <w:r w:rsidRPr="005C67D6">
              <w:t>Non-current assets</w:t>
            </w:r>
          </w:p>
        </w:tc>
        <w:tc>
          <w:tcPr>
            <w:tcW w:w="1630" w:type="dxa"/>
            <w:shd w:val="clear" w:color="auto" w:fill="auto"/>
            <w:vAlign w:val="bottom"/>
          </w:tcPr>
          <w:p w14:paraId="638BC9D0" w14:textId="77777777" w:rsidR="00086DF1" w:rsidRPr="005C67D6" w:rsidRDefault="00086DF1" w:rsidP="00DC062C">
            <w:pPr>
              <w:pStyle w:val="08-Tabelageral"/>
              <w:rPr>
                <w:color w:val="000000"/>
              </w:rPr>
            </w:pPr>
            <w:r>
              <w:rPr>
                <w:rFonts w:cs="Arial"/>
                <w:color w:val="000000"/>
                <w:szCs w:val="14"/>
              </w:rPr>
              <w:t>18,322,615</w:t>
            </w:r>
          </w:p>
        </w:tc>
        <w:tc>
          <w:tcPr>
            <w:tcW w:w="1630" w:type="dxa"/>
            <w:shd w:val="clear" w:color="auto" w:fill="auto"/>
            <w:vAlign w:val="bottom"/>
          </w:tcPr>
          <w:p w14:paraId="04CA1A37" w14:textId="77777777" w:rsidR="00086DF1" w:rsidRPr="005C67D6" w:rsidRDefault="00086DF1" w:rsidP="00DC062C">
            <w:pPr>
              <w:pStyle w:val="08-Tabelageral"/>
            </w:pPr>
            <w:r>
              <w:rPr>
                <w:rFonts w:cs="Arial"/>
                <w:color w:val="000000"/>
                <w:szCs w:val="14"/>
              </w:rPr>
              <w:t>2,030,431</w:t>
            </w:r>
          </w:p>
        </w:tc>
        <w:tc>
          <w:tcPr>
            <w:tcW w:w="1630" w:type="dxa"/>
            <w:shd w:val="clear" w:color="auto" w:fill="auto"/>
            <w:vAlign w:val="bottom"/>
          </w:tcPr>
          <w:p w14:paraId="585C67CD" w14:textId="77777777" w:rsidR="00086DF1" w:rsidRPr="005C67D6" w:rsidRDefault="00086DF1" w:rsidP="00DC062C">
            <w:pPr>
              <w:pStyle w:val="08-Tabelageral"/>
            </w:pPr>
            <w:r>
              <w:rPr>
                <w:rFonts w:cs="Arial"/>
                <w:color w:val="000000"/>
                <w:szCs w:val="14"/>
              </w:rPr>
              <w:t>(9,870,287)</w:t>
            </w:r>
          </w:p>
        </w:tc>
        <w:tc>
          <w:tcPr>
            <w:tcW w:w="1630" w:type="dxa"/>
            <w:shd w:val="clear" w:color="auto" w:fill="auto"/>
            <w:vAlign w:val="bottom"/>
          </w:tcPr>
          <w:p w14:paraId="6C0709AC" w14:textId="77777777" w:rsidR="00086DF1" w:rsidRPr="005C67D6" w:rsidRDefault="00086DF1" w:rsidP="00DC062C">
            <w:pPr>
              <w:pStyle w:val="08-Tabelageral"/>
            </w:pPr>
            <w:r>
              <w:rPr>
                <w:rFonts w:cs="Arial"/>
                <w:color w:val="000000"/>
                <w:szCs w:val="14"/>
              </w:rPr>
              <w:t>10,482,760</w:t>
            </w:r>
          </w:p>
        </w:tc>
      </w:tr>
      <w:tr w:rsidR="00086DF1" w:rsidRPr="00B0013B" w14:paraId="06C7FC99" w14:textId="77777777" w:rsidTr="00DC062C">
        <w:trPr>
          <w:trHeight w:val="238"/>
        </w:trPr>
        <w:tc>
          <w:tcPr>
            <w:tcW w:w="3119" w:type="dxa"/>
            <w:shd w:val="clear" w:color="auto" w:fill="auto"/>
          </w:tcPr>
          <w:p w14:paraId="7267C0B8" w14:textId="77777777" w:rsidR="00086DF1" w:rsidRPr="00B0013B" w:rsidRDefault="00086DF1" w:rsidP="00DC062C">
            <w:pPr>
              <w:pStyle w:val="08-Tabelageral"/>
              <w:jc w:val="left"/>
              <w:rPr>
                <w:rFonts w:cs="Arial"/>
                <w:b/>
              </w:rPr>
            </w:pPr>
            <w:r w:rsidRPr="00B0013B">
              <w:rPr>
                <w:rFonts w:cs="Arial"/>
                <w:b/>
              </w:rPr>
              <w:t>Total assets</w:t>
            </w:r>
          </w:p>
        </w:tc>
        <w:tc>
          <w:tcPr>
            <w:tcW w:w="1630" w:type="dxa"/>
            <w:shd w:val="clear" w:color="auto" w:fill="auto"/>
            <w:vAlign w:val="bottom"/>
          </w:tcPr>
          <w:p w14:paraId="11593F7E" w14:textId="77777777" w:rsidR="00086DF1" w:rsidRPr="00B0013B" w:rsidRDefault="00086DF1" w:rsidP="00DC062C">
            <w:pPr>
              <w:pStyle w:val="08-Tabelageral"/>
              <w:rPr>
                <w:b/>
                <w:color w:val="000000"/>
              </w:rPr>
            </w:pPr>
            <w:r>
              <w:rPr>
                <w:rFonts w:cs="Arial"/>
                <w:b/>
                <w:bCs/>
                <w:color w:val="000000"/>
                <w:szCs w:val="14"/>
              </w:rPr>
              <w:t>19,472,838</w:t>
            </w:r>
          </w:p>
        </w:tc>
        <w:tc>
          <w:tcPr>
            <w:tcW w:w="1630" w:type="dxa"/>
            <w:shd w:val="clear" w:color="auto" w:fill="auto"/>
            <w:vAlign w:val="bottom"/>
          </w:tcPr>
          <w:p w14:paraId="27E586F0" w14:textId="77777777" w:rsidR="00086DF1" w:rsidRPr="00B0013B" w:rsidRDefault="00086DF1" w:rsidP="00DC062C">
            <w:pPr>
              <w:pStyle w:val="08-Tabelageral"/>
              <w:rPr>
                <w:b/>
              </w:rPr>
            </w:pPr>
            <w:r>
              <w:rPr>
                <w:rFonts w:cs="Arial"/>
                <w:b/>
                <w:bCs/>
                <w:color w:val="000000"/>
                <w:szCs w:val="14"/>
              </w:rPr>
              <w:t>4,802,737</w:t>
            </w:r>
          </w:p>
        </w:tc>
        <w:tc>
          <w:tcPr>
            <w:tcW w:w="1630" w:type="dxa"/>
            <w:shd w:val="clear" w:color="auto" w:fill="auto"/>
            <w:vAlign w:val="bottom"/>
          </w:tcPr>
          <w:p w14:paraId="2B766793" w14:textId="77777777" w:rsidR="00086DF1" w:rsidRPr="00B0013B" w:rsidRDefault="00086DF1" w:rsidP="00DC062C">
            <w:pPr>
              <w:pStyle w:val="08-Tabelageral"/>
              <w:rPr>
                <w:b/>
              </w:rPr>
            </w:pPr>
            <w:r>
              <w:rPr>
                <w:rFonts w:cs="Arial"/>
                <w:b/>
                <w:bCs/>
                <w:color w:val="000000"/>
                <w:szCs w:val="14"/>
              </w:rPr>
              <w:t>(9,877,783)</w:t>
            </w:r>
          </w:p>
        </w:tc>
        <w:tc>
          <w:tcPr>
            <w:tcW w:w="1630" w:type="dxa"/>
            <w:shd w:val="clear" w:color="auto" w:fill="auto"/>
            <w:vAlign w:val="bottom"/>
          </w:tcPr>
          <w:p w14:paraId="787049B1" w14:textId="77777777" w:rsidR="00086DF1" w:rsidRPr="00B0013B" w:rsidRDefault="00086DF1" w:rsidP="00DC062C">
            <w:pPr>
              <w:pStyle w:val="08-Tabelageral"/>
              <w:rPr>
                <w:b/>
              </w:rPr>
            </w:pPr>
            <w:r>
              <w:rPr>
                <w:rFonts w:cs="Arial"/>
                <w:b/>
                <w:bCs/>
                <w:color w:val="000000"/>
                <w:szCs w:val="14"/>
              </w:rPr>
              <w:t>14,397,792</w:t>
            </w:r>
          </w:p>
        </w:tc>
      </w:tr>
      <w:tr w:rsidR="00086DF1" w:rsidRPr="005C67D6" w14:paraId="7798991A" w14:textId="77777777" w:rsidTr="00DC062C">
        <w:trPr>
          <w:trHeight w:val="238"/>
        </w:trPr>
        <w:tc>
          <w:tcPr>
            <w:tcW w:w="3119" w:type="dxa"/>
            <w:shd w:val="clear" w:color="auto" w:fill="auto"/>
          </w:tcPr>
          <w:p w14:paraId="41321F45" w14:textId="77777777" w:rsidR="00086DF1" w:rsidRPr="005C67D6" w:rsidRDefault="00086DF1" w:rsidP="00DC062C">
            <w:pPr>
              <w:pStyle w:val="08-Tabelageral"/>
              <w:ind w:left="113"/>
              <w:jc w:val="left"/>
              <w:rPr>
                <w:rFonts w:cs="Arial"/>
                <w:bCs/>
              </w:rPr>
            </w:pPr>
            <w:r w:rsidRPr="005C67D6">
              <w:rPr>
                <w:rFonts w:cs="Arial"/>
              </w:rPr>
              <w:t>Current liabilities</w:t>
            </w:r>
          </w:p>
        </w:tc>
        <w:tc>
          <w:tcPr>
            <w:tcW w:w="1630" w:type="dxa"/>
            <w:shd w:val="clear" w:color="auto" w:fill="auto"/>
            <w:vAlign w:val="bottom"/>
          </w:tcPr>
          <w:p w14:paraId="3AE681EB" w14:textId="77777777" w:rsidR="00086DF1" w:rsidRPr="005C67D6" w:rsidRDefault="00086DF1" w:rsidP="00DC062C">
            <w:pPr>
              <w:pStyle w:val="08-Tabelageral"/>
              <w:rPr>
                <w:color w:val="000000"/>
              </w:rPr>
            </w:pPr>
            <w:r>
              <w:rPr>
                <w:rFonts w:cs="Arial"/>
                <w:color w:val="000000"/>
                <w:szCs w:val="14"/>
              </w:rPr>
              <w:t>40,161</w:t>
            </w:r>
          </w:p>
        </w:tc>
        <w:tc>
          <w:tcPr>
            <w:tcW w:w="1630" w:type="dxa"/>
            <w:shd w:val="clear" w:color="auto" w:fill="auto"/>
            <w:vAlign w:val="bottom"/>
          </w:tcPr>
          <w:p w14:paraId="3812E4C5" w14:textId="77777777" w:rsidR="00086DF1" w:rsidRPr="005C67D6" w:rsidRDefault="00086DF1" w:rsidP="00DC062C">
            <w:pPr>
              <w:pStyle w:val="08-Tabelageral"/>
            </w:pPr>
            <w:r>
              <w:rPr>
                <w:rFonts w:cs="Arial"/>
                <w:color w:val="000000"/>
                <w:szCs w:val="14"/>
              </w:rPr>
              <w:t>2,048,606</w:t>
            </w:r>
          </w:p>
        </w:tc>
        <w:tc>
          <w:tcPr>
            <w:tcW w:w="1630" w:type="dxa"/>
            <w:shd w:val="clear" w:color="auto" w:fill="auto"/>
            <w:vAlign w:val="bottom"/>
          </w:tcPr>
          <w:p w14:paraId="47DF2F95" w14:textId="77777777" w:rsidR="00086DF1" w:rsidRPr="005C67D6" w:rsidRDefault="00086DF1" w:rsidP="00DC062C">
            <w:pPr>
              <w:pStyle w:val="08-Tabelageral"/>
            </w:pPr>
            <w:r>
              <w:rPr>
                <w:rFonts w:cs="Arial"/>
                <w:color w:val="000000"/>
                <w:szCs w:val="14"/>
              </w:rPr>
              <w:t>(7,496)</w:t>
            </w:r>
          </w:p>
        </w:tc>
        <w:tc>
          <w:tcPr>
            <w:tcW w:w="1630" w:type="dxa"/>
            <w:shd w:val="clear" w:color="auto" w:fill="auto"/>
            <w:vAlign w:val="bottom"/>
          </w:tcPr>
          <w:p w14:paraId="5831550C" w14:textId="77777777" w:rsidR="00086DF1" w:rsidRPr="005C67D6" w:rsidRDefault="00086DF1" w:rsidP="00DC062C">
            <w:pPr>
              <w:pStyle w:val="08-Tabelageral"/>
            </w:pPr>
            <w:r>
              <w:rPr>
                <w:rFonts w:cs="Arial"/>
                <w:color w:val="000000"/>
                <w:szCs w:val="14"/>
              </w:rPr>
              <w:t>2,081,271</w:t>
            </w:r>
          </w:p>
        </w:tc>
      </w:tr>
      <w:tr w:rsidR="00086DF1" w:rsidRPr="005C67D6" w14:paraId="1810E883" w14:textId="77777777" w:rsidTr="00DC062C">
        <w:trPr>
          <w:trHeight w:val="238"/>
        </w:trPr>
        <w:tc>
          <w:tcPr>
            <w:tcW w:w="3119" w:type="dxa"/>
            <w:shd w:val="clear" w:color="auto" w:fill="auto"/>
          </w:tcPr>
          <w:p w14:paraId="3436824B" w14:textId="77777777" w:rsidR="00086DF1" w:rsidRPr="005C67D6" w:rsidRDefault="00086DF1" w:rsidP="00DC062C">
            <w:pPr>
              <w:pStyle w:val="08-Tabelageral"/>
              <w:ind w:left="113"/>
              <w:jc w:val="left"/>
              <w:rPr>
                <w:rFonts w:cs="Arial"/>
                <w:bCs/>
              </w:rPr>
            </w:pPr>
            <w:r w:rsidRPr="005C67D6">
              <w:rPr>
                <w:rFonts w:cs="Arial"/>
              </w:rPr>
              <w:t>Non-current liabilities</w:t>
            </w:r>
          </w:p>
        </w:tc>
        <w:tc>
          <w:tcPr>
            <w:tcW w:w="1630" w:type="dxa"/>
            <w:shd w:val="clear" w:color="auto" w:fill="auto"/>
            <w:vAlign w:val="bottom"/>
          </w:tcPr>
          <w:p w14:paraId="2A3136DD" w14:textId="77777777" w:rsidR="00086DF1" w:rsidRPr="005C67D6" w:rsidRDefault="00086DF1" w:rsidP="00DC062C">
            <w:pPr>
              <w:pStyle w:val="08-Tabelageral"/>
              <w:rPr>
                <w:color w:val="000000"/>
              </w:rPr>
            </w:pPr>
            <w:r w:rsidRPr="000B4780">
              <w:rPr>
                <w:rFonts w:cs="Arial"/>
                <w:color w:val="000000"/>
                <w:szCs w:val="14"/>
              </w:rPr>
              <w:t>229</w:t>
            </w:r>
            <w:r>
              <w:rPr>
                <w:rFonts w:cs="Arial"/>
                <w:color w:val="000000"/>
                <w:szCs w:val="14"/>
              </w:rPr>
              <w:t>,</w:t>
            </w:r>
            <w:r w:rsidRPr="000B4780">
              <w:rPr>
                <w:rFonts w:cs="Arial"/>
                <w:color w:val="000000"/>
                <w:szCs w:val="14"/>
              </w:rPr>
              <w:t>210</w:t>
            </w:r>
          </w:p>
        </w:tc>
        <w:tc>
          <w:tcPr>
            <w:tcW w:w="1630" w:type="dxa"/>
            <w:shd w:val="clear" w:color="auto" w:fill="auto"/>
            <w:vAlign w:val="bottom"/>
          </w:tcPr>
          <w:p w14:paraId="3D1277EE" w14:textId="77777777" w:rsidR="00086DF1" w:rsidRPr="005C67D6" w:rsidRDefault="00086DF1" w:rsidP="00DC062C">
            <w:pPr>
              <w:pStyle w:val="08-Tabelageral"/>
            </w:pPr>
            <w:r w:rsidRPr="000B4780">
              <w:rPr>
                <w:rFonts w:cs="Arial"/>
                <w:color w:val="000000"/>
                <w:szCs w:val="14"/>
              </w:rPr>
              <w:t>2</w:t>
            </w:r>
            <w:r>
              <w:rPr>
                <w:rFonts w:cs="Arial"/>
                <w:color w:val="000000"/>
                <w:szCs w:val="14"/>
              </w:rPr>
              <w:t>,</w:t>
            </w:r>
            <w:r w:rsidRPr="000B4780">
              <w:rPr>
                <w:rFonts w:cs="Arial"/>
                <w:color w:val="000000"/>
                <w:szCs w:val="14"/>
              </w:rPr>
              <w:t>040</w:t>
            </w:r>
            <w:r>
              <w:rPr>
                <w:rFonts w:cs="Arial"/>
                <w:color w:val="000000"/>
                <w:szCs w:val="14"/>
              </w:rPr>
              <w:t>,</w:t>
            </w:r>
            <w:r w:rsidRPr="000B4780">
              <w:rPr>
                <w:rFonts w:cs="Arial"/>
                <w:color w:val="000000"/>
                <w:szCs w:val="14"/>
              </w:rPr>
              <w:t>028</w:t>
            </w:r>
          </w:p>
        </w:tc>
        <w:tc>
          <w:tcPr>
            <w:tcW w:w="1630" w:type="dxa"/>
            <w:shd w:val="clear" w:color="auto" w:fill="auto"/>
            <w:vAlign w:val="bottom"/>
          </w:tcPr>
          <w:p w14:paraId="088FAF6B" w14:textId="77777777" w:rsidR="00086DF1" w:rsidRPr="005C67D6" w:rsidRDefault="00086DF1" w:rsidP="00DC062C">
            <w:pPr>
              <w:pStyle w:val="08-Tabelageral"/>
            </w:pPr>
            <w:r>
              <w:rPr>
                <w:rFonts w:cs="Arial"/>
                <w:color w:val="000000"/>
                <w:szCs w:val="14"/>
              </w:rPr>
              <w:t>--</w:t>
            </w:r>
          </w:p>
        </w:tc>
        <w:tc>
          <w:tcPr>
            <w:tcW w:w="1630" w:type="dxa"/>
            <w:shd w:val="clear" w:color="auto" w:fill="auto"/>
            <w:vAlign w:val="bottom"/>
          </w:tcPr>
          <w:p w14:paraId="0B495A11" w14:textId="77777777" w:rsidR="00086DF1" w:rsidRPr="005C67D6" w:rsidRDefault="00086DF1" w:rsidP="00DC062C">
            <w:pPr>
              <w:pStyle w:val="08-Tabelageral"/>
            </w:pPr>
            <w:r w:rsidRPr="000B4780">
              <w:rPr>
                <w:rFonts w:cs="Arial"/>
                <w:color w:val="000000"/>
                <w:szCs w:val="14"/>
              </w:rPr>
              <w:t>2</w:t>
            </w:r>
            <w:r>
              <w:rPr>
                <w:rFonts w:cs="Arial"/>
                <w:color w:val="000000"/>
                <w:szCs w:val="14"/>
              </w:rPr>
              <w:t>,</w:t>
            </w:r>
            <w:r w:rsidRPr="000B4780">
              <w:rPr>
                <w:rFonts w:cs="Arial"/>
                <w:color w:val="000000"/>
                <w:szCs w:val="14"/>
              </w:rPr>
              <w:t>269</w:t>
            </w:r>
            <w:r>
              <w:rPr>
                <w:rFonts w:cs="Arial"/>
                <w:color w:val="000000"/>
                <w:szCs w:val="14"/>
              </w:rPr>
              <w:t>,</w:t>
            </w:r>
            <w:r w:rsidRPr="000B4780">
              <w:rPr>
                <w:rFonts w:cs="Arial"/>
                <w:color w:val="000000"/>
                <w:szCs w:val="14"/>
              </w:rPr>
              <w:t>238</w:t>
            </w:r>
          </w:p>
        </w:tc>
      </w:tr>
      <w:tr w:rsidR="00086DF1" w:rsidRPr="005C67D6" w14:paraId="41B49E95" w14:textId="77777777" w:rsidTr="00DC062C">
        <w:trPr>
          <w:trHeight w:val="238"/>
        </w:trPr>
        <w:tc>
          <w:tcPr>
            <w:tcW w:w="3119" w:type="dxa"/>
            <w:shd w:val="clear" w:color="auto" w:fill="auto"/>
          </w:tcPr>
          <w:p w14:paraId="5BB4B51E" w14:textId="77777777" w:rsidR="00086DF1" w:rsidRPr="005C67D6" w:rsidRDefault="00086DF1" w:rsidP="00DC062C">
            <w:pPr>
              <w:pStyle w:val="08-Tabelageral"/>
              <w:ind w:left="113"/>
              <w:jc w:val="left"/>
              <w:rPr>
                <w:rFonts w:cs="Arial"/>
                <w:bCs/>
              </w:rPr>
            </w:pPr>
            <w:r w:rsidRPr="005C67D6">
              <w:t>Equity</w:t>
            </w:r>
          </w:p>
        </w:tc>
        <w:tc>
          <w:tcPr>
            <w:tcW w:w="1630" w:type="dxa"/>
            <w:shd w:val="clear" w:color="auto" w:fill="auto"/>
            <w:vAlign w:val="bottom"/>
          </w:tcPr>
          <w:p w14:paraId="3E951D56" w14:textId="77777777" w:rsidR="00086DF1" w:rsidRPr="005C67D6" w:rsidRDefault="00086DF1" w:rsidP="00DC062C">
            <w:pPr>
              <w:pStyle w:val="08-Tabelageral"/>
              <w:rPr>
                <w:color w:val="000000"/>
              </w:rPr>
            </w:pPr>
            <w:r>
              <w:rPr>
                <w:rFonts w:cs="Arial"/>
                <w:color w:val="000000"/>
                <w:szCs w:val="14"/>
              </w:rPr>
              <w:t>19,203,467</w:t>
            </w:r>
          </w:p>
        </w:tc>
        <w:tc>
          <w:tcPr>
            <w:tcW w:w="1630" w:type="dxa"/>
            <w:shd w:val="clear" w:color="auto" w:fill="auto"/>
            <w:vAlign w:val="bottom"/>
          </w:tcPr>
          <w:p w14:paraId="7993331F" w14:textId="77777777" w:rsidR="00086DF1" w:rsidRPr="005C67D6" w:rsidRDefault="00086DF1" w:rsidP="00DC062C">
            <w:pPr>
              <w:pStyle w:val="08-Tabelageral"/>
            </w:pPr>
            <w:r>
              <w:rPr>
                <w:rFonts w:cs="Arial"/>
                <w:color w:val="000000"/>
                <w:szCs w:val="14"/>
              </w:rPr>
              <w:t>714,102</w:t>
            </w:r>
          </w:p>
        </w:tc>
        <w:tc>
          <w:tcPr>
            <w:tcW w:w="1630" w:type="dxa"/>
            <w:shd w:val="clear" w:color="auto" w:fill="auto"/>
            <w:vAlign w:val="bottom"/>
          </w:tcPr>
          <w:p w14:paraId="1F1D2606" w14:textId="77777777" w:rsidR="00086DF1" w:rsidRPr="005C67D6" w:rsidRDefault="00086DF1" w:rsidP="00DC062C">
            <w:pPr>
              <w:pStyle w:val="08-Tabelageral"/>
            </w:pPr>
            <w:r>
              <w:rPr>
                <w:rFonts w:cs="Arial"/>
                <w:color w:val="000000"/>
                <w:szCs w:val="14"/>
              </w:rPr>
              <w:t>(9,870,287)</w:t>
            </w:r>
          </w:p>
        </w:tc>
        <w:tc>
          <w:tcPr>
            <w:tcW w:w="1630" w:type="dxa"/>
            <w:shd w:val="clear" w:color="auto" w:fill="auto"/>
            <w:vAlign w:val="bottom"/>
          </w:tcPr>
          <w:p w14:paraId="3C486E1A" w14:textId="77777777" w:rsidR="00086DF1" w:rsidRPr="005C67D6" w:rsidRDefault="00086DF1" w:rsidP="00DC062C">
            <w:pPr>
              <w:pStyle w:val="08-Tabelageral"/>
            </w:pPr>
            <w:r>
              <w:rPr>
                <w:rFonts w:cs="Arial"/>
                <w:color w:val="000000"/>
                <w:szCs w:val="14"/>
              </w:rPr>
              <w:t>10,047,283</w:t>
            </w:r>
          </w:p>
        </w:tc>
      </w:tr>
      <w:tr w:rsidR="00086DF1" w:rsidRPr="00B0013B" w14:paraId="05680778" w14:textId="77777777" w:rsidTr="00DC062C">
        <w:trPr>
          <w:trHeight w:val="238"/>
        </w:trPr>
        <w:tc>
          <w:tcPr>
            <w:tcW w:w="3119" w:type="dxa"/>
            <w:tcBorders>
              <w:bottom w:val="single" w:sz="2" w:space="0" w:color="1F4E79" w:themeColor="accent1" w:themeShade="80"/>
            </w:tcBorders>
            <w:shd w:val="clear" w:color="auto" w:fill="auto"/>
          </w:tcPr>
          <w:p w14:paraId="49348A60" w14:textId="77777777" w:rsidR="00086DF1" w:rsidRPr="00B0013B" w:rsidRDefault="00086DF1" w:rsidP="00DC062C">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bottom"/>
          </w:tcPr>
          <w:p w14:paraId="7FAD7351" w14:textId="77777777" w:rsidR="00086DF1" w:rsidRPr="00B0013B" w:rsidRDefault="00086DF1" w:rsidP="00DC062C">
            <w:pPr>
              <w:pStyle w:val="08-Tabelageral"/>
              <w:rPr>
                <w:b/>
                <w:color w:val="000000"/>
              </w:rPr>
            </w:pPr>
            <w:r>
              <w:rPr>
                <w:rFonts w:cs="Arial"/>
                <w:b/>
                <w:bCs/>
                <w:color w:val="000000"/>
                <w:szCs w:val="14"/>
              </w:rPr>
              <w:t>19,472,838</w:t>
            </w:r>
          </w:p>
        </w:tc>
        <w:tc>
          <w:tcPr>
            <w:tcW w:w="1630" w:type="dxa"/>
            <w:tcBorders>
              <w:bottom w:val="single" w:sz="2" w:space="0" w:color="1F4E79" w:themeColor="accent1" w:themeShade="80"/>
            </w:tcBorders>
            <w:shd w:val="clear" w:color="auto" w:fill="auto"/>
            <w:vAlign w:val="bottom"/>
          </w:tcPr>
          <w:p w14:paraId="3C2DE097" w14:textId="77777777" w:rsidR="00086DF1" w:rsidRPr="00B0013B" w:rsidRDefault="00086DF1" w:rsidP="00DC062C">
            <w:pPr>
              <w:pStyle w:val="08-Tabelageral"/>
              <w:rPr>
                <w:b/>
              </w:rPr>
            </w:pPr>
            <w:r>
              <w:rPr>
                <w:rFonts w:cs="Arial"/>
                <w:b/>
                <w:bCs/>
                <w:color w:val="000000"/>
                <w:szCs w:val="14"/>
              </w:rPr>
              <w:t>4,802,737</w:t>
            </w:r>
          </w:p>
        </w:tc>
        <w:tc>
          <w:tcPr>
            <w:tcW w:w="1630" w:type="dxa"/>
            <w:tcBorders>
              <w:bottom w:val="single" w:sz="2" w:space="0" w:color="1F4E79" w:themeColor="accent1" w:themeShade="80"/>
            </w:tcBorders>
            <w:shd w:val="clear" w:color="auto" w:fill="auto"/>
            <w:vAlign w:val="bottom"/>
          </w:tcPr>
          <w:p w14:paraId="470DC591" w14:textId="77777777" w:rsidR="00086DF1" w:rsidRPr="00B0013B" w:rsidRDefault="00086DF1" w:rsidP="00DC062C">
            <w:pPr>
              <w:pStyle w:val="08-Tabelageral"/>
              <w:rPr>
                <w:b/>
              </w:rPr>
            </w:pPr>
            <w:r>
              <w:rPr>
                <w:rFonts w:cs="Arial"/>
                <w:b/>
                <w:bCs/>
                <w:color w:val="000000"/>
                <w:szCs w:val="14"/>
              </w:rPr>
              <w:t>(9,877,783)</w:t>
            </w:r>
          </w:p>
        </w:tc>
        <w:tc>
          <w:tcPr>
            <w:tcW w:w="1630" w:type="dxa"/>
            <w:tcBorders>
              <w:bottom w:val="single" w:sz="2" w:space="0" w:color="1F4E79" w:themeColor="accent1" w:themeShade="80"/>
            </w:tcBorders>
            <w:shd w:val="clear" w:color="auto" w:fill="auto"/>
            <w:vAlign w:val="bottom"/>
          </w:tcPr>
          <w:p w14:paraId="766114CE" w14:textId="77777777" w:rsidR="00086DF1" w:rsidRPr="00B0013B" w:rsidRDefault="00086DF1" w:rsidP="00DC062C">
            <w:pPr>
              <w:pStyle w:val="08-Tabelageral"/>
              <w:rPr>
                <w:b/>
              </w:rPr>
            </w:pPr>
            <w:r>
              <w:rPr>
                <w:rFonts w:cs="Arial"/>
                <w:b/>
                <w:bCs/>
                <w:color w:val="000000"/>
                <w:szCs w:val="14"/>
              </w:rPr>
              <w:t>14,397,792</w:t>
            </w:r>
          </w:p>
        </w:tc>
      </w:tr>
    </w:tbl>
    <w:p w14:paraId="02F337FA" w14:textId="77777777" w:rsidR="00086DF1" w:rsidRPr="006D081B" w:rsidRDefault="00086DF1" w:rsidP="00DC062C">
      <w:pPr>
        <w:pStyle w:val="05-Textonormal"/>
        <w:spacing w:after="0"/>
        <w:jc w:val="right"/>
        <w:rPr>
          <w:b/>
          <w:sz w:val="14"/>
          <w:lang w:val="en-US"/>
        </w:rPr>
      </w:pPr>
      <w:r w:rsidRPr="006D081B">
        <w:rPr>
          <w:b/>
          <w:sz w:val="14"/>
          <w:lang w:val="en-US"/>
        </w:rPr>
        <w:t xml:space="preserve">R$ </w:t>
      </w:r>
      <w:r w:rsidRPr="006D081B">
        <w:rPr>
          <w:rFonts w:cs="Arial"/>
          <w:b/>
          <w:sz w:val="14"/>
          <w:lang w:val="en-US"/>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19"/>
        <w:gridCol w:w="1630"/>
        <w:gridCol w:w="1630"/>
        <w:gridCol w:w="1630"/>
        <w:gridCol w:w="1630"/>
      </w:tblGrid>
      <w:tr w:rsidR="00086DF1" w:rsidRPr="006A0EC8" w14:paraId="42C8BF47" w14:textId="77777777" w:rsidTr="00DC062C">
        <w:trPr>
          <w:trHeight w:val="238"/>
        </w:trPr>
        <w:tc>
          <w:tcPr>
            <w:tcW w:w="3119" w:type="dxa"/>
            <w:tcBorders>
              <w:top w:val="single" w:sz="2" w:space="0" w:color="1F4E79" w:themeColor="accent1" w:themeShade="80"/>
            </w:tcBorders>
            <w:shd w:val="clear" w:color="auto" w:fill="auto"/>
          </w:tcPr>
          <w:p w14:paraId="47B719D5" w14:textId="77777777" w:rsidR="00086DF1" w:rsidRPr="006D081B" w:rsidRDefault="00086DF1" w:rsidP="00DC062C">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5666DA12" w14:textId="77777777" w:rsidR="00086DF1" w:rsidRPr="006A0EC8" w:rsidRDefault="00086DF1" w:rsidP="00DC062C">
            <w:pPr>
              <w:spacing w:after="0"/>
              <w:jc w:val="center"/>
              <w:rPr>
                <w:rFonts w:cs="Arial"/>
                <w:b/>
                <w:szCs w:val="18"/>
              </w:rPr>
            </w:pPr>
            <w:r>
              <w:rPr>
                <w:rFonts w:cs="Arial"/>
                <w:b/>
                <w:sz w:val="14"/>
                <w:szCs w:val="18"/>
              </w:rPr>
              <w:t>Dec</w:t>
            </w:r>
            <w:r w:rsidRPr="006A0EC8">
              <w:rPr>
                <w:rFonts w:cs="Arial"/>
                <w:b/>
                <w:sz w:val="14"/>
                <w:szCs w:val="18"/>
              </w:rPr>
              <w:t xml:space="preserve"> 3</w:t>
            </w:r>
            <w:r>
              <w:rPr>
                <w:rFonts w:cs="Arial"/>
                <w:b/>
                <w:sz w:val="14"/>
                <w:szCs w:val="18"/>
              </w:rPr>
              <w:t>1</w:t>
            </w:r>
            <w:r w:rsidRPr="006A0EC8">
              <w:rPr>
                <w:rFonts w:cs="Arial"/>
                <w:b/>
                <w:sz w:val="14"/>
                <w:szCs w:val="18"/>
              </w:rPr>
              <w:t>,</w:t>
            </w:r>
            <w:r>
              <w:rPr>
                <w:rFonts w:cs="Arial"/>
                <w:b/>
                <w:sz w:val="14"/>
                <w:szCs w:val="18"/>
              </w:rPr>
              <w:t xml:space="preserve"> </w:t>
            </w:r>
            <w:r w:rsidRPr="006A0EC8">
              <w:rPr>
                <w:rFonts w:cs="Arial"/>
                <w:b/>
                <w:sz w:val="14"/>
                <w:szCs w:val="18"/>
              </w:rPr>
              <w:t>20</w:t>
            </w:r>
            <w:r>
              <w:rPr>
                <w:rFonts w:cs="Arial"/>
                <w:b/>
                <w:sz w:val="14"/>
                <w:szCs w:val="18"/>
              </w:rPr>
              <w:t>22</w:t>
            </w:r>
          </w:p>
        </w:tc>
      </w:tr>
      <w:tr w:rsidR="00086DF1" w:rsidRPr="006A0EC8" w14:paraId="457A7192" w14:textId="77777777" w:rsidTr="00DC062C">
        <w:trPr>
          <w:trHeight w:val="238"/>
        </w:trPr>
        <w:tc>
          <w:tcPr>
            <w:tcW w:w="3119" w:type="dxa"/>
            <w:tcBorders>
              <w:bottom w:val="single" w:sz="2" w:space="0" w:color="1F4E79" w:themeColor="accent1" w:themeShade="80"/>
            </w:tcBorders>
            <w:shd w:val="clear" w:color="auto" w:fill="auto"/>
            <w:vAlign w:val="center"/>
          </w:tcPr>
          <w:p w14:paraId="2A5EDF5C" w14:textId="77777777" w:rsidR="00086DF1" w:rsidRPr="006A0EC8" w:rsidRDefault="00086DF1" w:rsidP="00DC062C">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4AB9ABA" w14:textId="77777777" w:rsidR="00086DF1" w:rsidRPr="006A0EC8" w:rsidRDefault="00086DF1" w:rsidP="00DC062C">
            <w:pPr>
              <w:pStyle w:val="08-Tabelageral"/>
              <w:jc w:val="center"/>
              <w:rPr>
                <w:rFonts w:cs="Arial"/>
                <w:b/>
              </w:rPr>
            </w:pPr>
            <w:r w:rsidRPr="006A0EC8">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65B7DEE" w14:textId="77777777" w:rsidR="00086DF1" w:rsidRPr="006A0EC8" w:rsidRDefault="00086DF1" w:rsidP="00DC062C">
            <w:pPr>
              <w:pStyle w:val="08-Tabelageral"/>
              <w:jc w:val="center"/>
              <w:rPr>
                <w:rFonts w:cs="Arial"/>
                <w:b/>
              </w:rPr>
            </w:pPr>
            <w:r w:rsidRPr="006A0EC8">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EFADB51" w14:textId="77777777" w:rsidR="00086DF1" w:rsidRPr="006A0EC8" w:rsidRDefault="00086DF1" w:rsidP="00DC062C">
            <w:pPr>
              <w:pStyle w:val="08-Tabelageral"/>
              <w:jc w:val="center"/>
              <w:rPr>
                <w:rFonts w:cs="Arial"/>
                <w:b/>
              </w:rPr>
            </w:pPr>
            <w:r w:rsidRPr="006A0EC8">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8BC93B0" w14:textId="77777777" w:rsidR="00086DF1" w:rsidRPr="006A0EC8" w:rsidRDefault="00086DF1" w:rsidP="00DC062C">
            <w:pPr>
              <w:pStyle w:val="08-Tabelageral"/>
              <w:jc w:val="center"/>
              <w:rPr>
                <w:rFonts w:cs="Arial"/>
                <w:b/>
              </w:rPr>
            </w:pPr>
            <w:r w:rsidRPr="006A0EC8">
              <w:rPr>
                <w:rFonts w:cs="Arial"/>
                <w:b/>
              </w:rPr>
              <w:t>Total</w:t>
            </w:r>
          </w:p>
        </w:tc>
      </w:tr>
      <w:tr w:rsidR="00086DF1" w:rsidRPr="006A0EC8" w14:paraId="4DC08A5F" w14:textId="77777777" w:rsidTr="00DC062C">
        <w:trPr>
          <w:trHeight w:hRule="exact" w:val="238"/>
        </w:trPr>
        <w:tc>
          <w:tcPr>
            <w:tcW w:w="3119" w:type="dxa"/>
            <w:tcBorders>
              <w:top w:val="single" w:sz="2" w:space="0" w:color="1F4E79" w:themeColor="accent1" w:themeShade="80"/>
              <w:bottom w:val="nil"/>
            </w:tcBorders>
            <w:shd w:val="clear" w:color="auto" w:fill="auto"/>
          </w:tcPr>
          <w:p w14:paraId="0563D572" w14:textId="77777777" w:rsidR="00086DF1" w:rsidRPr="006A0EC8" w:rsidRDefault="00086DF1" w:rsidP="00DC062C">
            <w:pPr>
              <w:pStyle w:val="08-Tabelageral"/>
              <w:ind w:left="113"/>
              <w:jc w:val="left"/>
              <w:rPr>
                <w:rFonts w:cs="Arial"/>
                <w:bCs/>
              </w:rPr>
            </w:pPr>
            <w:r w:rsidRPr="006A0EC8">
              <w:t>Current assets</w:t>
            </w:r>
          </w:p>
        </w:tc>
        <w:tc>
          <w:tcPr>
            <w:tcW w:w="1630" w:type="dxa"/>
            <w:tcBorders>
              <w:top w:val="single" w:sz="2" w:space="0" w:color="1F4E79" w:themeColor="accent1" w:themeShade="80"/>
              <w:bottom w:val="nil"/>
            </w:tcBorders>
            <w:shd w:val="clear" w:color="auto" w:fill="auto"/>
            <w:vAlign w:val="center"/>
          </w:tcPr>
          <w:p w14:paraId="62001D00" w14:textId="77777777" w:rsidR="00086DF1" w:rsidRPr="00D255FB" w:rsidRDefault="00086DF1" w:rsidP="00DC062C">
            <w:pPr>
              <w:pStyle w:val="08-Tabelageral"/>
            </w:pPr>
            <w:r w:rsidRPr="00D255FB">
              <w:t>6</w:t>
            </w:r>
            <w:r>
              <w:t>,</w:t>
            </w:r>
            <w:r w:rsidRPr="00D255FB">
              <w:t>148</w:t>
            </w:r>
            <w:r>
              <w:t>,</w:t>
            </w:r>
            <w:r w:rsidRPr="00D255FB">
              <w:t>927</w:t>
            </w:r>
          </w:p>
        </w:tc>
        <w:tc>
          <w:tcPr>
            <w:tcW w:w="1630" w:type="dxa"/>
            <w:tcBorders>
              <w:top w:val="single" w:sz="2" w:space="0" w:color="1F4E79" w:themeColor="accent1" w:themeShade="80"/>
              <w:bottom w:val="nil"/>
            </w:tcBorders>
            <w:shd w:val="clear" w:color="auto" w:fill="auto"/>
            <w:vAlign w:val="center"/>
          </w:tcPr>
          <w:p w14:paraId="396577BF" w14:textId="77777777" w:rsidR="00086DF1" w:rsidRPr="00D255FB" w:rsidRDefault="00086DF1" w:rsidP="00DC062C">
            <w:pPr>
              <w:pStyle w:val="08-Tabelageral"/>
            </w:pPr>
            <w:r w:rsidRPr="00D255FB">
              <w:t>4</w:t>
            </w:r>
            <w:r>
              <w:t>,</w:t>
            </w:r>
            <w:r w:rsidRPr="00D255FB">
              <w:t>764</w:t>
            </w:r>
            <w:r>
              <w:t>,</w:t>
            </w:r>
            <w:r w:rsidRPr="00D255FB">
              <w:t>890</w:t>
            </w:r>
          </w:p>
        </w:tc>
        <w:tc>
          <w:tcPr>
            <w:tcW w:w="1630" w:type="dxa"/>
            <w:tcBorders>
              <w:top w:val="single" w:sz="2" w:space="0" w:color="1F4E79" w:themeColor="accent1" w:themeShade="80"/>
              <w:bottom w:val="nil"/>
            </w:tcBorders>
            <w:shd w:val="clear" w:color="auto" w:fill="auto"/>
            <w:vAlign w:val="center"/>
          </w:tcPr>
          <w:p w14:paraId="04AF9FB3" w14:textId="77777777" w:rsidR="00086DF1" w:rsidRPr="00D255FB" w:rsidRDefault="00086DF1" w:rsidP="00DC062C">
            <w:pPr>
              <w:pStyle w:val="08-Tabelageral"/>
            </w:pPr>
            <w:r w:rsidRPr="00D255FB">
              <w:t>(3</w:t>
            </w:r>
            <w:r>
              <w:t>,</w:t>
            </w:r>
            <w:r w:rsidRPr="00D255FB">
              <w:t>692</w:t>
            </w:r>
            <w:r>
              <w:t>,</w:t>
            </w:r>
            <w:r w:rsidRPr="00D255FB">
              <w:t>719)</w:t>
            </w:r>
          </w:p>
        </w:tc>
        <w:tc>
          <w:tcPr>
            <w:tcW w:w="1630" w:type="dxa"/>
            <w:tcBorders>
              <w:top w:val="single" w:sz="2" w:space="0" w:color="1F4E79" w:themeColor="accent1" w:themeShade="80"/>
              <w:bottom w:val="nil"/>
            </w:tcBorders>
            <w:shd w:val="clear" w:color="auto" w:fill="auto"/>
            <w:vAlign w:val="center"/>
          </w:tcPr>
          <w:p w14:paraId="608E4A2D" w14:textId="77777777" w:rsidR="00086DF1" w:rsidRPr="00D255FB" w:rsidRDefault="00086DF1" w:rsidP="00DC062C">
            <w:pPr>
              <w:pStyle w:val="08-Tabelageral"/>
            </w:pPr>
            <w:r w:rsidRPr="00D255FB">
              <w:t>7</w:t>
            </w:r>
            <w:r>
              <w:t>,</w:t>
            </w:r>
            <w:r w:rsidRPr="00D255FB">
              <w:t>221</w:t>
            </w:r>
            <w:r>
              <w:t>,</w:t>
            </w:r>
            <w:r w:rsidRPr="00D255FB">
              <w:t>098</w:t>
            </w:r>
          </w:p>
        </w:tc>
      </w:tr>
      <w:tr w:rsidR="00086DF1" w:rsidRPr="006A0EC8" w14:paraId="3EA46880" w14:textId="77777777" w:rsidTr="00DC062C">
        <w:trPr>
          <w:trHeight w:hRule="exact" w:val="238"/>
        </w:trPr>
        <w:tc>
          <w:tcPr>
            <w:tcW w:w="3119" w:type="dxa"/>
            <w:tcBorders>
              <w:top w:val="nil"/>
            </w:tcBorders>
            <w:shd w:val="clear" w:color="auto" w:fill="auto"/>
          </w:tcPr>
          <w:p w14:paraId="6E89392C" w14:textId="77777777" w:rsidR="00086DF1" w:rsidRPr="006A0EC8" w:rsidRDefault="00086DF1" w:rsidP="00DC062C">
            <w:pPr>
              <w:pStyle w:val="08-Tabelageral"/>
              <w:ind w:left="113"/>
              <w:jc w:val="left"/>
              <w:rPr>
                <w:rFonts w:cs="Arial"/>
                <w:bCs/>
              </w:rPr>
            </w:pPr>
            <w:r w:rsidRPr="006A0EC8">
              <w:t>Non-current assets</w:t>
            </w:r>
          </w:p>
        </w:tc>
        <w:tc>
          <w:tcPr>
            <w:tcW w:w="1630" w:type="dxa"/>
            <w:tcBorders>
              <w:top w:val="nil"/>
            </w:tcBorders>
            <w:shd w:val="clear" w:color="auto" w:fill="auto"/>
            <w:vAlign w:val="center"/>
          </w:tcPr>
          <w:p w14:paraId="216344F2" w14:textId="77777777" w:rsidR="00086DF1" w:rsidRPr="00D255FB" w:rsidRDefault="00086DF1" w:rsidP="00DC062C">
            <w:pPr>
              <w:pStyle w:val="08-Tabelageral"/>
            </w:pPr>
            <w:r w:rsidRPr="00D255FB">
              <w:t>15</w:t>
            </w:r>
            <w:r>
              <w:t>,</w:t>
            </w:r>
            <w:r w:rsidRPr="00D255FB">
              <w:t>032</w:t>
            </w:r>
            <w:r>
              <w:t>,</w:t>
            </w:r>
            <w:r w:rsidRPr="00D255FB">
              <w:t>789</w:t>
            </w:r>
          </w:p>
        </w:tc>
        <w:tc>
          <w:tcPr>
            <w:tcW w:w="1630" w:type="dxa"/>
            <w:tcBorders>
              <w:top w:val="nil"/>
            </w:tcBorders>
            <w:shd w:val="clear" w:color="auto" w:fill="auto"/>
            <w:vAlign w:val="center"/>
          </w:tcPr>
          <w:p w14:paraId="7858CA68" w14:textId="77777777" w:rsidR="00086DF1" w:rsidRPr="00D255FB" w:rsidRDefault="00086DF1" w:rsidP="00DC062C">
            <w:pPr>
              <w:pStyle w:val="08-Tabelageral"/>
            </w:pPr>
            <w:r w:rsidRPr="00D255FB">
              <w:t>1</w:t>
            </w:r>
            <w:r>
              <w:t>,</w:t>
            </w:r>
            <w:r w:rsidRPr="00D255FB">
              <w:t>292</w:t>
            </w:r>
            <w:r>
              <w:t>,</w:t>
            </w:r>
            <w:r w:rsidRPr="00D255FB">
              <w:t>715</w:t>
            </w:r>
          </w:p>
        </w:tc>
        <w:tc>
          <w:tcPr>
            <w:tcW w:w="1630" w:type="dxa"/>
            <w:tcBorders>
              <w:top w:val="nil"/>
            </w:tcBorders>
            <w:shd w:val="clear" w:color="auto" w:fill="auto"/>
            <w:vAlign w:val="center"/>
          </w:tcPr>
          <w:p w14:paraId="0159F777" w14:textId="77777777" w:rsidR="00086DF1" w:rsidRPr="00D255FB" w:rsidRDefault="00086DF1" w:rsidP="00DC062C">
            <w:pPr>
              <w:pStyle w:val="08-Tabelageral"/>
            </w:pPr>
            <w:r w:rsidRPr="00D255FB">
              <w:t>(7</w:t>
            </w:r>
            <w:r>
              <w:t>,</w:t>
            </w:r>
            <w:r w:rsidRPr="00D255FB">
              <w:t>416</w:t>
            </w:r>
            <w:r>
              <w:t>,</w:t>
            </w:r>
            <w:r w:rsidRPr="00D255FB">
              <w:t>770)</w:t>
            </w:r>
          </w:p>
        </w:tc>
        <w:tc>
          <w:tcPr>
            <w:tcW w:w="1630" w:type="dxa"/>
            <w:tcBorders>
              <w:top w:val="nil"/>
            </w:tcBorders>
            <w:shd w:val="clear" w:color="auto" w:fill="auto"/>
            <w:vAlign w:val="center"/>
          </w:tcPr>
          <w:p w14:paraId="7377311F" w14:textId="77777777" w:rsidR="00086DF1" w:rsidRPr="00D255FB" w:rsidRDefault="00086DF1" w:rsidP="00DC062C">
            <w:pPr>
              <w:pStyle w:val="08-Tabelageral"/>
            </w:pPr>
            <w:r w:rsidRPr="00D255FB">
              <w:t>8</w:t>
            </w:r>
            <w:r>
              <w:t>,</w:t>
            </w:r>
            <w:r w:rsidRPr="00D255FB">
              <w:t>908</w:t>
            </w:r>
            <w:r>
              <w:t>,</w:t>
            </w:r>
            <w:r w:rsidRPr="00D255FB">
              <w:t>734</w:t>
            </w:r>
          </w:p>
        </w:tc>
      </w:tr>
      <w:tr w:rsidR="00086DF1" w:rsidRPr="00B0013B" w14:paraId="4E7250EA" w14:textId="77777777" w:rsidTr="00DC062C">
        <w:trPr>
          <w:trHeight w:hRule="exact" w:val="238"/>
        </w:trPr>
        <w:tc>
          <w:tcPr>
            <w:tcW w:w="3119" w:type="dxa"/>
            <w:shd w:val="clear" w:color="auto" w:fill="auto"/>
          </w:tcPr>
          <w:p w14:paraId="4449CDA4" w14:textId="77777777" w:rsidR="00086DF1" w:rsidRPr="00B0013B" w:rsidRDefault="00086DF1" w:rsidP="00DC062C">
            <w:pPr>
              <w:pStyle w:val="08-Tabelageral"/>
              <w:jc w:val="left"/>
              <w:rPr>
                <w:rFonts w:cs="Arial"/>
                <w:b/>
              </w:rPr>
            </w:pPr>
            <w:r w:rsidRPr="00B0013B">
              <w:rPr>
                <w:rFonts w:cs="Arial"/>
                <w:b/>
              </w:rPr>
              <w:t>Total assets</w:t>
            </w:r>
          </w:p>
        </w:tc>
        <w:tc>
          <w:tcPr>
            <w:tcW w:w="1630" w:type="dxa"/>
            <w:shd w:val="clear" w:color="auto" w:fill="auto"/>
            <w:vAlign w:val="center"/>
          </w:tcPr>
          <w:p w14:paraId="5E62EFEE" w14:textId="77777777" w:rsidR="00086DF1" w:rsidRPr="00D255FB" w:rsidRDefault="00086DF1" w:rsidP="00DC062C">
            <w:pPr>
              <w:pStyle w:val="08-Tabelageral"/>
              <w:rPr>
                <w:b/>
              </w:rPr>
            </w:pPr>
            <w:r w:rsidRPr="00D255FB">
              <w:rPr>
                <w:b/>
                <w:bCs/>
              </w:rPr>
              <w:t>21</w:t>
            </w:r>
            <w:r>
              <w:rPr>
                <w:b/>
                <w:bCs/>
              </w:rPr>
              <w:t>,</w:t>
            </w:r>
            <w:r w:rsidRPr="00D255FB">
              <w:rPr>
                <w:b/>
                <w:bCs/>
              </w:rPr>
              <w:t>181</w:t>
            </w:r>
            <w:r>
              <w:rPr>
                <w:b/>
                <w:bCs/>
              </w:rPr>
              <w:t>,</w:t>
            </w:r>
            <w:r w:rsidRPr="00D255FB">
              <w:rPr>
                <w:b/>
                <w:bCs/>
              </w:rPr>
              <w:t>716</w:t>
            </w:r>
          </w:p>
        </w:tc>
        <w:tc>
          <w:tcPr>
            <w:tcW w:w="1630" w:type="dxa"/>
            <w:shd w:val="clear" w:color="auto" w:fill="auto"/>
            <w:vAlign w:val="center"/>
          </w:tcPr>
          <w:p w14:paraId="149B781F" w14:textId="77777777" w:rsidR="00086DF1" w:rsidRPr="00D255FB" w:rsidRDefault="00086DF1" w:rsidP="00DC062C">
            <w:pPr>
              <w:pStyle w:val="08-Tabelageral"/>
              <w:rPr>
                <w:b/>
              </w:rPr>
            </w:pPr>
            <w:r w:rsidRPr="00D255FB">
              <w:rPr>
                <w:b/>
                <w:bCs/>
              </w:rPr>
              <w:t>6</w:t>
            </w:r>
            <w:r>
              <w:rPr>
                <w:b/>
                <w:bCs/>
              </w:rPr>
              <w:t>,</w:t>
            </w:r>
            <w:r w:rsidRPr="00D255FB">
              <w:rPr>
                <w:b/>
                <w:bCs/>
              </w:rPr>
              <w:t>057</w:t>
            </w:r>
            <w:r>
              <w:rPr>
                <w:b/>
                <w:bCs/>
              </w:rPr>
              <w:t>,</w:t>
            </w:r>
            <w:r w:rsidRPr="00D255FB">
              <w:rPr>
                <w:b/>
                <w:bCs/>
              </w:rPr>
              <w:t>605</w:t>
            </w:r>
          </w:p>
        </w:tc>
        <w:tc>
          <w:tcPr>
            <w:tcW w:w="1630" w:type="dxa"/>
            <w:shd w:val="clear" w:color="auto" w:fill="auto"/>
            <w:vAlign w:val="center"/>
          </w:tcPr>
          <w:p w14:paraId="2B5BFE00" w14:textId="77777777" w:rsidR="00086DF1" w:rsidRPr="00D255FB" w:rsidRDefault="00086DF1" w:rsidP="00DC062C">
            <w:pPr>
              <w:pStyle w:val="08-Tabelageral"/>
              <w:rPr>
                <w:b/>
              </w:rPr>
            </w:pPr>
            <w:r w:rsidRPr="00D255FB">
              <w:rPr>
                <w:b/>
                <w:bCs/>
              </w:rPr>
              <w:t>(11</w:t>
            </w:r>
            <w:r>
              <w:rPr>
                <w:b/>
                <w:bCs/>
              </w:rPr>
              <w:t>,</w:t>
            </w:r>
            <w:r w:rsidRPr="00D255FB">
              <w:rPr>
                <w:b/>
                <w:bCs/>
              </w:rPr>
              <w:t>109</w:t>
            </w:r>
            <w:r>
              <w:rPr>
                <w:b/>
                <w:bCs/>
              </w:rPr>
              <w:t>,</w:t>
            </w:r>
            <w:r w:rsidRPr="00D255FB">
              <w:rPr>
                <w:b/>
                <w:bCs/>
              </w:rPr>
              <w:t>489)</w:t>
            </w:r>
          </w:p>
        </w:tc>
        <w:tc>
          <w:tcPr>
            <w:tcW w:w="1630" w:type="dxa"/>
            <w:shd w:val="clear" w:color="auto" w:fill="auto"/>
            <w:vAlign w:val="center"/>
          </w:tcPr>
          <w:p w14:paraId="032C1D72" w14:textId="77777777" w:rsidR="00086DF1" w:rsidRPr="00D255FB" w:rsidRDefault="00086DF1" w:rsidP="00DC062C">
            <w:pPr>
              <w:pStyle w:val="08-Tabelageral"/>
              <w:rPr>
                <w:b/>
              </w:rPr>
            </w:pPr>
            <w:r w:rsidRPr="00D255FB">
              <w:rPr>
                <w:b/>
                <w:bCs/>
              </w:rPr>
              <w:t>16</w:t>
            </w:r>
            <w:r>
              <w:rPr>
                <w:b/>
                <w:bCs/>
              </w:rPr>
              <w:t>,</w:t>
            </w:r>
            <w:r w:rsidRPr="00D255FB">
              <w:rPr>
                <w:b/>
                <w:bCs/>
              </w:rPr>
              <w:t>129</w:t>
            </w:r>
            <w:r>
              <w:rPr>
                <w:b/>
                <w:bCs/>
              </w:rPr>
              <w:t>,</w:t>
            </w:r>
            <w:r w:rsidRPr="00D255FB">
              <w:rPr>
                <w:b/>
                <w:bCs/>
              </w:rPr>
              <w:t>832</w:t>
            </w:r>
          </w:p>
        </w:tc>
      </w:tr>
      <w:tr w:rsidR="00086DF1" w:rsidRPr="006A0EC8" w14:paraId="25CECBC9" w14:textId="77777777" w:rsidTr="00DC062C">
        <w:trPr>
          <w:trHeight w:hRule="exact" w:val="238"/>
        </w:trPr>
        <w:tc>
          <w:tcPr>
            <w:tcW w:w="3119" w:type="dxa"/>
            <w:shd w:val="clear" w:color="auto" w:fill="auto"/>
          </w:tcPr>
          <w:p w14:paraId="12970B30" w14:textId="77777777" w:rsidR="00086DF1" w:rsidRPr="006A0EC8" w:rsidRDefault="00086DF1" w:rsidP="00DC062C">
            <w:pPr>
              <w:pStyle w:val="08-Tabelageral"/>
              <w:ind w:left="113"/>
              <w:jc w:val="left"/>
              <w:rPr>
                <w:rFonts w:cs="Arial"/>
                <w:bCs/>
              </w:rPr>
            </w:pPr>
            <w:r w:rsidRPr="006A0EC8">
              <w:rPr>
                <w:rFonts w:cs="Arial"/>
              </w:rPr>
              <w:t>Current liabilities</w:t>
            </w:r>
          </w:p>
        </w:tc>
        <w:tc>
          <w:tcPr>
            <w:tcW w:w="1630" w:type="dxa"/>
            <w:shd w:val="clear" w:color="auto" w:fill="auto"/>
            <w:vAlign w:val="center"/>
          </w:tcPr>
          <w:p w14:paraId="4794E350" w14:textId="77777777" w:rsidR="00086DF1" w:rsidRPr="00D255FB" w:rsidRDefault="00086DF1" w:rsidP="00DC062C">
            <w:pPr>
              <w:pStyle w:val="08-Tabelageral"/>
            </w:pPr>
            <w:r w:rsidRPr="00D255FB">
              <w:t>5</w:t>
            </w:r>
            <w:r>
              <w:t>,</w:t>
            </w:r>
            <w:r w:rsidRPr="00D255FB">
              <w:t>945</w:t>
            </w:r>
            <w:r>
              <w:t>,</w:t>
            </w:r>
            <w:r w:rsidRPr="00D255FB">
              <w:t>959</w:t>
            </w:r>
          </w:p>
        </w:tc>
        <w:tc>
          <w:tcPr>
            <w:tcW w:w="1630" w:type="dxa"/>
            <w:shd w:val="clear" w:color="auto" w:fill="auto"/>
            <w:vAlign w:val="center"/>
          </w:tcPr>
          <w:p w14:paraId="35E15AB7" w14:textId="77777777" w:rsidR="00086DF1" w:rsidRPr="00D255FB" w:rsidRDefault="00086DF1" w:rsidP="00DC062C">
            <w:pPr>
              <w:pStyle w:val="08-Tabelageral"/>
            </w:pPr>
            <w:r w:rsidRPr="00D255FB">
              <w:t>4</w:t>
            </w:r>
            <w:r>
              <w:t>,</w:t>
            </w:r>
            <w:r w:rsidRPr="00D255FB">
              <w:t>254</w:t>
            </w:r>
            <w:r>
              <w:t>,</w:t>
            </w:r>
            <w:r w:rsidRPr="00D255FB">
              <w:t>929</w:t>
            </w:r>
          </w:p>
        </w:tc>
        <w:tc>
          <w:tcPr>
            <w:tcW w:w="1630" w:type="dxa"/>
            <w:shd w:val="clear" w:color="auto" w:fill="auto"/>
            <w:vAlign w:val="center"/>
          </w:tcPr>
          <w:p w14:paraId="2161F27A" w14:textId="77777777" w:rsidR="00086DF1" w:rsidRPr="00D255FB" w:rsidRDefault="00086DF1" w:rsidP="00DC062C">
            <w:pPr>
              <w:pStyle w:val="08-Tabelageral"/>
            </w:pPr>
            <w:r w:rsidRPr="00D255FB">
              <w:t>(3</w:t>
            </w:r>
            <w:r>
              <w:t>,</w:t>
            </w:r>
            <w:r w:rsidRPr="00D255FB">
              <w:t>692</w:t>
            </w:r>
            <w:r>
              <w:t>,</w:t>
            </w:r>
            <w:r w:rsidRPr="00D255FB">
              <w:t>720)</w:t>
            </w:r>
          </w:p>
        </w:tc>
        <w:tc>
          <w:tcPr>
            <w:tcW w:w="1630" w:type="dxa"/>
            <w:shd w:val="clear" w:color="auto" w:fill="auto"/>
            <w:vAlign w:val="center"/>
          </w:tcPr>
          <w:p w14:paraId="459FFD8C" w14:textId="77777777" w:rsidR="00086DF1" w:rsidRPr="00D255FB" w:rsidRDefault="00086DF1" w:rsidP="00DC062C">
            <w:pPr>
              <w:pStyle w:val="08-Tabelageral"/>
            </w:pPr>
            <w:r w:rsidRPr="00D255FB">
              <w:t>6</w:t>
            </w:r>
            <w:r>
              <w:t>,</w:t>
            </w:r>
            <w:r w:rsidRPr="00D255FB">
              <w:t>508</w:t>
            </w:r>
            <w:r>
              <w:t>,</w:t>
            </w:r>
            <w:r w:rsidRPr="00D255FB">
              <w:t>168</w:t>
            </w:r>
          </w:p>
        </w:tc>
      </w:tr>
      <w:tr w:rsidR="00086DF1" w:rsidRPr="006A0EC8" w14:paraId="6C611BC3" w14:textId="77777777" w:rsidTr="00DC062C">
        <w:trPr>
          <w:trHeight w:hRule="exact" w:val="238"/>
        </w:trPr>
        <w:tc>
          <w:tcPr>
            <w:tcW w:w="3119" w:type="dxa"/>
            <w:shd w:val="clear" w:color="auto" w:fill="auto"/>
          </w:tcPr>
          <w:p w14:paraId="096CB564" w14:textId="77777777" w:rsidR="00086DF1" w:rsidRPr="006A0EC8" w:rsidRDefault="00086DF1" w:rsidP="00DC062C">
            <w:pPr>
              <w:pStyle w:val="08-Tabelageral"/>
              <w:ind w:left="113"/>
              <w:jc w:val="left"/>
              <w:rPr>
                <w:rFonts w:cs="Arial"/>
                <w:bCs/>
              </w:rPr>
            </w:pPr>
            <w:r w:rsidRPr="006A0EC8">
              <w:rPr>
                <w:rFonts w:cs="Arial"/>
              </w:rPr>
              <w:t>Non-current liabilities</w:t>
            </w:r>
          </w:p>
        </w:tc>
        <w:tc>
          <w:tcPr>
            <w:tcW w:w="1630" w:type="dxa"/>
            <w:shd w:val="clear" w:color="auto" w:fill="auto"/>
            <w:vAlign w:val="center"/>
          </w:tcPr>
          <w:p w14:paraId="2A7768DD" w14:textId="77777777" w:rsidR="00086DF1" w:rsidRPr="00D255FB" w:rsidRDefault="00086DF1" w:rsidP="00DC062C">
            <w:pPr>
              <w:pStyle w:val="08-Tabelageral"/>
            </w:pPr>
            <w:r w:rsidRPr="00D255FB">
              <w:t>229</w:t>
            </w:r>
            <w:r>
              <w:t>,</w:t>
            </w:r>
            <w:r w:rsidRPr="00D255FB">
              <w:t>225</w:t>
            </w:r>
          </w:p>
        </w:tc>
        <w:tc>
          <w:tcPr>
            <w:tcW w:w="1630" w:type="dxa"/>
            <w:shd w:val="clear" w:color="auto" w:fill="auto"/>
            <w:vAlign w:val="center"/>
          </w:tcPr>
          <w:p w14:paraId="41FEAE37" w14:textId="77777777" w:rsidR="00086DF1" w:rsidRPr="00D255FB" w:rsidRDefault="00086DF1" w:rsidP="00DC062C">
            <w:pPr>
              <w:pStyle w:val="08-Tabelageral"/>
            </w:pPr>
            <w:r w:rsidRPr="00D255FB">
              <w:t>1</w:t>
            </w:r>
            <w:r>
              <w:t>,</w:t>
            </w:r>
            <w:r w:rsidRPr="00D255FB">
              <w:t>796</w:t>
            </w:r>
            <w:r>
              <w:t>,</w:t>
            </w:r>
            <w:r w:rsidRPr="00D255FB">
              <w:t>338</w:t>
            </w:r>
          </w:p>
        </w:tc>
        <w:tc>
          <w:tcPr>
            <w:tcW w:w="1630" w:type="dxa"/>
            <w:shd w:val="clear" w:color="auto" w:fill="auto"/>
            <w:vAlign w:val="center"/>
          </w:tcPr>
          <w:p w14:paraId="626E5C34" w14:textId="77777777" w:rsidR="00086DF1" w:rsidRPr="00D255FB" w:rsidRDefault="00086DF1" w:rsidP="00DC062C">
            <w:pPr>
              <w:pStyle w:val="08-Tabelageral"/>
            </w:pPr>
            <w:r w:rsidRPr="00D255FB">
              <w:t>--</w:t>
            </w:r>
          </w:p>
        </w:tc>
        <w:tc>
          <w:tcPr>
            <w:tcW w:w="1630" w:type="dxa"/>
            <w:shd w:val="clear" w:color="auto" w:fill="auto"/>
            <w:vAlign w:val="center"/>
          </w:tcPr>
          <w:p w14:paraId="3ED42A21" w14:textId="77777777" w:rsidR="00086DF1" w:rsidRPr="00D255FB" w:rsidRDefault="00086DF1" w:rsidP="00DC062C">
            <w:pPr>
              <w:pStyle w:val="08-Tabelageral"/>
            </w:pPr>
            <w:r w:rsidRPr="00D255FB">
              <w:t>2</w:t>
            </w:r>
            <w:r>
              <w:t>,</w:t>
            </w:r>
            <w:r w:rsidRPr="00D255FB">
              <w:t>025</w:t>
            </w:r>
            <w:r>
              <w:t>,</w:t>
            </w:r>
            <w:r w:rsidRPr="00D255FB">
              <w:t>563</w:t>
            </w:r>
          </w:p>
        </w:tc>
      </w:tr>
      <w:tr w:rsidR="00086DF1" w:rsidRPr="006A0EC8" w14:paraId="28C155C2" w14:textId="77777777" w:rsidTr="00DC062C">
        <w:trPr>
          <w:trHeight w:hRule="exact" w:val="238"/>
        </w:trPr>
        <w:tc>
          <w:tcPr>
            <w:tcW w:w="3119" w:type="dxa"/>
            <w:shd w:val="clear" w:color="auto" w:fill="auto"/>
          </w:tcPr>
          <w:p w14:paraId="6472F7A2" w14:textId="77777777" w:rsidR="00086DF1" w:rsidRPr="006A0EC8" w:rsidRDefault="00086DF1" w:rsidP="00DC062C">
            <w:pPr>
              <w:pStyle w:val="08-Tabelageral"/>
              <w:ind w:left="113"/>
              <w:jc w:val="left"/>
              <w:rPr>
                <w:rFonts w:cs="Arial"/>
                <w:bCs/>
              </w:rPr>
            </w:pPr>
            <w:r w:rsidRPr="006A0EC8">
              <w:t>Equity</w:t>
            </w:r>
          </w:p>
        </w:tc>
        <w:tc>
          <w:tcPr>
            <w:tcW w:w="1630" w:type="dxa"/>
            <w:shd w:val="clear" w:color="auto" w:fill="auto"/>
            <w:vAlign w:val="center"/>
          </w:tcPr>
          <w:p w14:paraId="2992DBFE" w14:textId="77777777" w:rsidR="00086DF1" w:rsidRPr="00D255FB" w:rsidRDefault="00086DF1" w:rsidP="00DC062C">
            <w:pPr>
              <w:pStyle w:val="08-Tabelageral"/>
            </w:pPr>
            <w:r w:rsidRPr="00D255FB">
              <w:t>15</w:t>
            </w:r>
            <w:r>
              <w:t>,</w:t>
            </w:r>
            <w:r w:rsidRPr="00D255FB">
              <w:t>006</w:t>
            </w:r>
            <w:r>
              <w:t>,</w:t>
            </w:r>
            <w:r w:rsidRPr="00D255FB">
              <w:t>532</w:t>
            </w:r>
          </w:p>
        </w:tc>
        <w:tc>
          <w:tcPr>
            <w:tcW w:w="1630" w:type="dxa"/>
            <w:shd w:val="clear" w:color="auto" w:fill="auto"/>
            <w:vAlign w:val="center"/>
          </w:tcPr>
          <w:p w14:paraId="020E6676" w14:textId="77777777" w:rsidR="00086DF1" w:rsidRPr="00D255FB" w:rsidRDefault="00086DF1" w:rsidP="00DC062C">
            <w:pPr>
              <w:pStyle w:val="08-Tabelageral"/>
            </w:pPr>
            <w:r w:rsidRPr="00D255FB">
              <w:t>6</w:t>
            </w:r>
            <w:r>
              <w:t>,</w:t>
            </w:r>
            <w:r w:rsidRPr="00D255FB">
              <w:t>338</w:t>
            </w:r>
          </w:p>
        </w:tc>
        <w:tc>
          <w:tcPr>
            <w:tcW w:w="1630" w:type="dxa"/>
            <w:shd w:val="clear" w:color="auto" w:fill="auto"/>
            <w:vAlign w:val="center"/>
          </w:tcPr>
          <w:p w14:paraId="7D7D5F68" w14:textId="77777777" w:rsidR="00086DF1" w:rsidRPr="00D255FB" w:rsidRDefault="00086DF1" w:rsidP="00DC062C">
            <w:pPr>
              <w:pStyle w:val="08-Tabelageral"/>
            </w:pPr>
            <w:r w:rsidRPr="00D255FB">
              <w:t>(7</w:t>
            </w:r>
            <w:r>
              <w:t>,</w:t>
            </w:r>
            <w:r w:rsidRPr="00D255FB">
              <w:t>416</w:t>
            </w:r>
            <w:r>
              <w:t>,</w:t>
            </w:r>
            <w:r w:rsidRPr="00D255FB">
              <w:t>769)</w:t>
            </w:r>
          </w:p>
        </w:tc>
        <w:tc>
          <w:tcPr>
            <w:tcW w:w="1630" w:type="dxa"/>
            <w:shd w:val="clear" w:color="auto" w:fill="auto"/>
            <w:vAlign w:val="center"/>
          </w:tcPr>
          <w:p w14:paraId="4DC20EDF" w14:textId="77777777" w:rsidR="00086DF1" w:rsidRPr="00D255FB" w:rsidRDefault="00086DF1" w:rsidP="00DC062C">
            <w:pPr>
              <w:pStyle w:val="08-Tabelageral"/>
            </w:pPr>
            <w:r w:rsidRPr="00D255FB">
              <w:t>7</w:t>
            </w:r>
            <w:r>
              <w:t>,</w:t>
            </w:r>
            <w:r w:rsidRPr="00D255FB">
              <w:t>596</w:t>
            </w:r>
            <w:r>
              <w:t>,</w:t>
            </w:r>
            <w:r w:rsidRPr="00D255FB">
              <w:t>101</w:t>
            </w:r>
          </w:p>
        </w:tc>
      </w:tr>
      <w:tr w:rsidR="00086DF1" w:rsidRPr="00B0013B" w14:paraId="7A44FD07" w14:textId="77777777" w:rsidTr="00DC062C">
        <w:trPr>
          <w:trHeight w:hRule="exact" w:val="238"/>
        </w:trPr>
        <w:tc>
          <w:tcPr>
            <w:tcW w:w="3119" w:type="dxa"/>
            <w:tcBorders>
              <w:bottom w:val="single" w:sz="2" w:space="0" w:color="1F4E79" w:themeColor="accent1" w:themeShade="80"/>
            </w:tcBorders>
            <w:shd w:val="clear" w:color="auto" w:fill="auto"/>
          </w:tcPr>
          <w:p w14:paraId="1C03B7AA" w14:textId="77777777" w:rsidR="00086DF1" w:rsidRPr="00B0013B" w:rsidRDefault="00086DF1" w:rsidP="00DC062C">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center"/>
          </w:tcPr>
          <w:p w14:paraId="55A9B379" w14:textId="77777777" w:rsidR="00086DF1" w:rsidRPr="00D255FB" w:rsidRDefault="00086DF1" w:rsidP="00DC062C">
            <w:pPr>
              <w:pStyle w:val="08-Tabelageral"/>
              <w:rPr>
                <w:b/>
              </w:rPr>
            </w:pPr>
            <w:r w:rsidRPr="00D255FB">
              <w:rPr>
                <w:b/>
                <w:bCs/>
              </w:rPr>
              <w:t>21</w:t>
            </w:r>
            <w:r>
              <w:rPr>
                <w:b/>
                <w:bCs/>
              </w:rPr>
              <w:t>,</w:t>
            </w:r>
            <w:r w:rsidRPr="00D255FB">
              <w:rPr>
                <w:b/>
                <w:bCs/>
              </w:rPr>
              <w:t>181</w:t>
            </w:r>
            <w:r>
              <w:rPr>
                <w:b/>
                <w:bCs/>
              </w:rPr>
              <w:t>,</w:t>
            </w:r>
            <w:r w:rsidRPr="00D255FB">
              <w:rPr>
                <w:b/>
                <w:bCs/>
              </w:rPr>
              <w:t>716</w:t>
            </w:r>
          </w:p>
        </w:tc>
        <w:tc>
          <w:tcPr>
            <w:tcW w:w="1630" w:type="dxa"/>
            <w:tcBorders>
              <w:bottom w:val="single" w:sz="2" w:space="0" w:color="1F4E79" w:themeColor="accent1" w:themeShade="80"/>
            </w:tcBorders>
            <w:shd w:val="clear" w:color="auto" w:fill="auto"/>
            <w:vAlign w:val="center"/>
          </w:tcPr>
          <w:p w14:paraId="6A570411" w14:textId="77777777" w:rsidR="00086DF1" w:rsidRPr="00D255FB" w:rsidRDefault="00086DF1" w:rsidP="00DC062C">
            <w:pPr>
              <w:pStyle w:val="08-Tabelageral"/>
              <w:rPr>
                <w:b/>
              </w:rPr>
            </w:pPr>
            <w:r w:rsidRPr="00D255FB">
              <w:rPr>
                <w:b/>
                <w:bCs/>
              </w:rPr>
              <w:t>6</w:t>
            </w:r>
            <w:r>
              <w:rPr>
                <w:b/>
                <w:bCs/>
              </w:rPr>
              <w:t>,</w:t>
            </w:r>
            <w:r w:rsidRPr="00D255FB">
              <w:rPr>
                <w:b/>
                <w:bCs/>
              </w:rPr>
              <w:t>057</w:t>
            </w:r>
            <w:r>
              <w:rPr>
                <w:b/>
                <w:bCs/>
              </w:rPr>
              <w:t>,</w:t>
            </w:r>
            <w:r w:rsidRPr="00D255FB">
              <w:rPr>
                <w:b/>
                <w:bCs/>
              </w:rPr>
              <w:t>605</w:t>
            </w:r>
          </w:p>
        </w:tc>
        <w:tc>
          <w:tcPr>
            <w:tcW w:w="1630" w:type="dxa"/>
            <w:tcBorders>
              <w:bottom w:val="single" w:sz="2" w:space="0" w:color="1F4E79" w:themeColor="accent1" w:themeShade="80"/>
            </w:tcBorders>
            <w:shd w:val="clear" w:color="auto" w:fill="auto"/>
            <w:vAlign w:val="center"/>
          </w:tcPr>
          <w:p w14:paraId="2743FB96" w14:textId="77777777" w:rsidR="00086DF1" w:rsidRPr="00D255FB" w:rsidRDefault="00086DF1" w:rsidP="00DC062C">
            <w:pPr>
              <w:pStyle w:val="08-Tabelageral"/>
              <w:rPr>
                <w:b/>
              </w:rPr>
            </w:pPr>
            <w:r w:rsidRPr="00D255FB">
              <w:rPr>
                <w:b/>
                <w:bCs/>
              </w:rPr>
              <w:t>(11</w:t>
            </w:r>
            <w:r>
              <w:rPr>
                <w:b/>
                <w:bCs/>
              </w:rPr>
              <w:t>,</w:t>
            </w:r>
            <w:r w:rsidRPr="00D255FB">
              <w:rPr>
                <w:b/>
                <w:bCs/>
              </w:rPr>
              <w:t>109</w:t>
            </w:r>
            <w:r>
              <w:rPr>
                <w:b/>
                <w:bCs/>
              </w:rPr>
              <w:t>,</w:t>
            </w:r>
            <w:r w:rsidRPr="00D255FB">
              <w:rPr>
                <w:b/>
                <w:bCs/>
              </w:rPr>
              <w:t>489)</w:t>
            </w:r>
          </w:p>
        </w:tc>
        <w:tc>
          <w:tcPr>
            <w:tcW w:w="1630" w:type="dxa"/>
            <w:tcBorders>
              <w:bottom w:val="single" w:sz="2" w:space="0" w:color="1F4E79" w:themeColor="accent1" w:themeShade="80"/>
            </w:tcBorders>
            <w:shd w:val="clear" w:color="auto" w:fill="auto"/>
            <w:vAlign w:val="center"/>
          </w:tcPr>
          <w:p w14:paraId="7617632F" w14:textId="77777777" w:rsidR="00086DF1" w:rsidRPr="00D255FB" w:rsidRDefault="00086DF1" w:rsidP="00DC062C">
            <w:pPr>
              <w:pStyle w:val="08-Tabelageral"/>
              <w:rPr>
                <w:b/>
              </w:rPr>
            </w:pPr>
            <w:r w:rsidRPr="00D255FB">
              <w:rPr>
                <w:b/>
                <w:bCs/>
              </w:rPr>
              <w:t>16</w:t>
            </w:r>
            <w:r>
              <w:rPr>
                <w:b/>
                <w:bCs/>
              </w:rPr>
              <w:t>,</w:t>
            </w:r>
            <w:r w:rsidRPr="00D255FB">
              <w:rPr>
                <w:b/>
                <w:bCs/>
              </w:rPr>
              <w:t>129</w:t>
            </w:r>
            <w:r>
              <w:rPr>
                <w:b/>
                <w:bCs/>
              </w:rPr>
              <w:t>,</w:t>
            </w:r>
            <w:r w:rsidRPr="00D255FB">
              <w:rPr>
                <w:b/>
                <w:bCs/>
              </w:rPr>
              <w:t>832</w:t>
            </w:r>
          </w:p>
        </w:tc>
      </w:tr>
      <w:bookmarkEnd w:id="27"/>
    </w:tbl>
    <w:p w14:paraId="43ABF898" w14:textId="77777777" w:rsidR="00086DF1" w:rsidRDefault="00086DF1" w:rsidP="00DC062C">
      <w:pPr>
        <w:pStyle w:val="05-Textonormal"/>
        <w:spacing w:after="0"/>
        <w:rPr>
          <w:b/>
          <w:sz w:val="14"/>
          <w:lang w:val="en-US"/>
        </w:rPr>
      </w:pPr>
    </w:p>
    <w:p w14:paraId="7F37C05F" w14:textId="61744752" w:rsidR="00BF17E4" w:rsidRDefault="00BF17E4" w:rsidP="00FC4475">
      <w:pPr>
        <w:pStyle w:val="Ttulo1"/>
      </w:pPr>
    </w:p>
    <w:p w14:paraId="66CA8E62" w14:textId="77777777" w:rsidR="00BF17E4" w:rsidRDefault="00BF17E4">
      <w:pPr>
        <w:rPr>
          <w:rFonts w:eastAsia="Times New Roman" w:cs="Arial"/>
          <w:b/>
          <w:bCs/>
          <w:color w:val="1F4E79" w:themeColor="accent1" w:themeShade="80"/>
          <w:sz w:val="20"/>
          <w:szCs w:val="20"/>
          <w:lang w:val="en-US" w:eastAsia="pt-BR"/>
        </w:rPr>
      </w:pPr>
      <w:r>
        <w:br w:type="page"/>
      </w:r>
    </w:p>
    <w:p w14:paraId="2E41AD64" w14:textId="03835C30" w:rsidR="006A362F" w:rsidRPr="00751C98" w:rsidRDefault="006A362F" w:rsidP="00F338DA">
      <w:pPr>
        <w:pStyle w:val="Ttulo1"/>
        <w:rPr>
          <w:b w:val="0"/>
        </w:rPr>
      </w:pPr>
      <w:bookmarkStart w:id="28" w:name="_Toc134823571"/>
      <w:r w:rsidRPr="00751C98">
        <w:lastRenderedPageBreak/>
        <w:t>7 - INVESTMENTS IN ASSOCIATES</w:t>
      </w:r>
      <w:bookmarkEnd w:id="28"/>
    </w:p>
    <w:p w14:paraId="28A592D9" w14:textId="77777777" w:rsidR="006A362F" w:rsidRPr="00CF49A3" w:rsidRDefault="006A362F" w:rsidP="00CF49A3">
      <w:pPr>
        <w:pStyle w:val="01-TtulodeNota"/>
        <w:rPr>
          <w:color w:val="1F4E79" w:themeColor="accent1" w:themeShade="80"/>
          <w:lang w:val="en-US"/>
        </w:rPr>
      </w:pPr>
      <w:r w:rsidRPr="00CF49A3">
        <w:rPr>
          <w:color w:val="1F4E79" w:themeColor="accent1" w:themeShade="80"/>
          <w:lang w:val="en-US"/>
        </w:rPr>
        <w:t>a) Description of Investments in Equity Holdings, by business segment</w:t>
      </w:r>
    </w:p>
    <w:p w14:paraId="72FF472D" w14:textId="77777777" w:rsidR="006A362F" w:rsidRPr="00E22381" w:rsidRDefault="006A362F" w:rsidP="00D372BE">
      <w:pPr>
        <w:rPr>
          <w:rFonts w:cs="Arial"/>
          <w:sz w:val="2"/>
          <w:szCs w:val="2"/>
          <w:lang w:val="en-US" w:eastAsia="pt-BR"/>
        </w:rPr>
      </w:pPr>
    </w:p>
    <w:tbl>
      <w:tblPr>
        <w:tblStyle w:val="TabeladeLista6Colorida-nfase510"/>
        <w:tblW w:w="9639" w:type="dxa"/>
        <w:jc w:val="center"/>
        <w:tblInd w:w="0" w:type="dxa"/>
        <w:tblLayout w:type="fixed"/>
        <w:tblLook w:val="04A0" w:firstRow="1" w:lastRow="0" w:firstColumn="1" w:lastColumn="0" w:noHBand="0" w:noVBand="1"/>
      </w:tblPr>
      <w:tblGrid>
        <w:gridCol w:w="897"/>
        <w:gridCol w:w="1268"/>
        <w:gridCol w:w="1592"/>
        <w:gridCol w:w="1851"/>
        <w:gridCol w:w="1249"/>
        <w:gridCol w:w="581"/>
        <w:gridCol w:w="675"/>
        <w:gridCol w:w="724"/>
        <w:gridCol w:w="802"/>
      </w:tblGrid>
      <w:tr w:rsidR="006A362F" w:rsidRPr="00466C18" w14:paraId="69A83945" w14:textId="77777777" w:rsidTr="006218DC">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val="restart"/>
            <w:tcBorders>
              <w:top w:val="single" w:sz="2" w:space="0" w:color="1F4E79" w:themeColor="accent1" w:themeShade="80"/>
            </w:tcBorders>
            <w:shd w:val="clear" w:color="auto" w:fill="auto"/>
            <w:vAlign w:val="center"/>
          </w:tcPr>
          <w:p w14:paraId="465A79F7" w14:textId="77777777" w:rsidR="006A362F" w:rsidRPr="004369A3" w:rsidRDefault="006A362F" w:rsidP="007333CF">
            <w:pPr>
              <w:jc w:val="center"/>
              <w:rPr>
                <w:rFonts w:cs="Arial"/>
                <w:sz w:val="14"/>
                <w:szCs w:val="14"/>
              </w:rPr>
            </w:pPr>
            <w:r w:rsidRPr="004369A3">
              <w:rPr>
                <w:rFonts w:cs="Arial"/>
                <w:sz w:val="14"/>
                <w:szCs w:val="14"/>
                <w:lang w:val="en-US"/>
              </w:rPr>
              <w:t>Segment</w:t>
            </w:r>
          </w:p>
        </w:tc>
        <w:tc>
          <w:tcPr>
            <w:tcW w:w="1268" w:type="dxa"/>
            <w:vMerge w:val="restart"/>
            <w:tcBorders>
              <w:top w:val="single" w:sz="2" w:space="0" w:color="1F4E79" w:themeColor="accent1" w:themeShade="80"/>
            </w:tcBorders>
            <w:shd w:val="clear" w:color="auto" w:fill="auto"/>
            <w:vAlign w:val="center"/>
          </w:tcPr>
          <w:p w14:paraId="1805D2DF" w14:textId="77777777" w:rsidR="006A362F" w:rsidRPr="004369A3" w:rsidRDefault="006A362F" w:rsidP="007333CF">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Line of business</w:t>
            </w:r>
          </w:p>
        </w:tc>
        <w:tc>
          <w:tcPr>
            <w:tcW w:w="1592" w:type="dxa"/>
            <w:vMerge w:val="restart"/>
            <w:tcBorders>
              <w:top w:val="single" w:sz="2" w:space="0" w:color="1F4E79" w:themeColor="accent1" w:themeShade="80"/>
            </w:tcBorders>
            <w:shd w:val="clear" w:color="auto" w:fill="auto"/>
            <w:vAlign w:val="center"/>
          </w:tcPr>
          <w:p w14:paraId="32777C32" w14:textId="77777777" w:rsidR="006A362F" w:rsidRPr="004369A3" w:rsidRDefault="006A362F" w:rsidP="007333CF">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rPr>
              <w:t>Company</w:t>
            </w:r>
          </w:p>
        </w:tc>
        <w:tc>
          <w:tcPr>
            <w:tcW w:w="1851" w:type="dxa"/>
            <w:vMerge w:val="restart"/>
            <w:tcBorders>
              <w:top w:val="single" w:sz="2" w:space="0" w:color="1F4E79" w:themeColor="accent1" w:themeShade="80"/>
            </w:tcBorders>
            <w:shd w:val="clear" w:color="auto" w:fill="auto"/>
            <w:vAlign w:val="center"/>
          </w:tcPr>
          <w:p w14:paraId="2CE45312" w14:textId="77777777" w:rsidR="006A362F" w:rsidRPr="004369A3" w:rsidRDefault="006A362F" w:rsidP="007333CF">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Description</w:t>
            </w:r>
          </w:p>
        </w:tc>
        <w:tc>
          <w:tcPr>
            <w:tcW w:w="1249" w:type="dxa"/>
            <w:vMerge w:val="restart"/>
            <w:tcBorders>
              <w:top w:val="single" w:sz="2" w:space="0" w:color="1F4E79" w:themeColor="accent1" w:themeShade="80"/>
            </w:tcBorders>
            <w:shd w:val="clear" w:color="auto" w:fill="auto"/>
            <w:vAlign w:val="center"/>
          </w:tcPr>
          <w:p w14:paraId="4E53A943" w14:textId="77777777" w:rsidR="006A362F" w:rsidRPr="004369A3" w:rsidRDefault="006A362F" w:rsidP="007333CF">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Original Acconting Practice</w:t>
            </w:r>
          </w:p>
        </w:tc>
        <w:tc>
          <w:tcPr>
            <w:tcW w:w="581" w:type="dxa"/>
            <w:tcBorders>
              <w:top w:val="single" w:sz="2" w:space="0" w:color="1F4E79" w:themeColor="accent1" w:themeShade="80"/>
              <w:bottom w:val="single" w:sz="2" w:space="0" w:color="1F4E79" w:themeColor="accent1" w:themeShade="80"/>
            </w:tcBorders>
            <w:shd w:val="clear" w:color="auto" w:fill="auto"/>
          </w:tcPr>
          <w:p w14:paraId="7A91535E" w14:textId="77777777" w:rsidR="006A362F" w:rsidRPr="004369A3" w:rsidRDefault="006A362F" w:rsidP="009B18D3">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201" w:type="dxa"/>
            <w:gridSpan w:val="3"/>
            <w:tcBorders>
              <w:top w:val="single" w:sz="2" w:space="0" w:color="1F4E79" w:themeColor="accent1" w:themeShade="80"/>
              <w:bottom w:val="single" w:sz="2" w:space="0" w:color="1F4E79" w:themeColor="accent1" w:themeShade="80"/>
            </w:tcBorders>
            <w:shd w:val="clear" w:color="auto" w:fill="auto"/>
          </w:tcPr>
          <w:p w14:paraId="343829CC" w14:textId="77777777" w:rsidR="006A362F" w:rsidRPr="00944050" w:rsidRDefault="006A362F" w:rsidP="00547B4B">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r>
            <w:r>
              <w:rPr>
                <w:rFonts w:cs="Arial"/>
                <w:szCs w:val="14"/>
                <w:lang w:val="en-US"/>
              </w:rPr>
              <w:t xml:space="preserve">Mar </w:t>
            </w:r>
            <w:r w:rsidRPr="00944050">
              <w:rPr>
                <w:rFonts w:cs="Arial"/>
                <w:szCs w:val="14"/>
                <w:lang w:val="en-US"/>
              </w:rPr>
              <w:t>3</w:t>
            </w:r>
            <w:r>
              <w:rPr>
                <w:rFonts w:cs="Arial"/>
                <w:szCs w:val="14"/>
                <w:lang w:val="en-US"/>
              </w:rPr>
              <w:t xml:space="preserve">1, </w:t>
            </w:r>
            <w:r w:rsidRPr="00944050">
              <w:rPr>
                <w:rFonts w:cs="Arial"/>
                <w:szCs w:val="14"/>
                <w:lang w:val="en-US"/>
              </w:rPr>
              <w:t>202</w:t>
            </w:r>
            <w:r>
              <w:rPr>
                <w:rFonts w:cs="Arial"/>
                <w:szCs w:val="14"/>
                <w:lang w:val="en-US"/>
              </w:rPr>
              <w:t>3</w:t>
            </w:r>
            <w:r w:rsidRPr="00944050">
              <w:rPr>
                <w:rFonts w:cs="Arial"/>
                <w:szCs w:val="14"/>
                <w:lang w:val="en-US"/>
              </w:rPr>
              <w:t xml:space="preserve"> and </w:t>
            </w:r>
            <w:r>
              <w:rPr>
                <w:rFonts w:cs="Arial"/>
                <w:szCs w:val="14"/>
                <w:lang w:val="en-US"/>
              </w:rPr>
              <w:t xml:space="preserve">Dec </w:t>
            </w:r>
            <w:r w:rsidRPr="00944050">
              <w:rPr>
                <w:rFonts w:cs="Arial"/>
                <w:szCs w:val="14"/>
                <w:lang w:val="en-US"/>
              </w:rPr>
              <w:t>31</w:t>
            </w:r>
            <w:r>
              <w:rPr>
                <w:rFonts w:cs="Arial"/>
                <w:szCs w:val="14"/>
                <w:lang w:val="en-US"/>
              </w:rPr>
              <w:t>, 2022</w:t>
            </w:r>
          </w:p>
        </w:tc>
      </w:tr>
      <w:tr w:rsidR="006A362F" w:rsidRPr="00E22381" w14:paraId="2478F67D" w14:textId="77777777" w:rsidTr="006218DC">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897" w:type="dxa"/>
            <w:vMerge/>
            <w:tcBorders>
              <w:bottom w:val="single" w:sz="2" w:space="0" w:color="1F4E79" w:themeColor="accent1" w:themeShade="80"/>
            </w:tcBorders>
            <w:shd w:val="clear" w:color="auto" w:fill="auto"/>
            <w:vAlign w:val="center"/>
          </w:tcPr>
          <w:p w14:paraId="75A9F4D0" w14:textId="77777777" w:rsidR="006A362F" w:rsidRPr="00944050" w:rsidRDefault="006A362F" w:rsidP="00B95357">
            <w:pPr>
              <w:rPr>
                <w:rFonts w:cs="Arial"/>
                <w:sz w:val="14"/>
                <w:szCs w:val="14"/>
                <w:highlight w:val="yellow"/>
                <w:lang w:val="en-US"/>
              </w:rPr>
            </w:pPr>
          </w:p>
        </w:tc>
        <w:tc>
          <w:tcPr>
            <w:tcW w:w="1268" w:type="dxa"/>
            <w:vMerge/>
            <w:tcBorders>
              <w:bottom w:val="single" w:sz="4" w:space="0" w:color="1F4E79" w:themeColor="accent1" w:themeShade="80"/>
            </w:tcBorders>
            <w:shd w:val="clear" w:color="auto" w:fill="auto"/>
          </w:tcPr>
          <w:p w14:paraId="1421CD38" w14:textId="77777777" w:rsidR="006A362F" w:rsidRPr="00944050" w:rsidRDefault="006A362F"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592" w:type="dxa"/>
            <w:vMerge/>
            <w:tcBorders>
              <w:bottom w:val="single" w:sz="4" w:space="0" w:color="1F4E79" w:themeColor="accent1" w:themeShade="80"/>
            </w:tcBorders>
            <w:shd w:val="clear" w:color="auto" w:fill="auto"/>
          </w:tcPr>
          <w:p w14:paraId="6FCAA858" w14:textId="77777777" w:rsidR="006A362F" w:rsidRPr="00944050" w:rsidRDefault="006A362F"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851" w:type="dxa"/>
            <w:vMerge/>
            <w:tcBorders>
              <w:bottom w:val="single" w:sz="4" w:space="0" w:color="1F4E79" w:themeColor="accent1" w:themeShade="80"/>
            </w:tcBorders>
            <w:shd w:val="clear" w:color="auto" w:fill="auto"/>
            <w:vAlign w:val="center"/>
          </w:tcPr>
          <w:p w14:paraId="4CA9315A" w14:textId="77777777" w:rsidR="006A362F" w:rsidRPr="00944050" w:rsidRDefault="006A362F"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249" w:type="dxa"/>
            <w:vMerge/>
            <w:tcBorders>
              <w:bottom w:val="single" w:sz="4" w:space="0" w:color="1F4E79" w:themeColor="accent1" w:themeShade="80"/>
            </w:tcBorders>
            <w:shd w:val="clear" w:color="auto" w:fill="auto"/>
            <w:vAlign w:val="center"/>
          </w:tcPr>
          <w:p w14:paraId="11D72D6E" w14:textId="77777777" w:rsidR="006A362F" w:rsidRPr="00944050" w:rsidRDefault="006A362F"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lang w:val="en-US"/>
              </w:rPr>
            </w:pPr>
          </w:p>
        </w:tc>
        <w:tc>
          <w:tcPr>
            <w:tcW w:w="581" w:type="dxa"/>
            <w:tcBorders>
              <w:top w:val="single" w:sz="2" w:space="0" w:color="1F4E79" w:themeColor="accent1" w:themeShade="80"/>
              <w:bottom w:val="single" w:sz="4" w:space="0" w:color="1F4E79" w:themeColor="accent1" w:themeShade="80"/>
            </w:tcBorders>
            <w:shd w:val="clear" w:color="auto" w:fill="auto"/>
          </w:tcPr>
          <w:p w14:paraId="06F67F60" w14:textId="77777777" w:rsidR="006A362F" w:rsidRPr="00475564" w:rsidRDefault="006A362F"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lang w:val="en-US"/>
              </w:rPr>
            </w:pPr>
          </w:p>
        </w:tc>
        <w:tc>
          <w:tcPr>
            <w:tcW w:w="675" w:type="dxa"/>
            <w:tcBorders>
              <w:top w:val="single" w:sz="2" w:space="0" w:color="1F4E79" w:themeColor="accent1" w:themeShade="80"/>
              <w:bottom w:val="single" w:sz="4" w:space="0" w:color="1F4E79" w:themeColor="accent1" w:themeShade="80"/>
            </w:tcBorders>
            <w:shd w:val="clear" w:color="auto" w:fill="auto"/>
            <w:vAlign w:val="center"/>
          </w:tcPr>
          <w:p w14:paraId="39813202" w14:textId="77777777" w:rsidR="006A362F" w:rsidRPr="004369A3" w:rsidRDefault="006A362F"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ON</w:t>
            </w:r>
          </w:p>
        </w:tc>
        <w:tc>
          <w:tcPr>
            <w:tcW w:w="724" w:type="dxa"/>
            <w:tcBorders>
              <w:top w:val="single" w:sz="2" w:space="0" w:color="1F4E79" w:themeColor="accent1" w:themeShade="80"/>
              <w:bottom w:val="single" w:sz="4" w:space="0" w:color="1F4E79" w:themeColor="accent1" w:themeShade="80"/>
            </w:tcBorders>
            <w:shd w:val="clear" w:color="auto" w:fill="auto"/>
            <w:vAlign w:val="center"/>
          </w:tcPr>
          <w:p w14:paraId="2C68500B" w14:textId="77777777" w:rsidR="006A362F" w:rsidRPr="004369A3" w:rsidRDefault="006A362F"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sz w:val="14"/>
                <w:szCs w:val="14"/>
              </w:rPr>
              <w:t>PN</w:t>
            </w:r>
          </w:p>
        </w:tc>
        <w:tc>
          <w:tcPr>
            <w:tcW w:w="802" w:type="dxa"/>
            <w:tcBorders>
              <w:top w:val="single" w:sz="2" w:space="0" w:color="1F4E79" w:themeColor="accent1" w:themeShade="80"/>
              <w:bottom w:val="single" w:sz="4" w:space="0" w:color="1F4E79" w:themeColor="accent1" w:themeShade="80"/>
            </w:tcBorders>
            <w:shd w:val="clear" w:color="auto" w:fill="auto"/>
            <w:vAlign w:val="center"/>
          </w:tcPr>
          <w:p w14:paraId="38D37D41" w14:textId="77777777" w:rsidR="006A362F" w:rsidRPr="004369A3" w:rsidRDefault="006A362F"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Total</w:t>
            </w:r>
          </w:p>
        </w:tc>
      </w:tr>
      <w:tr w:rsidR="006A362F" w:rsidRPr="00E22381" w14:paraId="00EB1858" w14:textId="77777777" w:rsidTr="006218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val="restart"/>
            <w:tcBorders>
              <w:top w:val="single" w:sz="2" w:space="0" w:color="1F4E79" w:themeColor="accent1" w:themeShade="80"/>
              <w:left w:val="nil"/>
              <w:bottom w:val="single" w:sz="2" w:space="0" w:color="1F4E79" w:themeColor="accent1" w:themeShade="80"/>
              <w:right w:val="single" w:sz="4" w:space="0" w:color="1F4E79" w:themeColor="accent1" w:themeShade="80"/>
            </w:tcBorders>
            <w:shd w:val="clear" w:color="auto" w:fill="auto"/>
            <w:vAlign w:val="center"/>
          </w:tcPr>
          <w:p w14:paraId="4F94E503" w14:textId="77777777" w:rsidR="006A362F" w:rsidRPr="004369A3" w:rsidRDefault="006A362F" w:rsidP="00B95357">
            <w:pPr>
              <w:pStyle w:val="08-Tabelageral"/>
              <w:jc w:val="center"/>
              <w:rPr>
                <w:rFonts w:cs="Arial"/>
                <w:bCs w:val="0"/>
                <w:szCs w:val="14"/>
              </w:rPr>
            </w:pPr>
            <w:r w:rsidRPr="004369A3">
              <w:rPr>
                <w:rFonts w:cs="Arial"/>
                <w:bCs w:val="0"/>
                <w:szCs w:val="14"/>
              </w:rPr>
              <w:t>Security</w:t>
            </w:r>
          </w:p>
        </w:tc>
        <w:tc>
          <w:tcPr>
            <w:tcW w:w="1268" w:type="dxa"/>
            <w:tcBorders>
              <w:top w:val="single" w:sz="4" w:space="0" w:color="1F4E79" w:themeColor="accent1" w:themeShade="80"/>
              <w:left w:val="single" w:sz="4"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1E22887F" w14:textId="77777777" w:rsidR="006A362F" w:rsidRPr="004369A3" w:rsidRDefault="006A362F"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92" w:type="dxa"/>
            <w:tcBorders>
              <w:top w:val="single" w:sz="4"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2DDB32E6" w14:textId="77777777" w:rsidR="006A362F" w:rsidRPr="004369A3" w:rsidRDefault="006A362F"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1851" w:type="dxa"/>
            <w:tcBorders>
              <w:top w:val="single" w:sz="4" w:space="0" w:color="1F4E79" w:themeColor="accent1" w:themeShade="80"/>
              <w:bottom w:val="single" w:sz="2" w:space="0" w:color="1F4E79" w:themeColor="accent1" w:themeShade="80"/>
            </w:tcBorders>
            <w:shd w:val="clear" w:color="auto" w:fill="auto"/>
            <w:vAlign w:val="center"/>
          </w:tcPr>
          <w:p w14:paraId="4D3C7553" w14:textId="77777777" w:rsidR="006A362F" w:rsidRPr="004369A3" w:rsidRDefault="006A362F" w:rsidP="001E7B1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lang w:val="en-US"/>
              </w:rPr>
            </w:pPr>
            <w:r w:rsidRPr="001E7B1C">
              <w:rPr>
                <w:rStyle w:val="tlid-translation"/>
                <w:rFonts w:cs="Arial"/>
                <w:szCs w:val="14"/>
                <w:lang w:val="en"/>
              </w:rPr>
              <w:t>Holding of insurance companies, capitalization companies, open supplementary pension entities and companies that operate health care plans.</w:t>
            </w:r>
          </w:p>
        </w:tc>
        <w:tc>
          <w:tcPr>
            <w:tcW w:w="1249" w:type="dxa"/>
            <w:tcBorders>
              <w:top w:val="single" w:sz="4" w:space="0" w:color="1F4E79" w:themeColor="accent1" w:themeShade="80"/>
              <w:bottom w:val="single" w:sz="2" w:space="0" w:color="1F4E79" w:themeColor="accent1" w:themeShade="80"/>
            </w:tcBorders>
            <w:shd w:val="clear" w:color="auto" w:fill="auto"/>
            <w:vAlign w:val="center"/>
          </w:tcPr>
          <w:p w14:paraId="236DCDD7"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581" w:type="dxa"/>
            <w:tcBorders>
              <w:top w:val="single" w:sz="4" w:space="0" w:color="1F4E79" w:themeColor="accent1" w:themeShade="80"/>
              <w:bottom w:val="single" w:sz="2" w:space="0" w:color="1F4E79" w:themeColor="accent1" w:themeShade="80"/>
            </w:tcBorders>
            <w:shd w:val="clear" w:color="auto" w:fill="auto"/>
          </w:tcPr>
          <w:p w14:paraId="467E7F08"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75" w:type="dxa"/>
            <w:tcBorders>
              <w:top w:val="single" w:sz="4" w:space="0" w:color="1F4E79" w:themeColor="accent1" w:themeShade="80"/>
              <w:bottom w:val="single" w:sz="2" w:space="0" w:color="1F4E79" w:themeColor="accent1" w:themeShade="80"/>
            </w:tcBorders>
            <w:shd w:val="clear" w:color="auto" w:fill="auto"/>
            <w:vAlign w:val="center"/>
          </w:tcPr>
          <w:p w14:paraId="7DDC2C25"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724" w:type="dxa"/>
            <w:tcBorders>
              <w:top w:val="single" w:sz="4" w:space="0" w:color="1F4E79" w:themeColor="accent1" w:themeShade="80"/>
              <w:bottom w:val="single" w:sz="2" w:space="0" w:color="1F4E79" w:themeColor="accent1" w:themeShade="80"/>
            </w:tcBorders>
            <w:shd w:val="clear" w:color="auto" w:fill="auto"/>
            <w:vAlign w:val="center"/>
          </w:tcPr>
          <w:p w14:paraId="02968A45"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802" w:type="dxa"/>
            <w:tcBorders>
              <w:top w:val="single" w:sz="4" w:space="0" w:color="1F4E79" w:themeColor="accent1" w:themeShade="80"/>
              <w:bottom w:val="single" w:sz="2" w:space="0" w:color="1F4E79" w:themeColor="accent1" w:themeShade="80"/>
            </w:tcBorders>
            <w:shd w:val="clear" w:color="auto" w:fill="auto"/>
            <w:vAlign w:val="center"/>
          </w:tcPr>
          <w:p w14:paraId="6443323C"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6A362F" w:rsidRPr="00E22381" w14:paraId="0B2C57E6" w14:textId="77777777" w:rsidTr="006218D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5611ABB4" w14:textId="77777777" w:rsidR="006A362F" w:rsidRPr="004369A3" w:rsidRDefault="006A362F" w:rsidP="00B95357">
            <w:pPr>
              <w:pStyle w:val="08-Tabelageral"/>
              <w:jc w:val="left"/>
              <w:rPr>
                <w:rFonts w:cs="Arial"/>
                <w:bCs w:val="0"/>
                <w:szCs w:val="14"/>
              </w:rPr>
            </w:pPr>
          </w:p>
        </w:tc>
        <w:tc>
          <w:tcPr>
            <w:tcW w:w="1268" w:type="dxa"/>
            <w:vMerge w:val="restart"/>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7EF4FA05" w14:textId="77777777" w:rsidR="006A362F" w:rsidRPr="004369A3" w:rsidRDefault="006A362F"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592" w:type="dxa"/>
            <w:tcBorders>
              <w:top w:val="single" w:sz="2" w:space="0" w:color="1F4E79" w:themeColor="accent1" w:themeShade="80"/>
              <w:left w:val="single" w:sz="4" w:space="0" w:color="1F4E79" w:themeColor="accent1" w:themeShade="80"/>
              <w:bottom w:val="nil"/>
            </w:tcBorders>
            <w:shd w:val="clear" w:color="auto" w:fill="auto"/>
            <w:vAlign w:val="center"/>
          </w:tcPr>
          <w:p w14:paraId="1728911F" w14:textId="77777777" w:rsidR="006A362F" w:rsidRPr="004369A3" w:rsidRDefault="006A362F"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 xml:space="preserve">BB </w:t>
            </w:r>
            <w:r>
              <w:rPr>
                <w:rFonts w:cs="Arial"/>
                <w:szCs w:val="14"/>
              </w:rPr>
              <w:t>MAPFRE</w:t>
            </w:r>
            <w:r w:rsidRPr="004369A3">
              <w:rPr>
                <w:rFonts w:cs="Arial"/>
                <w:szCs w:val="14"/>
              </w:rPr>
              <w:t xml:space="preserve"> Participações S.A. (BB Mapfre)</w:t>
            </w:r>
          </w:p>
        </w:tc>
        <w:tc>
          <w:tcPr>
            <w:tcW w:w="1851" w:type="dxa"/>
            <w:tcBorders>
              <w:top w:val="single" w:sz="2" w:space="0" w:color="1F4E79" w:themeColor="accent1" w:themeShade="80"/>
              <w:bottom w:val="nil"/>
            </w:tcBorders>
            <w:shd w:val="clear" w:color="auto" w:fill="auto"/>
            <w:vAlign w:val="center"/>
          </w:tcPr>
          <w:p w14:paraId="0A541D1E" w14:textId="77777777" w:rsidR="006A362F" w:rsidRPr="004369A3" w:rsidRDefault="006A362F" w:rsidP="001E7B1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E7B1C">
              <w:rPr>
                <w:rFonts w:cs="Arial"/>
                <w:iCs/>
                <w:szCs w:val="14"/>
                <w:lang w:val="en-US"/>
              </w:rPr>
              <w:t>Holding of other companies dedicated to the commercialization of personal, real estate and agricultural insurance.</w:t>
            </w:r>
          </w:p>
        </w:tc>
        <w:tc>
          <w:tcPr>
            <w:tcW w:w="1249" w:type="dxa"/>
            <w:tcBorders>
              <w:top w:val="single" w:sz="2" w:space="0" w:color="1F4E79" w:themeColor="accent1" w:themeShade="80"/>
              <w:bottom w:val="nil"/>
            </w:tcBorders>
            <w:shd w:val="clear" w:color="auto" w:fill="auto"/>
            <w:vAlign w:val="center"/>
          </w:tcPr>
          <w:p w14:paraId="57EDCCFB" w14:textId="77777777" w:rsidR="006A362F" w:rsidRPr="004369A3" w:rsidRDefault="006A362F"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BRGAAP</w:t>
            </w:r>
          </w:p>
        </w:tc>
        <w:tc>
          <w:tcPr>
            <w:tcW w:w="581" w:type="dxa"/>
            <w:tcBorders>
              <w:top w:val="single" w:sz="2" w:space="0" w:color="1F4E79" w:themeColor="accent1" w:themeShade="80"/>
              <w:bottom w:val="nil"/>
            </w:tcBorders>
            <w:shd w:val="clear" w:color="auto" w:fill="auto"/>
          </w:tcPr>
          <w:p w14:paraId="58DDA527" w14:textId="77777777" w:rsidR="006A362F" w:rsidRPr="004369A3" w:rsidRDefault="006A362F"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75" w:type="dxa"/>
            <w:tcBorders>
              <w:top w:val="single" w:sz="2" w:space="0" w:color="1F4E79" w:themeColor="accent1" w:themeShade="80"/>
              <w:bottom w:val="nil"/>
            </w:tcBorders>
            <w:shd w:val="clear" w:color="auto" w:fill="auto"/>
            <w:vAlign w:val="center"/>
          </w:tcPr>
          <w:p w14:paraId="4A15BF8E" w14:textId="77777777" w:rsidR="006A362F" w:rsidRPr="004369A3" w:rsidRDefault="006A362F"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24" w:type="dxa"/>
            <w:tcBorders>
              <w:top w:val="single" w:sz="2" w:space="0" w:color="1F4E79" w:themeColor="accent1" w:themeShade="80"/>
              <w:bottom w:val="nil"/>
            </w:tcBorders>
            <w:shd w:val="clear" w:color="auto" w:fill="auto"/>
            <w:vAlign w:val="center"/>
          </w:tcPr>
          <w:p w14:paraId="3F628420" w14:textId="77777777" w:rsidR="006A362F" w:rsidRPr="004369A3" w:rsidRDefault="006A362F"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802" w:type="dxa"/>
            <w:tcBorders>
              <w:top w:val="single" w:sz="2" w:space="0" w:color="1F4E79" w:themeColor="accent1" w:themeShade="80"/>
              <w:bottom w:val="nil"/>
            </w:tcBorders>
            <w:shd w:val="clear" w:color="auto" w:fill="auto"/>
            <w:vAlign w:val="center"/>
          </w:tcPr>
          <w:p w14:paraId="41739BC9" w14:textId="77777777" w:rsidR="006A362F" w:rsidRPr="004369A3" w:rsidRDefault="006A362F"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6A362F" w:rsidRPr="00E22381" w14:paraId="75F5424A" w14:textId="77777777" w:rsidTr="006218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3F34B8EB" w14:textId="77777777" w:rsidR="006A362F" w:rsidRPr="004369A3" w:rsidRDefault="006A362F" w:rsidP="00B95357">
            <w:pPr>
              <w:pStyle w:val="08-Tabelageral"/>
              <w:ind w:left="113"/>
              <w:jc w:val="left"/>
              <w:rPr>
                <w:rFonts w:cs="Arial"/>
                <w:b w:val="0"/>
                <w:bCs w:val="0"/>
                <w:szCs w:val="14"/>
                <w:highlight w:val="yellow"/>
              </w:rPr>
            </w:pPr>
          </w:p>
        </w:tc>
        <w:tc>
          <w:tcPr>
            <w:tcW w:w="1268" w:type="dxa"/>
            <w:vMerge/>
            <w:tcBorders>
              <w:top w:val="nil"/>
              <w:left w:val="single" w:sz="2" w:space="0" w:color="1F4E79" w:themeColor="accent1" w:themeShade="80"/>
              <w:bottom w:val="nil"/>
              <w:right w:val="single" w:sz="4" w:space="0" w:color="1F4E79" w:themeColor="accent1" w:themeShade="80"/>
            </w:tcBorders>
            <w:shd w:val="clear" w:color="auto" w:fill="auto"/>
            <w:vAlign w:val="center"/>
          </w:tcPr>
          <w:p w14:paraId="64A6E935"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left w:val="single" w:sz="4" w:space="0" w:color="1F4E79" w:themeColor="accent1" w:themeShade="80"/>
              <w:bottom w:val="nil"/>
            </w:tcBorders>
            <w:shd w:val="clear" w:color="auto" w:fill="auto"/>
            <w:vAlign w:val="center"/>
          </w:tcPr>
          <w:p w14:paraId="724D8E49" w14:textId="77777777" w:rsidR="006A362F" w:rsidRPr="004369A3" w:rsidRDefault="006A362F"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Brasilseg Companhia de Seguros S.A. (Brasilseg)</w:t>
            </w:r>
          </w:p>
        </w:tc>
        <w:tc>
          <w:tcPr>
            <w:tcW w:w="1851" w:type="dxa"/>
            <w:tcBorders>
              <w:top w:val="nil"/>
              <w:bottom w:val="nil"/>
            </w:tcBorders>
            <w:shd w:val="clear" w:color="auto" w:fill="auto"/>
            <w:vAlign w:val="center"/>
          </w:tcPr>
          <w:p w14:paraId="24588646" w14:textId="77777777" w:rsidR="006A362F" w:rsidRPr="004369A3" w:rsidRDefault="006A362F" w:rsidP="001E7B1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1E7B1C">
              <w:rPr>
                <w:rFonts w:cs="Arial"/>
                <w:iCs/>
                <w:szCs w:val="14"/>
                <w:lang w:val="en-US"/>
              </w:rPr>
              <w:t>Acting in the personal risk, rural insurance and housing insurance segment.</w:t>
            </w:r>
          </w:p>
        </w:tc>
        <w:tc>
          <w:tcPr>
            <w:tcW w:w="1249" w:type="dxa"/>
            <w:tcBorders>
              <w:top w:val="nil"/>
              <w:bottom w:val="nil"/>
            </w:tcBorders>
            <w:shd w:val="clear" w:color="auto" w:fill="auto"/>
            <w:vAlign w:val="center"/>
          </w:tcPr>
          <w:p w14:paraId="7323F9BA"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581" w:type="dxa"/>
            <w:tcBorders>
              <w:top w:val="nil"/>
              <w:bottom w:val="nil"/>
            </w:tcBorders>
            <w:shd w:val="clear" w:color="auto" w:fill="auto"/>
          </w:tcPr>
          <w:p w14:paraId="46304DA8"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75" w:type="dxa"/>
            <w:tcBorders>
              <w:top w:val="nil"/>
              <w:bottom w:val="nil"/>
            </w:tcBorders>
            <w:shd w:val="clear" w:color="auto" w:fill="auto"/>
            <w:vAlign w:val="center"/>
          </w:tcPr>
          <w:p w14:paraId="461FEDE3"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24" w:type="dxa"/>
            <w:tcBorders>
              <w:top w:val="nil"/>
              <w:bottom w:val="nil"/>
            </w:tcBorders>
            <w:shd w:val="clear" w:color="auto" w:fill="auto"/>
            <w:vAlign w:val="center"/>
          </w:tcPr>
          <w:p w14:paraId="51F5FEB9"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802" w:type="dxa"/>
            <w:tcBorders>
              <w:top w:val="nil"/>
              <w:bottom w:val="nil"/>
            </w:tcBorders>
            <w:shd w:val="clear" w:color="auto" w:fill="auto"/>
            <w:vAlign w:val="center"/>
          </w:tcPr>
          <w:p w14:paraId="6539D034" w14:textId="77777777" w:rsidR="006A362F" w:rsidRPr="004369A3" w:rsidRDefault="006A362F"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6A362F" w:rsidRPr="00E22381" w14:paraId="411FC0C1" w14:textId="77777777" w:rsidTr="006218D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5CFD0432" w14:textId="77777777" w:rsidR="006A362F" w:rsidRPr="004369A3" w:rsidRDefault="006A362F" w:rsidP="006218DC">
            <w:pPr>
              <w:pStyle w:val="08-Tabelageral"/>
              <w:ind w:left="113"/>
              <w:jc w:val="left"/>
              <w:rPr>
                <w:rFonts w:cs="Arial"/>
                <w:b w:val="0"/>
                <w:bCs w:val="0"/>
                <w:szCs w:val="14"/>
                <w:highlight w:val="yellow"/>
              </w:rPr>
            </w:pPr>
          </w:p>
        </w:tc>
        <w:tc>
          <w:tcPr>
            <w:tcW w:w="1268"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7196E0FB"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nil"/>
              <w:left w:val="single" w:sz="4" w:space="0" w:color="1F4E79" w:themeColor="accent1" w:themeShade="80"/>
              <w:bottom w:val="nil"/>
            </w:tcBorders>
            <w:shd w:val="clear" w:color="auto" w:fill="auto"/>
            <w:vAlign w:val="center"/>
          </w:tcPr>
          <w:p w14:paraId="4441EFD3"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1851" w:type="dxa"/>
            <w:tcBorders>
              <w:top w:val="nil"/>
              <w:bottom w:val="nil"/>
            </w:tcBorders>
            <w:shd w:val="clear" w:color="auto" w:fill="auto"/>
            <w:vAlign w:val="center"/>
          </w:tcPr>
          <w:p w14:paraId="309A4832" w14:textId="77777777" w:rsidR="006A362F" w:rsidRPr="0057175F"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Operating in the damage insurance segment.</w:t>
            </w:r>
          </w:p>
        </w:tc>
        <w:tc>
          <w:tcPr>
            <w:tcW w:w="1249" w:type="dxa"/>
            <w:tcBorders>
              <w:top w:val="nil"/>
              <w:bottom w:val="nil"/>
            </w:tcBorders>
            <w:shd w:val="clear" w:color="auto" w:fill="auto"/>
            <w:vAlign w:val="center"/>
          </w:tcPr>
          <w:p w14:paraId="29D07823"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SUSEPGAAP</w:t>
            </w:r>
          </w:p>
        </w:tc>
        <w:tc>
          <w:tcPr>
            <w:tcW w:w="581" w:type="dxa"/>
            <w:tcBorders>
              <w:top w:val="nil"/>
              <w:bottom w:val="nil"/>
            </w:tcBorders>
            <w:shd w:val="clear" w:color="auto" w:fill="auto"/>
          </w:tcPr>
          <w:p w14:paraId="3D9DA59D"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75" w:type="dxa"/>
            <w:tcBorders>
              <w:top w:val="nil"/>
              <w:bottom w:val="nil"/>
            </w:tcBorders>
            <w:shd w:val="clear" w:color="auto" w:fill="auto"/>
            <w:vAlign w:val="center"/>
          </w:tcPr>
          <w:p w14:paraId="63E75C23"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24" w:type="dxa"/>
            <w:tcBorders>
              <w:top w:val="nil"/>
              <w:bottom w:val="nil"/>
            </w:tcBorders>
            <w:shd w:val="clear" w:color="auto" w:fill="auto"/>
            <w:vAlign w:val="center"/>
          </w:tcPr>
          <w:p w14:paraId="3DC69E54" w14:textId="77777777" w:rsidR="006A362F"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bCs/>
              </w:rPr>
            </w:pPr>
            <w:r>
              <w:rPr>
                <w:bCs/>
              </w:rPr>
              <w:t>100,00</w:t>
            </w:r>
          </w:p>
        </w:tc>
        <w:tc>
          <w:tcPr>
            <w:tcW w:w="802" w:type="dxa"/>
            <w:tcBorders>
              <w:top w:val="nil"/>
              <w:bottom w:val="nil"/>
            </w:tcBorders>
            <w:shd w:val="clear" w:color="auto" w:fill="auto"/>
            <w:vAlign w:val="center"/>
          </w:tcPr>
          <w:p w14:paraId="07B4E0C6"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6A362F" w:rsidRPr="00E22381" w14:paraId="3E2583E2" w14:textId="77777777" w:rsidTr="006218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7A32881F" w14:textId="77777777" w:rsidR="006A362F" w:rsidRPr="004369A3" w:rsidRDefault="006A362F" w:rsidP="006218DC">
            <w:pPr>
              <w:pStyle w:val="08-Tabelageral"/>
              <w:ind w:left="113"/>
              <w:jc w:val="left"/>
              <w:rPr>
                <w:rFonts w:cs="Arial"/>
                <w:b w:val="0"/>
                <w:bCs w:val="0"/>
                <w:szCs w:val="14"/>
                <w:highlight w:val="yellow"/>
              </w:rPr>
            </w:pPr>
          </w:p>
        </w:tc>
        <w:tc>
          <w:tcPr>
            <w:tcW w:w="1268"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7F9D0F8F"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left w:val="single" w:sz="4" w:space="0" w:color="1F4E79" w:themeColor="accent1" w:themeShade="80"/>
              <w:bottom w:val="single" w:sz="2" w:space="0" w:color="1F4E79" w:themeColor="accent1" w:themeShade="80"/>
            </w:tcBorders>
            <w:shd w:val="clear" w:color="auto" w:fill="auto"/>
            <w:vAlign w:val="center"/>
          </w:tcPr>
          <w:p w14:paraId="476ADC5B"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Broto S.A</w:t>
            </w:r>
          </w:p>
        </w:tc>
        <w:tc>
          <w:tcPr>
            <w:tcW w:w="1851" w:type="dxa"/>
            <w:tcBorders>
              <w:top w:val="nil"/>
              <w:bottom w:val="single" w:sz="2" w:space="0" w:color="1F4E79" w:themeColor="accent1" w:themeShade="80"/>
            </w:tcBorders>
            <w:shd w:val="clear" w:color="auto" w:fill="auto"/>
            <w:vAlign w:val="center"/>
          </w:tcPr>
          <w:p w14:paraId="69946F30"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Pr>
                <w:rStyle w:val="rynqvb"/>
                <w:lang w:val="en"/>
              </w:rPr>
              <w:t>Intermediation and agency services and business in general.</w:t>
            </w:r>
          </w:p>
        </w:tc>
        <w:tc>
          <w:tcPr>
            <w:tcW w:w="1249" w:type="dxa"/>
            <w:tcBorders>
              <w:top w:val="nil"/>
              <w:bottom w:val="single" w:sz="2" w:space="0" w:color="1F4E79" w:themeColor="accent1" w:themeShade="80"/>
            </w:tcBorders>
            <w:shd w:val="clear" w:color="auto" w:fill="auto"/>
            <w:vAlign w:val="center"/>
          </w:tcPr>
          <w:p w14:paraId="7E7A865C"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szCs w:val="14"/>
              </w:rPr>
              <w:t>BRGAAP</w:t>
            </w:r>
          </w:p>
        </w:tc>
        <w:tc>
          <w:tcPr>
            <w:tcW w:w="581" w:type="dxa"/>
            <w:tcBorders>
              <w:top w:val="nil"/>
              <w:bottom w:val="single" w:sz="2" w:space="0" w:color="1F4E79" w:themeColor="accent1" w:themeShade="80"/>
            </w:tcBorders>
            <w:shd w:val="clear" w:color="auto" w:fill="auto"/>
          </w:tcPr>
          <w:p w14:paraId="3D817647"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75" w:type="dxa"/>
            <w:tcBorders>
              <w:top w:val="nil"/>
              <w:bottom w:val="single" w:sz="2" w:space="0" w:color="1F4E79" w:themeColor="accent1" w:themeShade="80"/>
            </w:tcBorders>
            <w:shd w:val="clear" w:color="auto" w:fill="auto"/>
            <w:vAlign w:val="center"/>
          </w:tcPr>
          <w:p w14:paraId="2AA34934"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24" w:type="dxa"/>
            <w:tcBorders>
              <w:top w:val="nil"/>
              <w:bottom w:val="single" w:sz="2" w:space="0" w:color="1F4E79" w:themeColor="accent1" w:themeShade="80"/>
            </w:tcBorders>
            <w:shd w:val="clear" w:color="auto" w:fill="auto"/>
            <w:vAlign w:val="center"/>
          </w:tcPr>
          <w:p w14:paraId="553C0756"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w:t>
            </w:r>
          </w:p>
        </w:tc>
        <w:tc>
          <w:tcPr>
            <w:tcW w:w="802" w:type="dxa"/>
            <w:tcBorders>
              <w:top w:val="nil"/>
              <w:bottom w:val="single" w:sz="2" w:space="0" w:color="1F4E79" w:themeColor="accent1" w:themeShade="80"/>
            </w:tcBorders>
            <w:shd w:val="clear" w:color="auto" w:fill="auto"/>
            <w:vAlign w:val="center"/>
          </w:tcPr>
          <w:p w14:paraId="7AF257F6"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50,00</w:t>
            </w:r>
          </w:p>
        </w:tc>
      </w:tr>
      <w:tr w:rsidR="006A362F" w:rsidRPr="00E22381" w14:paraId="2808802E" w14:textId="77777777" w:rsidTr="006218D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40415755" w14:textId="77777777" w:rsidR="006A362F" w:rsidRPr="004369A3" w:rsidRDefault="006A362F" w:rsidP="006218DC">
            <w:pPr>
              <w:pStyle w:val="08-Tabelageral"/>
              <w:ind w:left="113"/>
              <w:jc w:val="left"/>
              <w:rPr>
                <w:rFonts w:cs="Arial"/>
                <w:b w:val="0"/>
                <w:bCs w:val="0"/>
                <w:szCs w:val="14"/>
                <w:highlight w:val="yellow"/>
              </w:rPr>
            </w:pPr>
          </w:p>
        </w:tc>
        <w:tc>
          <w:tcPr>
            <w:tcW w:w="1268" w:type="dxa"/>
            <w:vMerge w:val="restart"/>
            <w:tcBorders>
              <w:top w:val="single" w:sz="2" w:space="0" w:color="1F4E79" w:themeColor="accent1" w:themeShade="80"/>
              <w:left w:val="single" w:sz="2" w:space="0" w:color="1F4E79" w:themeColor="accent1" w:themeShade="80"/>
              <w:right w:val="single" w:sz="4" w:space="0" w:color="1F4E79" w:themeColor="accent1" w:themeShade="80"/>
            </w:tcBorders>
            <w:shd w:val="clear" w:color="auto" w:fill="auto"/>
            <w:vAlign w:val="center"/>
          </w:tcPr>
          <w:p w14:paraId="25C036BD"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Capitalization</w:t>
            </w:r>
          </w:p>
        </w:tc>
        <w:tc>
          <w:tcPr>
            <w:tcW w:w="1592" w:type="dxa"/>
            <w:vMerge w:val="restart"/>
            <w:tcBorders>
              <w:top w:val="single" w:sz="2" w:space="0" w:color="1F4E79" w:themeColor="accent1" w:themeShade="80"/>
              <w:left w:val="single" w:sz="4" w:space="0" w:color="1F4E79" w:themeColor="accent1" w:themeShade="80"/>
            </w:tcBorders>
            <w:shd w:val="clear" w:color="auto" w:fill="auto"/>
            <w:vAlign w:val="center"/>
          </w:tcPr>
          <w:p w14:paraId="5A00C8D9"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Brasilcap Capitalização S.A. (Brasilcap)</w:t>
            </w:r>
          </w:p>
        </w:tc>
        <w:tc>
          <w:tcPr>
            <w:tcW w:w="1851" w:type="dxa"/>
            <w:vMerge w:val="restart"/>
            <w:tcBorders>
              <w:top w:val="single" w:sz="2" w:space="0" w:color="1F4E79" w:themeColor="accent1" w:themeShade="80"/>
            </w:tcBorders>
            <w:shd w:val="clear" w:color="auto" w:fill="auto"/>
            <w:vAlign w:val="center"/>
          </w:tcPr>
          <w:p w14:paraId="6B262504" w14:textId="77777777" w:rsidR="006A362F" w:rsidRPr="0057175F"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napToGrid w:val="0"/>
                <w:szCs w:val="14"/>
                <w:lang w:val="en-US"/>
              </w:rPr>
            </w:pPr>
            <w:r w:rsidRPr="0057175F">
              <w:rPr>
                <w:rFonts w:cs="Arial"/>
                <w:snapToGrid w:val="0"/>
                <w:szCs w:val="14"/>
                <w:lang w:val="en-US"/>
              </w:rPr>
              <w:t>It sells capitalization plans, as well as other products and services admitted to capitalization companies.</w:t>
            </w:r>
          </w:p>
        </w:tc>
        <w:tc>
          <w:tcPr>
            <w:tcW w:w="1249" w:type="dxa"/>
            <w:vMerge w:val="restart"/>
            <w:tcBorders>
              <w:top w:val="single" w:sz="2" w:space="0" w:color="1F4E79" w:themeColor="accent1" w:themeShade="80"/>
            </w:tcBorders>
            <w:shd w:val="clear" w:color="auto" w:fill="auto"/>
            <w:vAlign w:val="center"/>
          </w:tcPr>
          <w:p w14:paraId="3166F1C8"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SUSEPGAAP</w:t>
            </w:r>
          </w:p>
        </w:tc>
        <w:tc>
          <w:tcPr>
            <w:tcW w:w="581" w:type="dxa"/>
            <w:tcBorders>
              <w:top w:val="single" w:sz="2" w:space="0" w:color="1F4E79" w:themeColor="accent1" w:themeShade="80"/>
              <w:bottom w:val="nil"/>
            </w:tcBorders>
            <w:shd w:val="clear" w:color="auto" w:fill="auto"/>
          </w:tcPr>
          <w:p w14:paraId="55564BB7" w14:textId="77777777" w:rsidR="006A362F" w:rsidRPr="009B18D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675" w:type="dxa"/>
            <w:tcBorders>
              <w:top w:val="single" w:sz="2" w:space="0" w:color="1F4E79" w:themeColor="accent1" w:themeShade="80"/>
              <w:bottom w:val="nil"/>
            </w:tcBorders>
            <w:shd w:val="clear" w:color="auto" w:fill="auto"/>
            <w:vAlign w:val="center"/>
          </w:tcPr>
          <w:p w14:paraId="6AA37EF3" w14:textId="77777777" w:rsidR="006A362F" w:rsidRPr="001114F8"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bCs/>
                <w:sz w:val="6"/>
                <w:szCs w:val="6"/>
              </w:rPr>
            </w:pPr>
          </w:p>
          <w:p w14:paraId="1D4A1775" w14:textId="77777777" w:rsidR="006A362F" w:rsidRPr="001114F8"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p>
          <w:p w14:paraId="3E729B8D"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1114F8">
              <w:rPr>
                <w:bCs/>
              </w:rPr>
              <w:t>49,99</w:t>
            </w:r>
          </w:p>
        </w:tc>
        <w:tc>
          <w:tcPr>
            <w:tcW w:w="724" w:type="dxa"/>
            <w:tcBorders>
              <w:top w:val="single" w:sz="2" w:space="0" w:color="1F4E79" w:themeColor="accent1" w:themeShade="80"/>
              <w:bottom w:val="nil"/>
            </w:tcBorders>
            <w:shd w:val="clear" w:color="auto" w:fill="auto"/>
            <w:vAlign w:val="center"/>
          </w:tcPr>
          <w:p w14:paraId="4DC644F7" w14:textId="77777777" w:rsidR="006A362F"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bCs/>
              </w:rPr>
            </w:pPr>
          </w:p>
          <w:p w14:paraId="4A50A247" w14:textId="77777777" w:rsidR="006A362F"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bCs/>
              </w:rPr>
            </w:pPr>
            <w:r w:rsidRPr="001114F8">
              <w:rPr>
                <w:bCs/>
              </w:rPr>
              <w:t>86,43</w:t>
            </w:r>
          </w:p>
        </w:tc>
        <w:tc>
          <w:tcPr>
            <w:tcW w:w="802" w:type="dxa"/>
            <w:tcBorders>
              <w:top w:val="single" w:sz="2" w:space="0" w:color="1F4E79" w:themeColor="accent1" w:themeShade="80"/>
              <w:bottom w:val="nil"/>
            </w:tcBorders>
            <w:shd w:val="clear" w:color="auto" w:fill="auto"/>
            <w:vAlign w:val="center"/>
          </w:tcPr>
          <w:p w14:paraId="126E62E0" w14:textId="77777777" w:rsidR="006A362F" w:rsidRPr="001114F8"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p>
          <w:p w14:paraId="2FD3E020" w14:textId="77777777" w:rsidR="006A362F" w:rsidRPr="001114F8"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bCs/>
                <w:sz w:val="6"/>
                <w:szCs w:val="6"/>
              </w:rPr>
            </w:pPr>
          </w:p>
          <w:p w14:paraId="6E4A00AB"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bCs/>
                <w:szCs w:val="14"/>
              </w:rPr>
            </w:pPr>
            <w:r w:rsidRPr="001114F8">
              <w:rPr>
                <w:bCs/>
              </w:rPr>
              <w:t>66,77</w:t>
            </w:r>
          </w:p>
        </w:tc>
      </w:tr>
      <w:tr w:rsidR="006A362F" w:rsidRPr="00E22381" w14:paraId="154F4746" w14:textId="77777777" w:rsidTr="006218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92A3974" w14:textId="77777777" w:rsidR="006A362F" w:rsidRPr="004369A3" w:rsidRDefault="006A362F" w:rsidP="006218DC">
            <w:pPr>
              <w:pStyle w:val="08-Tabelageral"/>
              <w:ind w:left="113"/>
              <w:jc w:val="left"/>
              <w:rPr>
                <w:rFonts w:cs="Arial"/>
                <w:b w:val="0"/>
                <w:bCs w:val="0"/>
                <w:szCs w:val="14"/>
                <w:highlight w:val="yellow"/>
              </w:rPr>
            </w:pPr>
          </w:p>
        </w:tc>
        <w:tc>
          <w:tcPr>
            <w:tcW w:w="1268" w:type="dxa"/>
            <w:vMerge/>
            <w:tcBorders>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13EB01B1"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vMerge/>
            <w:tcBorders>
              <w:left w:val="single" w:sz="4" w:space="0" w:color="1F4E79" w:themeColor="accent1" w:themeShade="80"/>
              <w:bottom w:val="single" w:sz="2" w:space="0" w:color="1F4E79" w:themeColor="accent1" w:themeShade="80"/>
            </w:tcBorders>
            <w:shd w:val="clear" w:color="auto" w:fill="auto"/>
            <w:vAlign w:val="center"/>
          </w:tcPr>
          <w:p w14:paraId="39ACA204"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51" w:type="dxa"/>
            <w:vMerge/>
            <w:tcBorders>
              <w:bottom w:val="single" w:sz="2" w:space="0" w:color="1F4E79" w:themeColor="accent1" w:themeShade="80"/>
            </w:tcBorders>
            <w:shd w:val="clear" w:color="auto" w:fill="auto"/>
            <w:vAlign w:val="center"/>
          </w:tcPr>
          <w:p w14:paraId="2ED04E91"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49" w:type="dxa"/>
            <w:vMerge/>
            <w:tcBorders>
              <w:bottom w:val="single" w:sz="2" w:space="0" w:color="1F4E79" w:themeColor="accent1" w:themeShade="80"/>
            </w:tcBorders>
            <w:shd w:val="clear" w:color="auto" w:fill="auto"/>
            <w:vAlign w:val="center"/>
          </w:tcPr>
          <w:p w14:paraId="0862E5B9"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581" w:type="dxa"/>
            <w:tcBorders>
              <w:top w:val="nil"/>
              <w:bottom w:val="single" w:sz="2" w:space="0" w:color="1F4E79" w:themeColor="accent1" w:themeShade="80"/>
            </w:tcBorders>
            <w:shd w:val="clear" w:color="auto" w:fill="auto"/>
          </w:tcPr>
          <w:p w14:paraId="5513A3E7" w14:textId="77777777" w:rsidR="006A362F" w:rsidRPr="009B18D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75" w:type="dxa"/>
            <w:tcBorders>
              <w:top w:val="nil"/>
              <w:bottom w:val="single" w:sz="2" w:space="0" w:color="1F4E79" w:themeColor="accent1" w:themeShade="80"/>
            </w:tcBorders>
            <w:shd w:val="clear" w:color="auto" w:fill="auto"/>
          </w:tcPr>
          <w:p w14:paraId="6D83A982"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724" w:type="dxa"/>
            <w:tcBorders>
              <w:top w:val="nil"/>
              <w:bottom w:val="single" w:sz="2" w:space="0" w:color="1F4E79" w:themeColor="accent1" w:themeShade="80"/>
            </w:tcBorders>
            <w:shd w:val="clear" w:color="auto" w:fill="auto"/>
          </w:tcPr>
          <w:p w14:paraId="6F0AE333"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802" w:type="dxa"/>
            <w:tcBorders>
              <w:top w:val="nil"/>
              <w:bottom w:val="single" w:sz="2" w:space="0" w:color="1F4E79" w:themeColor="accent1" w:themeShade="80"/>
            </w:tcBorders>
            <w:shd w:val="clear" w:color="auto" w:fill="auto"/>
          </w:tcPr>
          <w:p w14:paraId="0FBB08DA"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p>
        </w:tc>
      </w:tr>
      <w:tr w:rsidR="006A362F" w:rsidRPr="00E22381" w14:paraId="0B39022D" w14:textId="77777777" w:rsidTr="006218D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1D6E0520" w14:textId="77777777" w:rsidR="006A362F" w:rsidRPr="004369A3" w:rsidRDefault="006A362F" w:rsidP="006218DC">
            <w:pPr>
              <w:pStyle w:val="08-Tabelageral"/>
              <w:ind w:left="113"/>
              <w:jc w:val="left"/>
              <w:rPr>
                <w:rFonts w:cs="Arial"/>
                <w:b w:val="0"/>
                <w:bCs w:val="0"/>
                <w:szCs w:val="14"/>
                <w:highlight w:val="yellow"/>
              </w:rPr>
            </w:pPr>
          </w:p>
        </w:tc>
        <w:tc>
          <w:tcPr>
            <w:tcW w:w="1268"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20C7550C"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Private Pension</w:t>
            </w:r>
          </w:p>
        </w:tc>
        <w:tc>
          <w:tcPr>
            <w:tcW w:w="1592"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1A167E96"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1851" w:type="dxa"/>
            <w:tcBorders>
              <w:top w:val="single" w:sz="2" w:space="0" w:color="1F4E79" w:themeColor="accent1" w:themeShade="80"/>
              <w:bottom w:val="single" w:sz="2" w:space="0" w:color="1F4E79" w:themeColor="accent1" w:themeShade="80"/>
            </w:tcBorders>
            <w:shd w:val="clear" w:color="auto" w:fill="auto"/>
            <w:vAlign w:val="center"/>
          </w:tcPr>
          <w:p w14:paraId="6C02F012"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napToGrid w:val="0"/>
                <w:szCs w:val="14"/>
                <w:lang w:val="en-US" w:eastAsia="en-US"/>
              </w:rPr>
              <w:t>It sells life insurance with survival coverage and retirement plans and supplementary benefits.</w:t>
            </w:r>
          </w:p>
        </w:tc>
        <w:tc>
          <w:tcPr>
            <w:tcW w:w="1249" w:type="dxa"/>
            <w:tcBorders>
              <w:top w:val="single" w:sz="2" w:space="0" w:color="1F4E79" w:themeColor="accent1" w:themeShade="80"/>
              <w:bottom w:val="single" w:sz="2" w:space="0" w:color="1F4E79" w:themeColor="accent1" w:themeShade="80"/>
            </w:tcBorders>
            <w:shd w:val="clear" w:color="auto" w:fill="auto"/>
            <w:vAlign w:val="center"/>
          </w:tcPr>
          <w:p w14:paraId="47C0C97E"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SUSEPGAAP</w:t>
            </w:r>
          </w:p>
        </w:tc>
        <w:tc>
          <w:tcPr>
            <w:tcW w:w="581" w:type="dxa"/>
            <w:tcBorders>
              <w:top w:val="single" w:sz="2" w:space="0" w:color="1F4E79" w:themeColor="accent1" w:themeShade="80"/>
              <w:bottom w:val="single" w:sz="2" w:space="0" w:color="1F4E79" w:themeColor="accent1" w:themeShade="80"/>
            </w:tcBorders>
            <w:shd w:val="clear" w:color="auto" w:fill="auto"/>
          </w:tcPr>
          <w:p w14:paraId="49FEB06D"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75" w:type="dxa"/>
            <w:tcBorders>
              <w:top w:val="single" w:sz="2" w:space="0" w:color="1F4E79" w:themeColor="accent1" w:themeShade="80"/>
              <w:bottom w:val="single" w:sz="2" w:space="0" w:color="1F4E79" w:themeColor="accent1" w:themeShade="80"/>
            </w:tcBorders>
            <w:shd w:val="clear" w:color="auto" w:fill="auto"/>
            <w:vAlign w:val="center"/>
          </w:tcPr>
          <w:p w14:paraId="4AC334A4"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724" w:type="dxa"/>
            <w:tcBorders>
              <w:top w:val="single" w:sz="2" w:space="0" w:color="1F4E79" w:themeColor="accent1" w:themeShade="80"/>
              <w:bottom w:val="single" w:sz="2" w:space="0" w:color="1F4E79" w:themeColor="accent1" w:themeShade="80"/>
            </w:tcBorders>
            <w:shd w:val="clear" w:color="auto" w:fill="auto"/>
            <w:vAlign w:val="center"/>
          </w:tcPr>
          <w:p w14:paraId="3DC758C3"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802" w:type="dxa"/>
            <w:tcBorders>
              <w:top w:val="single" w:sz="2" w:space="0" w:color="1F4E79" w:themeColor="accent1" w:themeShade="80"/>
              <w:bottom w:val="single" w:sz="2" w:space="0" w:color="1F4E79" w:themeColor="accent1" w:themeShade="80"/>
            </w:tcBorders>
            <w:shd w:val="clear" w:color="auto" w:fill="auto"/>
            <w:vAlign w:val="center"/>
          </w:tcPr>
          <w:p w14:paraId="23A4FADF"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6A362F" w:rsidRPr="00E22381" w14:paraId="7C79BDCC" w14:textId="77777777" w:rsidTr="006218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25151E90" w14:textId="77777777" w:rsidR="006A362F" w:rsidRPr="004369A3" w:rsidRDefault="006A362F" w:rsidP="006218DC">
            <w:pPr>
              <w:pStyle w:val="08-Tabelageral"/>
              <w:ind w:left="113"/>
              <w:jc w:val="left"/>
              <w:rPr>
                <w:rFonts w:cs="Arial"/>
                <w:b w:val="0"/>
                <w:bCs w:val="0"/>
                <w:szCs w:val="14"/>
                <w:highlight w:val="yellow"/>
              </w:rPr>
            </w:pPr>
          </w:p>
        </w:tc>
        <w:tc>
          <w:tcPr>
            <w:tcW w:w="1268"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36424637"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592"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278C85E5"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Brasildental Operadora de Planos Odontológicos S.A. (Brasildental)</w:t>
            </w:r>
          </w:p>
        </w:tc>
        <w:tc>
          <w:tcPr>
            <w:tcW w:w="1851" w:type="dxa"/>
            <w:tcBorders>
              <w:top w:val="single" w:sz="2" w:space="0" w:color="1F4E79" w:themeColor="accent1" w:themeShade="80"/>
              <w:bottom w:val="single" w:sz="2" w:space="0" w:color="1F4E79" w:themeColor="accent1" w:themeShade="80"/>
            </w:tcBorders>
            <w:shd w:val="clear" w:color="auto" w:fill="auto"/>
            <w:vAlign w:val="center"/>
          </w:tcPr>
          <w:p w14:paraId="54F97AD5"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It sells dental plans.</w:t>
            </w:r>
          </w:p>
        </w:tc>
        <w:tc>
          <w:tcPr>
            <w:tcW w:w="1249" w:type="dxa"/>
            <w:tcBorders>
              <w:top w:val="single" w:sz="2" w:space="0" w:color="1F4E79" w:themeColor="accent1" w:themeShade="80"/>
              <w:bottom w:val="single" w:sz="2" w:space="0" w:color="1F4E79" w:themeColor="accent1" w:themeShade="80"/>
            </w:tcBorders>
            <w:shd w:val="clear" w:color="auto" w:fill="auto"/>
            <w:vAlign w:val="center"/>
          </w:tcPr>
          <w:p w14:paraId="01EA12A7"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581" w:type="dxa"/>
            <w:tcBorders>
              <w:top w:val="single" w:sz="2" w:space="0" w:color="1F4E79" w:themeColor="accent1" w:themeShade="80"/>
              <w:bottom w:val="single" w:sz="2" w:space="0" w:color="1F4E79" w:themeColor="accent1" w:themeShade="80"/>
            </w:tcBorders>
            <w:shd w:val="clear" w:color="auto" w:fill="auto"/>
          </w:tcPr>
          <w:p w14:paraId="0BDA38E8"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75" w:type="dxa"/>
            <w:tcBorders>
              <w:top w:val="single" w:sz="2" w:space="0" w:color="1F4E79" w:themeColor="accent1" w:themeShade="80"/>
              <w:bottom w:val="single" w:sz="2" w:space="0" w:color="1F4E79" w:themeColor="accent1" w:themeShade="80"/>
            </w:tcBorders>
            <w:shd w:val="clear" w:color="auto" w:fill="auto"/>
            <w:vAlign w:val="center"/>
          </w:tcPr>
          <w:p w14:paraId="4DC5E484"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24" w:type="dxa"/>
            <w:tcBorders>
              <w:top w:val="single" w:sz="2" w:space="0" w:color="1F4E79" w:themeColor="accent1" w:themeShade="80"/>
              <w:bottom w:val="single" w:sz="2" w:space="0" w:color="1F4E79" w:themeColor="accent1" w:themeShade="80"/>
            </w:tcBorders>
            <w:shd w:val="clear" w:color="auto" w:fill="auto"/>
            <w:vAlign w:val="center"/>
          </w:tcPr>
          <w:p w14:paraId="3BDC6A52"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802" w:type="dxa"/>
            <w:tcBorders>
              <w:top w:val="single" w:sz="2" w:space="0" w:color="1F4E79" w:themeColor="accent1" w:themeShade="80"/>
              <w:bottom w:val="single" w:sz="2" w:space="0" w:color="1F4E79" w:themeColor="accent1" w:themeShade="80"/>
            </w:tcBorders>
            <w:shd w:val="clear" w:color="auto" w:fill="auto"/>
            <w:vAlign w:val="center"/>
          </w:tcPr>
          <w:p w14:paraId="11E79632"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6A362F" w:rsidRPr="00E22381" w14:paraId="7E36ED43" w14:textId="77777777" w:rsidTr="006218DC">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val="restart"/>
            <w:tcBorders>
              <w:top w:val="single" w:sz="2" w:space="0" w:color="1F4E79" w:themeColor="accent1" w:themeShade="80"/>
              <w:left w:val="nil"/>
              <w:bottom w:val="single" w:sz="2" w:space="0" w:color="8EAADB" w:themeColor="accent5" w:themeTint="99"/>
              <w:right w:val="single" w:sz="2" w:space="0" w:color="1F4E79" w:themeColor="accent1" w:themeShade="80"/>
            </w:tcBorders>
            <w:shd w:val="clear" w:color="auto" w:fill="auto"/>
            <w:vAlign w:val="center"/>
          </w:tcPr>
          <w:p w14:paraId="65733FCE" w14:textId="77777777" w:rsidR="006A362F" w:rsidRPr="004369A3" w:rsidRDefault="006A362F" w:rsidP="006218DC">
            <w:pPr>
              <w:pStyle w:val="08-Tabelageral"/>
              <w:jc w:val="center"/>
              <w:rPr>
                <w:rFonts w:cs="Arial"/>
                <w:b w:val="0"/>
                <w:bCs w:val="0"/>
                <w:szCs w:val="14"/>
              </w:rPr>
            </w:pPr>
            <w:r w:rsidRPr="004369A3">
              <w:rPr>
                <w:rFonts w:cs="Arial"/>
                <w:bCs w:val="0"/>
                <w:szCs w:val="14"/>
              </w:rPr>
              <w:t>Brokerage</w:t>
            </w:r>
          </w:p>
        </w:tc>
        <w:tc>
          <w:tcPr>
            <w:tcW w:w="1268" w:type="dxa"/>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1163B60E"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single" w:sz="2" w:space="0" w:color="1F4E79" w:themeColor="accent1" w:themeShade="80"/>
              <w:left w:val="single" w:sz="4" w:space="0" w:color="1F4E79" w:themeColor="accent1" w:themeShade="80"/>
              <w:bottom w:val="nil"/>
            </w:tcBorders>
            <w:shd w:val="clear" w:color="auto" w:fill="auto"/>
            <w:vAlign w:val="center"/>
          </w:tcPr>
          <w:p w14:paraId="394BDFFF"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1851" w:type="dxa"/>
            <w:tcBorders>
              <w:top w:val="single" w:sz="2" w:space="0" w:color="1F4E79" w:themeColor="accent1" w:themeShade="80"/>
              <w:bottom w:val="nil"/>
            </w:tcBorders>
            <w:shd w:val="clear" w:color="auto" w:fill="auto"/>
            <w:vAlign w:val="center"/>
          </w:tcPr>
          <w:p w14:paraId="2EDD1A38" w14:textId="77777777" w:rsidR="006A362F" w:rsidRPr="004369A3" w:rsidRDefault="006A362F" w:rsidP="006218D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Insurance brokerage for property and casualty, life and health, capitalization bonds, open supplementary pension plans and asset management.</w:t>
            </w:r>
          </w:p>
        </w:tc>
        <w:tc>
          <w:tcPr>
            <w:tcW w:w="1249" w:type="dxa"/>
            <w:tcBorders>
              <w:top w:val="single" w:sz="2" w:space="0" w:color="1F4E79" w:themeColor="accent1" w:themeShade="80"/>
              <w:bottom w:val="nil"/>
            </w:tcBorders>
            <w:shd w:val="clear" w:color="auto" w:fill="auto"/>
            <w:vAlign w:val="center"/>
          </w:tcPr>
          <w:p w14:paraId="7343B55A"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BRGAAP</w:t>
            </w:r>
          </w:p>
        </w:tc>
        <w:tc>
          <w:tcPr>
            <w:tcW w:w="581" w:type="dxa"/>
            <w:tcBorders>
              <w:top w:val="single" w:sz="2" w:space="0" w:color="1F4E79" w:themeColor="accent1" w:themeShade="80"/>
              <w:bottom w:val="nil"/>
            </w:tcBorders>
            <w:shd w:val="clear" w:color="auto" w:fill="auto"/>
          </w:tcPr>
          <w:p w14:paraId="079123D4"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75" w:type="dxa"/>
            <w:tcBorders>
              <w:top w:val="single" w:sz="2" w:space="0" w:color="1F4E79" w:themeColor="accent1" w:themeShade="80"/>
              <w:bottom w:val="nil"/>
            </w:tcBorders>
            <w:shd w:val="clear" w:color="auto" w:fill="auto"/>
            <w:vAlign w:val="center"/>
          </w:tcPr>
          <w:p w14:paraId="66181F4E"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c>
          <w:tcPr>
            <w:tcW w:w="724" w:type="dxa"/>
            <w:tcBorders>
              <w:top w:val="single" w:sz="2" w:space="0" w:color="1F4E79" w:themeColor="accent1" w:themeShade="80"/>
              <w:bottom w:val="nil"/>
            </w:tcBorders>
            <w:shd w:val="clear" w:color="auto" w:fill="auto"/>
            <w:vAlign w:val="center"/>
          </w:tcPr>
          <w:p w14:paraId="4675E261"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w:t>
            </w:r>
          </w:p>
        </w:tc>
        <w:tc>
          <w:tcPr>
            <w:tcW w:w="802" w:type="dxa"/>
            <w:tcBorders>
              <w:top w:val="single" w:sz="2" w:space="0" w:color="1F4E79" w:themeColor="accent1" w:themeShade="80"/>
              <w:bottom w:val="nil"/>
            </w:tcBorders>
            <w:shd w:val="clear" w:color="auto" w:fill="auto"/>
            <w:vAlign w:val="center"/>
          </w:tcPr>
          <w:p w14:paraId="337A846C" w14:textId="77777777" w:rsidR="006A362F" w:rsidRPr="004369A3" w:rsidRDefault="006A362F" w:rsidP="006218DC">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r>
      <w:tr w:rsidR="006A362F" w:rsidRPr="00E22381" w14:paraId="74BCAA21" w14:textId="77777777" w:rsidTr="006218DC">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7"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1C390EDD" w14:textId="77777777" w:rsidR="006A362F" w:rsidRPr="004369A3" w:rsidRDefault="006A362F" w:rsidP="006218DC">
            <w:pPr>
              <w:pStyle w:val="08-Tabelageral"/>
              <w:ind w:left="113"/>
              <w:jc w:val="left"/>
              <w:rPr>
                <w:rFonts w:cs="Arial"/>
                <w:b w:val="0"/>
                <w:bCs w:val="0"/>
                <w:szCs w:val="14"/>
                <w:highlight w:val="yellow"/>
              </w:rPr>
            </w:pPr>
          </w:p>
        </w:tc>
        <w:tc>
          <w:tcPr>
            <w:tcW w:w="1268" w:type="dxa"/>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3FC00F0"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left w:val="single" w:sz="4" w:space="0" w:color="1F4E79" w:themeColor="accent1" w:themeShade="80"/>
              <w:bottom w:val="single" w:sz="2" w:space="0" w:color="1F4E79" w:themeColor="accent1" w:themeShade="80"/>
            </w:tcBorders>
            <w:shd w:val="clear" w:color="auto" w:fill="auto"/>
            <w:vAlign w:val="center"/>
          </w:tcPr>
          <w:p w14:paraId="05BCCA10"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bCs/>
                <w:szCs w:val="14"/>
              </w:rPr>
              <w:t>Ciclic Corretora de Seguros S.A. (</w:t>
            </w:r>
            <w:r w:rsidRPr="004369A3">
              <w:rPr>
                <w:rFonts w:cs="Arial"/>
                <w:szCs w:val="14"/>
              </w:rPr>
              <w:t>Ciclic)</w:t>
            </w:r>
          </w:p>
        </w:tc>
        <w:tc>
          <w:tcPr>
            <w:tcW w:w="1851" w:type="dxa"/>
            <w:tcBorders>
              <w:top w:val="nil"/>
              <w:bottom w:val="single" w:sz="2" w:space="0" w:color="1F4E79" w:themeColor="accent1" w:themeShade="80"/>
            </w:tcBorders>
            <w:shd w:val="clear" w:color="auto" w:fill="auto"/>
            <w:vAlign w:val="center"/>
          </w:tcPr>
          <w:p w14:paraId="36A0773E" w14:textId="77777777" w:rsidR="006A362F" w:rsidRPr="004369A3" w:rsidRDefault="006A362F" w:rsidP="006218D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Style w:val="tlid-translation"/>
                <w:rFonts w:cs="Arial"/>
                <w:szCs w:val="14"/>
                <w:lang w:val="en"/>
              </w:rPr>
              <w:t>Brokerage of private pension products, travel insurance and residential assistance in the digital channel.</w:t>
            </w:r>
          </w:p>
        </w:tc>
        <w:tc>
          <w:tcPr>
            <w:tcW w:w="1249" w:type="dxa"/>
            <w:tcBorders>
              <w:top w:val="nil"/>
              <w:bottom w:val="single" w:sz="2" w:space="0" w:color="1F4E79" w:themeColor="accent1" w:themeShade="80"/>
            </w:tcBorders>
            <w:shd w:val="clear" w:color="auto" w:fill="auto"/>
            <w:vAlign w:val="center"/>
          </w:tcPr>
          <w:p w14:paraId="450B5E8A"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581" w:type="dxa"/>
            <w:tcBorders>
              <w:top w:val="nil"/>
              <w:bottom w:val="single" w:sz="2" w:space="0" w:color="1F4E79" w:themeColor="accent1" w:themeShade="80"/>
            </w:tcBorders>
            <w:shd w:val="clear" w:color="auto" w:fill="auto"/>
          </w:tcPr>
          <w:p w14:paraId="6036A5E1"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75" w:type="dxa"/>
            <w:tcBorders>
              <w:top w:val="nil"/>
              <w:bottom w:val="single" w:sz="2" w:space="0" w:color="1F4E79" w:themeColor="accent1" w:themeShade="80"/>
            </w:tcBorders>
            <w:shd w:val="clear" w:color="auto" w:fill="auto"/>
            <w:vAlign w:val="center"/>
          </w:tcPr>
          <w:p w14:paraId="2B868919"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24" w:type="dxa"/>
            <w:tcBorders>
              <w:top w:val="nil"/>
              <w:bottom w:val="single" w:sz="2" w:space="0" w:color="1F4E79" w:themeColor="accent1" w:themeShade="80"/>
            </w:tcBorders>
            <w:shd w:val="clear" w:color="auto" w:fill="auto"/>
            <w:vAlign w:val="center"/>
          </w:tcPr>
          <w:p w14:paraId="63464E2F"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802" w:type="dxa"/>
            <w:tcBorders>
              <w:top w:val="nil"/>
              <w:bottom w:val="single" w:sz="2" w:space="0" w:color="1F4E79" w:themeColor="accent1" w:themeShade="80"/>
            </w:tcBorders>
            <w:shd w:val="clear" w:color="auto" w:fill="auto"/>
            <w:vAlign w:val="center"/>
          </w:tcPr>
          <w:p w14:paraId="1B325391" w14:textId="77777777" w:rsidR="006A362F" w:rsidRPr="004369A3" w:rsidRDefault="006A362F" w:rsidP="006218DC">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04D7A6A2" w14:textId="77777777" w:rsidR="006A362F" w:rsidRPr="00E22381" w:rsidRDefault="006A362F" w:rsidP="00D372BE">
      <w:pPr>
        <w:pStyle w:val="07-Legenda"/>
        <w:ind w:left="0" w:firstLine="0"/>
        <w:rPr>
          <w:rFonts w:cs="Arial"/>
          <w:spacing w:val="0"/>
          <w:sz w:val="18"/>
          <w:szCs w:val="20"/>
          <w:lang w:eastAsia="zh-CN"/>
        </w:rPr>
      </w:pPr>
    </w:p>
    <w:p w14:paraId="60204507" w14:textId="77777777" w:rsidR="006A362F" w:rsidRPr="004369A3" w:rsidRDefault="006A362F" w:rsidP="00D372BE">
      <w:pPr>
        <w:pStyle w:val="05-Textonormal"/>
        <w:spacing w:line="240" w:lineRule="auto"/>
        <w:rPr>
          <w:rFonts w:cs="Arial"/>
          <w:spacing w:val="0"/>
          <w:lang w:val="en-US" w:eastAsia="zh-CN"/>
        </w:rPr>
      </w:pPr>
      <w:r w:rsidRPr="004369A3">
        <w:rPr>
          <w:rFonts w:cs="Arial"/>
          <w:spacing w:val="0"/>
          <w:lang w:val="en-US" w:eastAsia="zh-CN"/>
        </w:rPr>
        <w:t>The investees are valued using the equity method and there is no indication of operating discontinuity</w:t>
      </w:r>
      <w:r w:rsidRPr="008C2739">
        <w:rPr>
          <w:lang w:val="en"/>
        </w:rPr>
        <w:t xml:space="preserve"> </w:t>
      </w:r>
      <w:r>
        <w:rPr>
          <w:rStyle w:val="q4iawc"/>
          <w:lang w:val="en"/>
        </w:rPr>
        <w:t>nor do they have shares regularly traded on stock exchanges.</w:t>
      </w:r>
    </w:p>
    <w:p w14:paraId="510515E1" w14:textId="77777777" w:rsidR="006A362F" w:rsidRPr="00CF49A3" w:rsidRDefault="006A362F" w:rsidP="00CF49A3">
      <w:pPr>
        <w:pStyle w:val="01-TtulodeNota"/>
        <w:keepNext/>
        <w:keepLines/>
        <w:pageBreakBefore/>
        <w:rPr>
          <w:color w:val="1F4E79" w:themeColor="accent1" w:themeShade="80"/>
          <w:lang w:val="en-US"/>
        </w:rPr>
      </w:pPr>
      <w:r w:rsidRPr="00CF49A3">
        <w:rPr>
          <w:color w:val="1F4E79" w:themeColor="accent1" w:themeShade="80"/>
          <w:lang w:val="en-US"/>
        </w:rPr>
        <w:lastRenderedPageBreak/>
        <w:t>b) Equity interests valued using the equity method</w:t>
      </w:r>
    </w:p>
    <w:p w14:paraId="4B2527A3" w14:textId="77777777" w:rsidR="006A362F" w:rsidRPr="00E22381" w:rsidRDefault="006A362F" w:rsidP="00D372BE">
      <w:pPr>
        <w:pStyle w:val="06-Rmil"/>
        <w:ind w:left="720" w:right="-2"/>
        <w:rPr>
          <w:rFonts w:cs="Arial"/>
        </w:rPr>
      </w:pPr>
      <w:r w:rsidRPr="00E22381">
        <w:rPr>
          <w:rFonts w:cs="Arial"/>
        </w:rPr>
        <w:t>R$ 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6A362F" w:rsidRPr="00E22381" w14:paraId="1BE11AF7" w14:textId="77777777" w:rsidTr="007333C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6B6E7C51" w14:textId="77777777" w:rsidR="006A362F" w:rsidRPr="00696049" w:rsidRDefault="006A362F" w:rsidP="007333CF">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08A4230B" w14:textId="77777777" w:rsidR="006A362F" w:rsidRPr="00696049" w:rsidRDefault="006A362F" w:rsidP="007333CF">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96049">
              <w:rPr>
                <w:rFonts w:cs="Arial"/>
                <w:sz w:val="14"/>
                <w:szCs w:val="14"/>
              </w:rPr>
              <w:t>Parent</w:t>
            </w:r>
          </w:p>
        </w:tc>
      </w:tr>
      <w:tr w:rsidR="006A362F" w:rsidRPr="00E22381" w14:paraId="77FBA7EC"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25D43186" w14:textId="77777777" w:rsidR="006A362F" w:rsidRPr="00696049" w:rsidRDefault="006A362F" w:rsidP="007333CF">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587CB992" w14:textId="77777777" w:rsidR="006A362F" w:rsidRPr="00696049" w:rsidRDefault="006A362F" w:rsidP="007333CF">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43E7F25A" w14:textId="77777777" w:rsidR="006A362F" w:rsidRPr="00696049" w:rsidRDefault="006A362F" w:rsidP="007333CF">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34493825" w14:textId="77777777" w:rsidR="006A362F" w:rsidRPr="00696049" w:rsidRDefault="006A362F" w:rsidP="007333CF">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Total</w:t>
            </w:r>
          </w:p>
        </w:tc>
      </w:tr>
      <w:tr w:rsidR="006A362F" w:rsidRPr="00E22381" w14:paraId="105DC418"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0C6609B0" w14:textId="77777777" w:rsidR="006A362F" w:rsidRPr="00696049" w:rsidRDefault="006A362F" w:rsidP="00A30250">
            <w:pPr>
              <w:rPr>
                <w:rFonts w:cs="Arial"/>
                <w:sz w:val="14"/>
                <w:szCs w:val="14"/>
              </w:rPr>
            </w:pPr>
            <w:r w:rsidRPr="00696049">
              <w:rPr>
                <w:rFonts w:cs="Arial"/>
                <w:sz w:val="14"/>
                <w:szCs w:val="14"/>
              </w:rPr>
              <w:t xml:space="preserve">Balance on </w:t>
            </w:r>
            <w:r>
              <w:rPr>
                <w:rFonts w:cs="Arial"/>
                <w:sz w:val="14"/>
                <w:szCs w:val="14"/>
              </w:rPr>
              <w:t xml:space="preserve">Mar </w:t>
            </w:r>
            <w:r w:rsidRPr="00696049">
              <w:rPr>
                <w:rFonts w:cs="Arial"/>
                <w:sz w:val="14"/>
                <w:szCs w:val="14"/>
              </w:rPr>
              <w:t>3</w:t>
            </w:r>
            <w:r>
              <w:rPr>
                <w:rFonts w:cs="Arial"/>
                <w:sz w:val="14"/>
                <w:szCs w:val="14"/>
              </w:rPr>
              <w:t xml:space="preserve">1, </w:t>
            </w:r>
            <w:r w:rsidRPr="00696049">
              <w:rPr>
                <w:rFonts w:cs="Arial"/>
                <w:sz w:val="14"/>
                <w:szCs w:val="14"/>
              </w:rPr>
              <w:t>202</w:t>
            </w:r>
            <w:r>
              <w:rPr>
                <w:rFonts w:cs="Arial"/>
                <w:sz w:val="14"/>
                <w:szCs w:val="14"/>
              </w:rPr>
              <w:t>2</w:t>
            </w:r>
          </w:p>
        </w:tc>
        <w:tc>
          <w:tcPr>
            <w:tcW w:w="5597" w:type="dxa"/>
            <w:gridSpan w:val="3"/>
            <w:tcBorders>
              <w:top w:val="single" w:sz="2" w:space="0" w:color="1F4E79" w:themeColor="accent1" w:themeShade="80"/>
              <w:bottom w:val="nil"/>
            </w:tcBorders>
            <w:shd w:val="clear" w:color="auto" w:fill="auto"/>
            <w:vAlign w:val="center"/>
          </w:tcPr>
          <w:p w14:paraId="418E6FA4" w14:textId="77777777" w:rsidR="006A362F" w:rsidRPr="00696049" w:rsidRDefault="006A362F" w:rsidP="00550732">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auto"/>
                <w:szCs w:val="14"/>
              </w:rPr>
            </w:pPr>
          </w:p>
        </w:tc>
      </w:tr>
      <w:tr w:rsidR="006A362F" w:rsidRPr="00E22381" w14:paraId="094F4E44"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78387434" w14:textId="77777777" w:rsidR="006A362F" w:rsidRPr="00696049" w:rsidRDefault="006A362F" w:rsidP="003F4F79">
            <w:pPr>
              <w:rPr>
                <w:rFonts w:cs="Arial"/>
                <w:b w:val="0"/>
                <w:bCs w:val="0"/>
                <w:color w:val="FF0000"/>
                <w:sz w:val="14"/>
                <w:szCs w:val="14"/>
              </w:rPr>
            </w:pPr>
            <w:r w:rsidRPr="00696049">
              <w:rPr>
                <w:rFonts w:cs="Arial"/>
                <w:b w:val="0"/>
                <w:sz w:val="14"/>
                <w:szCs w:val="14"/>
              </w:rPr>
              <w:t>Capital</w:t>
            </w:r>
          </w:p>
        </w:tc>
        <w:tc>
          <w:tcPr>
            <w:tcW w:w="2020" w:type="dxa"/>
            <w:tcBorders>
              <w:top w:val="nil"/>
            </w:tcBorders>
            <w:shd w:val="clear" w:color="auto" w:fill="auto"/>
            <w:vAlign w:val="center"/>
          </w:tcPr>
          <w:p w14:paraId="28CEE488"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4,210,872</w:t>
            </w:r>
          </w:p>
        </w:tc>
        <w:tc>
          <w:tcPr>
            <w:tcW w:w="1753" w:type="dxa"/>
            <w:tcBorders>
              <w:top w:val="nil"/>
            </w:tcBorders>
            <w:shd w:val="clear" w:color="auto" w:fill="auto"/>
            <w:vAlign w:val="center"/>
          </w:tcPr>
          <w:p w14:paraId="2421EFC7"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1,000</w:t>
            </w:r>
          </w:p>
        </w:tc>
        <w:tc>
          <w:tcPr>
            <w:tcW w:w="1824" w:type="dxa"/>
            <w:tcBorders>
              <w:top w:val="nil"/>
            </w:tcBorders>
            <w:shd w:val="clear" w:color="auto" w:fill="auto"/>
            <w:vAlign w:val="center"/>
          </w:tcPr>
          <w:p w14:paraId="44F86BE0"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b/>
                <w:bCs/>
                <w:color w:val="auto"/>
                <w:szCs w:val="14"/>
              </w:rPr>
              <w:t>--</w:t>
            </w:r>
          </w:p>
        </w:tc>
      </w:tr>
      <w:tr w:rsidR="006A362F" w:rsidRPr="00E22381" w14:paraId="64382ADE"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427A2AAB" w14:textId="77777777" w:rsidR="006A362F" w:rsidRPr="00696049" w:rsidRDefault="006A362F" w:rsidP="003F4F79">
            <w:pPr>
              <w:rPr>
                <w:rFonts w:cs="Arial"/>
                <w:b w:val="0"/>
                <w:bCs w:val="0"/>
                <w:color w:val="FF0000"/>
                <w:sz w:val="14"/>
                <w:szCs w:val="14"/>
              </w:rPr>
            </w:pPr>
            <w:r w:rsidRPr="00696049">
              <w:rPr>
                <w:rFonts w:cs="Arial"/>
                <w:b w:val="0"/>
                <w:sz w:val="14"/>
                <w:szCs w:val="14"/>
              </w:rPr>
              <w:t xml:space="preserve">Stockholders' equity </w:t>
            </w:r>
          </w:p>
        </w:tc>
        <w:tc>
          <w:tcPr>
            <w:tcW w:w="2020" w:type="dxa"/>
            <w:shd w:val="clear" w:color="auto" w:fill="auto"/>
            <w:vAlign w:val="center"/>
          </w:tcPr>
          <w:p w14:paraId="63C3C327" w14:textId="77777777" w:rsidR="006A362F" w:rsidRPr="00696049"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9,149,946</w:t>
            </w:r>
          </w:p>
        </w:tc>
        <w:tc>
          <w:tcPr>
            <w:tcW w:w="1753" w:type="dxa"/>
            <w:shd w:val="clear" w:color="auto" w:fill="auto"/>
            <w:vAlign w:val="center"/>
          </w:tcPr>
          <w:p w14:paraId="6822919F" w14:textId="77777777" w:rsidR="006A362F" w:rsidRPr="00696049"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714,102</w:t>
            </w:r>
          </w:p>
        </w:tc>
        <w:tc>
          <w:tcPr>
            <w:tcW w:w="1824" w:type="dxa"/>
            <w:shd w:val="clear" w:color="auto" w:fill="auto"/>
            <w:vAlign w:val="center"/>
          </w:tcPr>
          <w:p w14:paraId="11397487" w14:textId="77777777" w:rsidR="006A362F" w:rsidRPr="00696049"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Pr>
                <w:b/>
                <w:bCs/>
                <w:color w:val="auto"/>
                <w:szCs w:val="14"/>
              </w:rPr>
              <w:t>--</w:t>
            </w:r>
          </w:p>
        </w:tc>
      </w:tr>
      <w:tr w:rsidR="006A362F" w:rsidRPr="00E22381" w14:paraId="493E5219"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9D17FF5" w14:textId="77777777" w:rsidR="006A362F" w:rsidRPr="00696049" w:rsidRDefault="006A362F" w:rsidP="00A30250">
            <w:pPr>
              <w:pStyle w:val="08-Tabelageral"/>
              <w:jc w:val="left"/>
              <w:rPr>
                <w:rFonts w:cs="Arial"/>
                <w:bCs w:val="0"/>
                <w:szCs w:val="14"/>
              </w:rPr>
            </w:pPr>
            <w:r w:rsidRPr="00696049">
              <w:rPr>
                <w:rFonts w:cs="Arial"/>
                <w:szCs w:val="14"/>
              </w:rPr>
              <w:t xml:space="preserve">Balance on </w:t>
            </w:r>
            <w:r>
              <w:rPr>
                <w:rFonts w:cs="Arial"/>
                <w:szCs w:val="14"/>
              </w:rPr>
              <w:t xml:space="preserve">Dec </w:t>
            </w:r>
            <w:r w:rsidRPr="00696049">
              <w:rPr>
                <w:rFonts w:cs="Arial"/>
                <w:szCs w:val="14"/>
              </w:rPr>
              <w:t>31</w:t>
            </w:r>
            <w:r>
              <w:rPr>
                <w:rFonts w:cs="Arial"/>
                <w:szCs w:val="14"/>
              </w:rPr>
              <w:t>, 2022</w:t>
            </w:r>
          </w:p>
        </w:tc>
        <w:tc>
          <w:tcPr>
            <w:tcW w:w="5597" w:type="dxa"/>
            <w:gridSpan w:val="3"/>
            <w:shd w:val="clear" w:color="auto" w:fill="auto"/>
            <w:vAlign w:val="center"/>
          </w:tcPr>
          <w:p w14:paraId="5526B6C4" w14:textId="77777777" w:rsidR="006A362F" w:rsidRPr="00696049" w:rsidRDefault="006A362F" w:rsidP="00A30250">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6A362F" w:rsidRPr="00E22381" w14:paraId="2C61C841"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6E05B33" w14:textId="77777777" w:rsidR="006A362F" w:rsidRPr="00696049" w:rsidRDefault="006A362F" w:rsidP="003F4F79">
            <w:pPr>
              <w:pStyle w:val="08-Tabelageral"/>
              <w:jc w:val="left"/>
              <w:rPr>
                <w:rFonts w:cs="Arial"/>
                <w:b w:val="0"/>
                <w:bCs w:val="0"/>
                <w:szCs w:val="14"/>
              </w:rPr>
            </w:pPr>
            <w:r w:rsidRPr="00696049">
              <w:rPr>
                <w:rFonts w:cs="Arial"/>
                <w:b w:val="0"/>
                <w:szCs w:val="14"/>
              </w:rPr>
              <w:t>Capital</w:t>
            </w:r>
          </w:p>
        </w:tc>
        <w:tc>
          <w:tcPr>
            <w:tcW w:w="2020" w:type="dxa"/>
            <w:shd w:val="clear" w:color="auto" w:fill="auto"/>
            <w:vAlign w:val="center"/>
          </w:tcPr>
          <w:p w14:paraId="1817B6BB" w14:textId="77777777" w:rsidR="006A362F" w:rsidRPr="00696049"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 xml:space="preserve">4,210,872 </w:t>
            </w:r>
          </w:p>
        </w:tc>
        <w:tc>
          <w:tcPr>
            <w:tcW w:w="1753" w:type="dxa"/>
            <w:shd w:val="clear" w:color="auto" w:fill="auto"/>
            <w:vAlign w:val="center"/>
          </w:tcPr>
          <w:p w14:paraId="60C9D981" w14:textId="77777777" w:rsidR="006A362F" w:rsidRPr="00696049"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 xml:space="preserve">1,000 </w:t>
            </w:r>
          </w:p>
        </w:tc>
        <w:tc>
          <w:tcPr>
            <w:tcW w:w="1824" w:type="dxa"/>
            <w:shd w:val="clear" w:color="auto" w:fill="auto"/>
            <w:vAlign w:val="center"/>
          </w:tcPr>
          <w:p w14:paraId="3AAA2532" w14:textId="77777777" w:rsidR="006A362F" w:rsidRPr="00696049"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sidRPr="00F52A6C">
              <w:rPr>
                <w:b/>
                <w:bCs/>
                <w:color w:val="auto"/>
                <w:szCs w:val="14"/>
              </w:rPr>
              <w:t>--</w:t>
            </w:r>
          </w:p>
        </w:tc>
      </w:tr>
      <w:tr w:rsidR="006A362F" w:rsidRPr="00E22381" w14:paraId="4F2F29DE"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3E4C3E54" w14:textId="77777777" w:rsidR="006A362F" w:rsidRPr="00696049" w:rsidRDefault="006A362F" w:rsidP="00FF7205">
            <w:pPr>
              <w:pStyle w:val="08-Tabelageral"/>
              <w:jc w:val="left"/>
              <w:rPr>
                <w:rFonts w:cs="Arial"/>
                <w:b w:val="0"/>
                <w:bCs w:val="0"/>
                <w:szCs w:val="14"/>
              </w:rPr>
            </w:pPr>
            <w:r w:rsidRPr="00696049">
              <w:rPr>
                <w:rFonts w:cs="Arial"/>
                <w:b w:val="0"/>
                <w:szCs w:val="14"/>
              </w:rPr>
              <w:t xml:space="preserve">Stockholders' </w:t>
            </w:r>
            <w:r w:rsidRPr="00A30250">
              <w:rPr>
                <w:rFonts w:cs="Arial"/>
                <w:b w:val="0"/>
                <w:szCs w:val="14"/>
              </w:rPr>
              <w:t xml:space="preserve">equity </w:t>
            </w:r>
            <w:r w:rsidRPr="00A30250">
              <w:rPr>
                <w:rStyle w:val="rynqvb"/>
                <w:b w:val="0"/>
                <w:lang w:val="en"/>
              </w:rPr>
              <w:t>(</w:t>
            </w:r>
            <w:r>
              <w:rPr>
                <w:rStyle w:val="rynqvb"/>
                <w:b w:val="0"/>
                <w:lang w:val="en"/>
              </w:rPr>
              <w:t>restated balances</w:t>
            </w:r>
            <w:r w:rsidRPr="00A30250">
              <w:rPr>
                <w:rStyle w:val="rynqvb"/>
                <w:b w:val="0"/>
                <w:lang w:val="en"/>
              </w:rPr>
              <w:t>)</w:t>
            </w:r>
            <w:r w:rsidRPr="00696049">
              <w:rPr>
                <w:rFonts w:cs="Arial"/>
                <w:b w:val="0"/>
                <w:szCs w:val="14"/>
              </w:rPr>
              <w:t xml:space="preserve"> </w:t>
            </w:r>
          </w:p>
        </w:tc>
        <w:tc>
          <w:tcPr>
            <w:tcW w:w="2020" w:type="dxa"/>
            <w:shd w:val="clear" w:color="auto" w:fill="auto"/>
            <w:vAlign w:val="center"/>
          </w:tcPr>
          <w:p w14:paraId="0DFFF8C1"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7,836,210</w:t>
            </w:r>
          </w:p>
        </w:tc>
        <w:tc>
          <w:tcPr>
            <w:tcW w:w="1753" w:type="dxa"/>
            <w:shd w:val="clear" w:color="auto" w:fill="auto"/>
            <w:vAlign w:val="center"/>
          </w:tcPr>
          <w:p w14:paraId="2FF6CE98"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6,338</w:t>
            </w:r>
          </w:p>
        </w:tc>
        <w:tc>
          <w:tcPr>
            <w:tcW w:w="1824" w:type="dxa"/>
            <w:shd w:val="clear" w:color="auto" w:fill="auto"/>
            <w:vAlign w:val="center"/>
          </w:tcPr>
          <w:p w14:paraId="2A6065D3"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F52A6C">
              <w:rPr>
                <w:b/>
                <w:bCs/>
                <w:color w:val="auto"/>
                <w:szCs w:val="14"/>
              </w:rPr>
              <w:t>--</w:t>
            </w:r>
          </w:p>
        </w:tc>
      </w:tr>
      <w:tr w:rsidR="006A362F" w:rsidRPr="00E22381" w14:paraId="65DB0C13"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5F65F7CC" w14:textId="77777777" w:rsidR="006A362F" w:rsidRPr="00696049" w:rsidRDefault="006A362F" w:rsidP="007333CF">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65E03841" w14:textId="77777777" w:rsidR="006A362F" w:rsidRPr="00696049" w:rsidRDefault="006A362F" w:rsidP="007333CF">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FF0000"/>
                <w:szCs w:val="14"/>
              </w:rPr>
            </w:pPr>
          </w:p>
        </w:tc>
      </w:tr>
      <w:tr w:rsidR="006A362F" w:rsidRPr="00FE3061" w14:paraId="6A21352F" w14:textId="77777777" w:rsidTr="00623F1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1F6B156A" w14:textId="77777777" w:rsidR="006A362F" w:rsidRPr="00696049" w:rsidRDefault="006A362F" w:rsidP="00721F00">
            <w:pPr>
              <w:pStyle w:val="08-Tabelageral"/>
              <w:ind w:left="113"/>
              <w:jc w:val="both"/>
              <w:rPr>
                <w:rFonts w:cs="Arial"/>
                <w:b w:val="0"/>
                <w:szCs w:val="14"/>
                <w:lang w:val="en-US"/>
              </w:rPr>
            </w:pPr>
            <w:r w:rsidRPr="00696049">
              <w:rPr>
                <w:rFonts w:cs="Arial"/>
                <w:szCs w:val="14"/>
                <w:lang w:val="en-US"/>
              </w:rPr>
              <w:t xml:space="preserve">Moviments </w:t>
            </w:r>
            <w:r>
              <w:rPr>
                <w:rFonts w:cs="Arial"/>
                <w:szCs w:val="14"/>
                <w:lang w:val="en-US"/>
              </w:rPr>
              <w:t>in 01.01 to 03.31.2023</w:t>
            </w:r>
          </w:p>
        </w:tc>
      </w:tr>
      <w:tr w:rsidR="006A362F" w:rsidRPr="00E22381" w14:paraId="142EA68D"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17023653" w14:textId="77777777" w:rsidR="006A362F" w:rsidRPr="00751C98" w:rsidRDefault="006A362F" w:rsidP="00FF7205">
            <w:pPr>
              <w:pStyle w:val="08-Tabelageral"/>
              <w:jc w:val="left"/>
              <w:rPr>
                <w:rFonts w:cs="Arial"/>
                <w:color w:val="FF0000"/>
                <w:szCs w:val="14"/>
                <w:lang w:val="en-US"/>
              </w:rPr>
            </w:pPr>
            <w:r w:rsidRPr="00751C98">
              <w:rPr>
                <w:rFonts w:cs="Arial"/>
                <w:szCs w:val="14"/>
                <w:lang w:val="en-US"/>
              </w:rPr>
              <w:t xml:space="preserve">Book Balance on Dec 31, </w:t>
            </w:r>
            <w:r w:rsidRPr="00CB6B64">
              <w:rPr>
                <w:rFonts w:cs="Arial"/>
                <w:szCs w:val="14"/>
                <w:lang w:val="en-US"/>
              </w:rPr>
              <w:t xml:space="preserve">2022 </w:t>
            </w:r>
            <w:r w:rsidRPr="00CB6B64">
              <w:rPr>
                <w:rStyle w:val="rynqvb"/>
                <w:lang w:val="en"/>
              </w:rPr>
              <w:t>(restated balances)</w:t>
            </w:r>
          </w:p>
        </w:tc>
        <w:tc>
          <w:tcPr>
            <w:tcW w:w="2020" w:type="dxa"/>
            <w:tcBorders>
              <w:top w:val="single" w:sz="2" w:space="0" w:color="1F4E79" w:themeColor="accent1" w:themeShade="80"/>
            </w:tcBorders>
            <w:shd w:val="clear" w:color="auto" w:fill="auto"/>
            <w:vAlign w:val="center"/>
          </w:tcPr>
          <w:p w14:paraId="4AEAD75B" w14:textId="77777777" w:rsidR="006A362F" w:rsidRPr="00550732"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7,836,210</w:t>
            </w:r>
          </w:p>
        </w:tc>
        <w:tc>
          <w:tcPr>
            <w:tcW w:w="1753" w:type="dxa"/>
            <w:tcBorders>
              <w:top w:val="single" w:sz="2" w:space="0" w:color="1F4E79" w:themeColor="accent1" w:themeShade="80"/>
            </w:tcBorders>
            <w:shd w:val="clear" w:color="auto" w:fill="auto"/>
            <w:vAlign w:val="center"/>
          </w:tcPr>
          <w:p w14:paraId="2E54A9A8" w14:textId="77777777" w:rsidR="006A362F" w:rsidRPr="00550732"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6,338</w:t>
            </w:r>
          </w:p>
        </w:tc>
        <w:tc>
          <w:tcPr>
            <w:tcW w:w="1824" w:type="dxa"/>
            <w:tcBorders>
              <w:top w:val="single" w:sz="2" w:space="0" w:color="1F4E79" w:themeColor="accent1" w:themeShade="80"/>
            </w:tcBorders>
            <w:shd w:val="clear" w:color="auto" w:fill="auto"/>
            <w:vAlign w:val="center"/>
          </w:tcPr>
          <w:p w14:paraId="00FD6595" w14:textId="77777777" w:rsidR="006A362F" w:rsidRPr="00DE4C4A"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7,842,548</w:t>
            </w:r>
          </w:p>
        </w:tc>
      </w:tr>
      <w:tr w:rsidR="006A362F" w:rsidRPr="00E22381" w14:paraId="0B62963B"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CB82326" w14:textId="77777777" w:rsidR="006A362F" w:rsidRPr="00696049" w:rsidRDefault="006A362F" w:rsidP="003F4F79">
            <w:pPr>
              <w:pStyle w:val="08-Tabelageral"/>
              <w:jc w:val="left"/>
              <w:rPr>
                <w:rFonts w:cs="Arial"/>
                <w:b w:val="0"/>
                <w:color w:val="FF0000"/>
                <w:szCs w:val="14"/>
              </w:rPr>
            </w:pPr>
            <w:r w:rsidRPr="00696049">
              <w:rPr>
                <w:rFonts w:cs="Arial"/>
                <w:b w:val="0"/>
                <w:bCs w:val="0"/>
                <w:szCs w:val="14"/>
              </w:rPr>
              <w:t>Equity valuation adjustments</w:t>
            </w:r>
          </w:p>
        </w:tc>
        <w:tc>
          <w:tcPr>
            <w:tcW w:w="2020" w:type="dxa"/>
            <w:shd w:val="clear" w:color="auto" w:fill="auto"/>
            <w:vAlign w:val="center"/>
          </w:tcPr>
          <w:p w14:paraId="1F29496D" w14:textId="77777777" w:rsidR="006A362F" w:rsidRPr="00550732"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 xml:space="preserve">185,335 </w:t>
            </w:r>
          </w:p>
        </w:tc>
        <w:tc>
          <w:tcPr>
            <w:tcW w:w="1753" w:type="dxa"/>
            <w:shd w:val="clear" w:color="auto" w:fill="auto"/>
            <w:vAlign w:val="center"/>
          </w:tcPr>
          <w:p w14:paraId="0DF2A9E0" w14:textId="77777777" w:rsidR="006A362F" w:rsidRPr="00550732"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 xml:space="preserve">53 </w:t>
            </w:r>
          </w:p>
        </w:tc>
        <w:tc>
          <w:tcPr>
            <w:tcW w:w="1824" w:type="dxa"/>
            <w:shd w:val="clear" w:color="auto" w:fill="auto"/>
            <w:vAlign w:val="center"/>
          </w:tcPr>
          <w:p w14:paraId="316BB098" w14:textId="77777777" w:rsidR="006A362F" w:rsidRPr="00DE4C4A"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185,388</w:t>
            </w:r>
          </w:p>
        </w:tc>
      </w:tr>
      <w:tr w:rsidR="006A362F" w:rsidRPr="00E22381" w14:paraId="34E54C70"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02A1532" w14:textId="77777777" w:rsidR="006A362F" w:rsidRPr="00696049" w:rsidRDefault="006A362F" w:rsidP="003F4F79">
            <w:pPr>
              <w:rPr>
                <w:rFonts w:cs="Arial"/>
                <w:b w:val="0"/>
                <w:color w:val="FF0000"/>
                <w:sz w:val="14"/>
                <w:szCs w:val="14"/>
              </w:rPr>
            </w:pPr>
            <w:r w:rsidRPr="00696049">
              <w:rPr>
                <w:rFonts w:cs="Arial"/>
                <w:b w:val="0"/>
                <w:sz w:val="14"/>
                <w:szCs w:val="14"/>
              </w:rPr>
              <w:t>Share of profit</w:t>
            </w:r>
          </w:p>
        </w:tc>
        <w:tc>
          <w:tcPr>
            <w:tcW w:w="2020" w:type="dxa"/>
            <w:shd w:val="clear" w:color="auto" w:fill="auto"/>
            <w:vAlign w:val="center"/>
          </w:tcPr>
          <w:p w14:paraId="497C0F1B" w14:textId="77777777" w:rsidR="006A362F" w:rsidRPr="00550732"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szCs w:val="14"/>
              </w:rPr>
              <w:t>1,128,401</w:t>
            </w:r>
          </w:p>
        </w:tc>
        <w:tc>
          <w:tcPr>
            <w:tcW w:w="1753" w:type="dxa"/>
            <w:shd w:val="clear" w:color="auto" w:fill="auto"/>
            <w:vAlign w:val="center"/>
          </w:tcPr>
          <w:p w14:paraId="375C66E3" w14:textId="77777777" w:rsidR="006A362F" w:rsidRPr="00550732"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szCs w:val="14"/>
              </w:rPr>
              <w:t>707,711</w:t>
            </w:r>
          </w:p>
        </w:tc>
        <w:tc>
          <w:tcPr>
            <w:tcW w:w="1824" w:type="dxa"/>
            <w:shd w:val="clear" w:color="auto" w:fill="auto"/>
            <w:vAlign w:val="center"/>
          </w:tcPr>
          <w:p w14:paraId="6EE3D167" w14:textId="77777777" w:rsidR="006A362F" w:rsidRPr="00DE4C4A"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1,836,112</w:t>
            </w:r>
          </w:p>
        </w:tc>
      </w:tr>
      <w:tr w:rsidR="006A362F" w:rsidRPr="00E22381" w14:paraId="0921DBC9"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BB22D71" w14:textId="77777777" w:rsidR="006A362F" w:rsidRPr="00696049" w:rsidRDefault="006A362F" w:rsidP="003F4F79">
            <w:pPr>
              <w:pStyle w:val="08-Tabelageral"/>
              <w:jc w:val="left"/>
              <w:rPr>
                <w:rFonts w:cs="Arial"/>
                <w:bCs w:val="0"/>
                <w:color w:val="FF0000"/>
                <w:szCs w:val="14"/>
              </w:rPr>
            </w:pPr>
            <w:r w:rsidRPr="00696049">
              <w:rPr>
                <w:rFonts w:cs="Arial"/>
                <w:szCs w:val="14"/>
              </w:rPr>
              <w:t xml:space="preserve">Book Balance on </w:t>
            </w:r>
            <w:r>
              <w:rPr>
                <w:rFonts w:cs="Arial"/>
                <w:szCs w:val="14"/>
              </w:rPr>
              <w:t xml:space="preserve">Mar </w:t>
            </w:r>
            <w:r w:rsidRPr="00696049">
              <w:rPr>
                <w:rFonts w:cs="Arial"/>
                <w:szCs w:val="14"/>
              </w:rPr>
              <w:t>3</w:t>
            </w:r>
            <w:r>
              <w:rPr>
                <w:rFonts w:cs="Arial"/>
                <w:szCs w:val="14"/>
              </w:rPr>
              <w:t xml:space="preserve">1, </w:t>
            </w:r>
            <w:r w:rsidRPr="00696049">
              <w:rPr>
                <w:rFonts w:cs="Arial"/>
                <w:szCs w:val="14"/>
              </w:rPr>
              <w:t>202</w:t>
            </w:r>
            <w:r>
              <w:rPr>
                <w:rFonts w:cs="Arial"/>
                <w:szCs w:val="14"/>
              </w:rPr>
              <w:t>3</w:t>
            </w:r>
          </w:p>
        </w:tc>
        <w:tc>
          <w:tcPr>
            <w:tcW w:w="2020" w:type="dxa"/>
            <w:shd w:val="clear" w:color="auto" w:fill="auto"/>
            <w:vAlign w:val="center"/>
          </w:tcPr>
          <w:p w14:paraId="5D863033" w14:textId="77777777" w:rsidR="006A362F" w:rsidRPr="00550732"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9,149,946</w:t>
            </w:r>
          </w:p>
        </w:tc>
        <w:tc>
          <w:tcPr>
            <w:tcW w:w="1753" w:type="dxa"/>
            <w:shd w:val="clear" w:color="auto" w:fill="auto"/>
            <w:vAlign w:val="center"/>
          </w:tcPr>
          <w:p w14:paraId="7FF400CC" w14:textId="77777777" w:rsidR="006A362F" w:rsidRPr="00550732"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714,102</w:t>
            </w:r>
          </w:p>
        </w:tc>
        <w:tc>
          <w:tcPr>
            <w:tcW w:w="1824" w:type="dxa"/>
            <w:shd w:val="clear" w:color="auto" w:fill="auto"/>
            <w:vAlign w:val="center"/>
          </w:tcPr>
          <w:p w14:paraId="4ECF7E01" w14:textId="77777777" w:rsidR="006A362F" w:rsidRPr="00DE4C4A"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9,864,048</w:t>
            </w:r>
          </w:p>
        </w:tc>
      </w:tr>
      <w:tr w:rsidR="006A362F" w:rsidRPr="00E22381" w14:paraId="6964F516"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72F96550" w14:textId="77777777" w:rsidR="006A362F" w:rsidRPr="00696049" w:rsidRDefault="006A362F" w:rsidP="007333CF">
            <w:pPr>
              <w:pStyle w:val="08-Tabelageral"/>
              <w:jc w:val="left"/>
              <w:rPr>
                <w:rFonts w:cs="Arial"/>
                <w:color w:val="FF0000"/>
                <w:szCs w:val="14"/>
              </w:rPr>
            </w:pPr>
          </w:p>
        </w:tc>
        <w:tc>
          <w:tcPr>
            <w:tcW w:w="5597" w:type="dxa"/>
            <w:gridSpan w:val="3"/>
            <w:tcBorders>
              <w:bottom w:val="single" w:sz="2" w:space="0" w:color="1F4E79" w:themeColor="accent1" w:themeShade="80"/>
            </w:tcBorders>
            <w:shd w:val="clear" w:color="auto" w:fill="auto"/>
            <w:vAlign w:val="center"/>
          </w:tcPr>
          <w:p w14:paraId="64B0B036" w14:textId="77777777" w:rsidR="006A362F" w:rsidRPr="00696049" w:rsidRDefault="006A362F" w:rsidP="007333CF">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r>
      <w:tr w:rsidR="006A362F" w:rsidRPr="00E22381" w14:paraId="6BD85217" w14:textId="77777777" w:rsidTr="00D5173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2" w:space="0" w:color="1F4E79" w:themeColor="accent1" w:themeShade="80"/>
              <w:bottom w:val="single" w:sz="2" w:space="0" w:color="1F4E79" w:themeColor="accent1" w:themeShade="80"/>
            </w:tcBorders>
            <w:shd w:val="clear" w:color="auto" w:fill="auto"/>
            <w:vAlign w:val="center"/>
          </w:tcPr>
          <w:p w14:paraId="611B354A" w14:textId="77777777" w:rsidR="006A362F" w:rsidRPr="00696049" w:rsidRDefault="006A362F" w:rsidP="00721F00">
            <w:pPr>
              <w:pStyle w:val="08-Tabelageral"/>
              <w:ind w:left="113"/>
              <w:jc w:val="left"/>
              <w:rPr>
                <w:rFonts w:cs="Arial"/>
                <w:b w:val="0"/>
                <w:bCs w:val="0"/>
                <w:szCs w:val="14"/>
              </w:rPr>
            </w:pPr>
            <w:r w:rsidRPr="00696049">
              <w:rPr>
                <w:rFonts w:cs="Arial"/>
                <w:szCs w:val="14"/>
              </w:rPr>
              <w:t>Share of Profit</w:t>
            </w:r>
          </w:p>
        </w:tc>
      </w:tr>
      <w:tr w:rsidR="006A362F" w:rsidRPr="00CF5925" w14:paraId="70F32100" w14:textId="77777777" w:rsidTr="00C07111">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64D22002" w14:textId="77777777" w:rsidR="006A362F" w:rsidRPr="00696049" w:rsidRDefault="006A362F" w:rsidP="003F4F79">
            <w:pPr>
              <w:pStyle w:val="08-Tabelageral"/>
              <w:jc w:val="left"/>
              <w:rPr>
                <w:rFonts w:cs="Arial"/>
                <w:bCs w:val="0"/>
                <w:szCs w:val="14"/>
              </w:rPr>
            </w:pPr>
            <w:r>
              <w:rPr>
                <w:rStyle w:val="rynqvb"/>
                <w:lang w:val="en"/>
              </w:rPr>
              <w:t>1</w:t>
            </w:r>
            <w:r w:rsidRPr="005C3AB8">
              <w:rPr>
                <w:rStyle w:val="rynqvb"/>
                <w:vertAlign w:val="superscript"/>
                <w:lang w:val="en"/>
              </w:rPr>
              <w:t xml:space="preserve">st </w:t>
            </w:r>
            <w:r>
              <w:rPr>
                <w:rStyle w:val="rynqvb"/>
                <w:lang w:val="en"/>
              </w:rPr>
              <w:t>Quarter 2023</w:t>
            </w:r>
          </w:p>
        </w:tc>
        <w:tc>
          <w:tcPr>
            <w:tcW w:w="2020" w:type="dxa"/>
            <w:tcBorders>
              <w:top w:val="single" w:sz="2" w:space="0" w:color="1F4E79" w:themeColor="accent1" w:themeShade="80"/>
              <w:bottom w:val="nil"/>
            </w:tcBorders>
            <w:shd w:val="clear" w:color="auto" w:fill="auto"/>
            <w:vAlign w:val="center"/>
          </w:tcPr>
          <w:p w14:paraId="6C22DD0B" w14:textId="77777777" w:rsidR="006A362F" w:rsidRPr="00696049" w:rsidRDefault="006A362F" w:rsidP="003F4F7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1,128,401 </w:t>
            </w:r>
          </w:p>
        </w:tc>
        <w:tc>
          <w:tcPr>
            <w:tcW w:w="1753" w:type="dxa"/>
            <w:tcBorders>
              <w:top w:val="single" w:sz="2" w:space="0" w:color="1F4E79" w:themeColor="accent1" w:themeShade="80"/>
              <w:bottom w:val="nil"/>
            </w:tcBorders>
            <w:shd w:val="clear" w:color="auto" w:fill="auto"/>
            <w:vAlign w:val="center"/>
          </w:tcPr>
          <w:p w14:paraId="1086D38E" w14:textId="77777777" w:rsidR="006A362F" w:rsidRPr="00696049" w:rsidRDefault="006A362F" w:rsidP="003F4F7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707,711 </w:t>
            </w:r>
          </w:p>
        </w:tc>
        <w:tc>
          <w:tcPr>
            <w:tcW w:w="1824" w:type="dxa"/>
            <w:tcBorders>
              <w:top w:val="single" w:sz="2" w:space="0" w:color="1F4E79" w:themeColor="accent1" w:themeShade="80"/>
              <w:bottom w:val="nil"/>
            </w:tcBorders>
            <w:shd w:val="clear" w:color="auto" w:fill="auto"/>
            <w:vAlign w:val="center"/>
          </w:tcPr>
          <w:p w14:paraId="1F6E9913" w14:textId="77777777" w:rsidR="006A362F" w:rsidRPr="00696049" w:rsidRDefault="006A362F" w:rsidP="003F4F7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1,836,112 </w:t>
            </w:r>
          </w:p>
        </w:tc>
      </w:tr>
      <w:tr w:rsidR="006A362F" w:rsidRPr="00CF5925" w14:paraId="6530198D" w14:textId="77777777" w:rsidTr="00C0711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3A45F88F" w14:textId="77777777" w:rsidR="006A362F" w:rsidRPr="00696049" w:rsidRDefault="006A362F" w:rsidP="00FF7205">
            <w:pPr>
              <w:pStyle w:val="08-Tabelageral"/>
              <w:jc w:val="left"/>
              <w:rPr>
                <w:rFonts w:cs="Arial"/>
                <w:bCs w:val="0"/>
                <w:szCs w:val="14"/>
                <w:highlight w:val="yellow"/>
              </w:rPr>
            </w:pPr>
            <w:r>
              <w:rPr>
                <w:rStyle w:val="rynqvb"/>
                <w:lang w:val="en"/>
              </w:rPr>
              <w:t>1</w:t>
            </w:r>
            <w:r w:rsidRPr="005C3AB8">
              <w:rPr>
                <w:rStyle w:val="rynqvb"/>
                <w:vertAlign w:val="superscript"/>
                <w:lang w:val="en"/>
              </w:rPr>
              <w:t>st</w:t>
            </w:r>
            <w:r>
              <w:rPr>
                <w:rStyle w:val="rynqvb"/>
                <w:lang w:val="en"/>
              </w:rPr>
              <w:t xml:space="preserve"> Quarter </w:t>
            </w:r>
            <w:r w:rsidRPr="00CB6B64">
              <w:rPr>
                <w:rStyle w:val="rynqvb"/>
                <w:lang w:val="en"/>
              </w:rPr>
              <w:t>2022 (restated balances)</w:t>
            </w:r>
          </w:p>
        </w:tc>
        <w:tc>
          <w:tcPr>
            <w:tcW w:w="2020" w:type="dxa"/>
            <w:tcBorders>
              <w:top w:val="nil"/>
              <w:bottom w:val="single" w:sz="2" w:space="0" w:color="1F4E79" w:themeColor="accent1" w:themeShade="80"/>
            </w:tcBorders>
            <w:shd w:val="clear" w:color="auto" w:fill="auto"/>
            <w:vAlign w:val="center"/>
          </w:tcPr>
          <w:p w14:paraId="295D4DA8" w14:textId="77777777" w:rsidR="006A362F" w:rsidRPr="00696049"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rFonts w:cs="Arial"/>
                <w:b/>
                <w:color w:val="FF0000"/>
                <w:szCs w:val="14"/>
              </w:rPr>
            </w:pPr>
            <w:r>
              <w:rPr>
                <w:rFonts w:cs="Arial"/>
                <w:b/>
                <w:bCs/>
                <w:szCs w:val="14"/>
              </w:rPr>
              <w:t>633,866</w:t>
            </w:r>
          </w:p>
        </w:tc>
        <w:tc>
          <w:tcPr>
            <w:tcW w:w="1753" w:type="dxa"/>
            <w:tcBorders>
              <w:top w:val="nil"/>
              <w:bottom w:val="single" w:sz="2" w:space="0" w:color="1F4E79" w:themeColor="accent1" w:themeShade="80"/>
            </w:tcBorders>
            <w:shd w:val="clear" w:color="auto" w:fill="auto"/>
            <w:vAlign w:val="center"/>
          </w:tcPr>
          <w:p w14:paraId="7B78F959" w14:textId="77777777" w:rsidR="006A362F" w:rsidRPr="00696049"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rFonts w:cs="Arial"/>
                <w:b/>
                <w:color w:val="FF0000"/>
                <w:szCs w:val="14"/>
              </w:rPr>
            </w:pPr>
            <w:r>
              <w:rPr>
                <w:rFonts w:cs="Arial"/>
                <w:b/>
                <w:bCs/>
                <w:szCs w:val="14"/>
              </w:rPr>
              <w:t>575,304</w:t>
            </w:r>
          </w:p>
        </w:tc>
        <w:tc>
          <w:tcPr>
            <w:tcW w:w="1824" w:type="dxa"/>
            <w:tcBorders>
              <w:top w:val="nil"/>
              <w:bottom w:val="single" w:sz="2" w:space="0" w:color="1F4E79" w:themeColor="accent1" w:themeShade="80"/>
            </w:tcBorders>
            <w:shd w:val="clear" w:color="auto" w:fill="auto"/>
            <w:vAlign w:val="center"/>
          </w:tcPr>
          <w:p w14:paraId="6B02CAEF" w14:textId="77777777" w:rsidR="006A362F" w:rsidRPr="00696049"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bCs/>
                <w:color w:val="000000"/>
                <w:szCs w:val="14"/>
              </w:rPr>
              <w:t>1,209,170</w:t>
            </w:r>
          </w:p>
        </w:tc>
      </w:tr>
    </w:tbl>
    <w:p w14:paraId="01511144" w14:textId="77777777" w:rsidR="006A362F" w:rsidRPr="00E22381" w:rsidRDefault="006A362F" w:rsidP="00D372BE">
      <w:pPr>
        <w:pStyle w:val="01-TtulodeNota"/>
        <w:spacing w:before="0" w:after="0"/>
        <w:ind w:right="-31"/>
        <w:jc w:val="right"/>
        <w:rPr>
          <w:rFonts w:cs="Arial"/>
        </w:rPr>
      </w:pPr>
    </w:p>
    <w:p w14:paraId="1E10056B" w14:textId="77777777" w:rsidR="006A362F" w:rsidRDefault="006A362F" w:rsidP="00D372BE">
      <w:pPr>
        <w:pStyle w:val="01-TtulodeNota"/>
        <w:keepNext/>
        <w:keepLines/>
        <w:spacing w:before="0" w:after="0"/>
        <w:jc w:val="right"/>
        <w:rPr>
          <w:rFonts w:cs="Arial"/>
          <w:sz w:val="14"/>
          <w:szCs w:val="14"/>
        </w:rPr>
      </w:pPr>
      <w:r w:rsidRPr="00FC6C4B">
        <w:rPr>
          <w:rFonts w:cs="Arial"/>
          <w:sz w:val="14"/>
          <w:szCs w:val="14"/>
        </w:rPr>
        <w:t xml:space="preserve">R$ </w:t>
      </w:r>
      <w:r>
        <w:rPr>
          <w:rFonts w:cs="Arial"/>
          <w:sz w:val="14"/>
          <w:szCs w:val="14"/>
        </w:rPr>
        <w:t>thousand</w:t>
      </w:r>
    </w:p>
    <w:tbl>
      <w:tblPr>
        <w:tblStyle w:val="TabeladeLista6Colorida-nfase510"/>
        <w:tblW w:w="949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393"/>
        <w:gridCol w:w="141"/>
        <w:gridCol w:w="993"/>
        <w:gridCol w:w="142"/>
        <w:gridCol w:w="895"/>
        <w:gridCol w:w="22"/>
        <w:gridCol w:w="933"/>
        <w:gridCol w:w="141"/>
        <w:gridCol w:w="994"/>
        <w:gridCol w:w="141"/>
        <w:gridCol w:w="697"/>
        <w:gridCol w:w="141"/>
        <w:gridCol w:w="866"/>
      </w:tblGrid>
      <w:tr w:rsidR="006A362F" w:rsidRPr="000F5532" w14:paraId="46BF8DC6" w14:textId="77777777" w:rsidTr="0020490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tcBorders>
              <w:top w:val="single" w:sz="2" w:space="0" w:color="1F4E79" w:themeColor="accent1" w:themeShade="80"/>
              <w:bottom w:val="nil"/>
            </w:tcBorders>
            <w:shd w:val="clear" w:color="auto" w:fill="auto"/>
            <w:vAlign w:val="center"/>
          </w:tcPr>
          <w:p w14:paraId="67AC97B0" w14:textId="77777777" w:rsidR="006A362F" w:rsidRPr="00D511DC" w:rsidRDefault="006A362F" w:rsidP="007333CF">
            <w:pPr>
              <w:rPr>
                <w:rFonts w:cs="Arial"/>
                <w:color w:val="FF0000"/>
                <w:sz w:val="14"/>
                <w:szCs w:val="14"/>
              </w:rPr>
            </w:pPr>
          </w:p>
        </w:tc>
        <w:tc>
          <w:tcPr>
            <w:tcW w:w="6105" w:type="dxa"/>
            <w:gridSpan w:val="12"/>
            <w:tcBorders>
              <w:top w:val="single" w:sz="2" w:space="0" w:color="1F4E79" w:themeColor="accent1" w:themeShade="80"/>
              <w:bottom w:val="single" w:sz="2" w:space="0" w:color="1F4E79" w:themeColor="accent1" w:themeShade="80"/>
            </w:tcBorders>
            <w:shd w:val="clear" w:color="auto" w:fill="auto"/>
            <w:vAlign w:val="center"/>
          </w:tcPr>
          <w:p w14:paraId="63441AA8" w14:textId="77777777" w:rsidR="006A362F" w:rsidRPr="00D511DC" w:rsidRDefault="006A362F" w:rsidP="007333CF">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D511DC">
              <w:rPr>
                <w:rFonts w:cs="Arial"/>
                <w:sz w:val="14"/>
                <w:szCs w:val="14"/>
              </w:rPr>
              <w:t>Consolidated</w:t>
            </w:r>
          </w:p>
        </w:tc>
      </w:tr>
      <w:tr w:rsidR="006A362F" w:rsidRPr="000F5532" w14:paraId="182489D7"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tcBorders>
              <w:top w:val="nil"/>
              <w:bottom w:val="single" w:sz="2" w:space="0" w:color="1F4E79" w:themeColor="accent1" w:themeShade="80"/>
            </w:tcBorders>
            <w:shd w:val="clear" w:color="auto" w:fill="auto"/>
            <w:vAlign w:val="center"/>
          </w:tcPr>
          <w:p w14:paraId="3DAED09A" w14:textId="77777777" w:rsidR="006A362F" w:rsidRPr="00D511DC" w:rsidRDefault="006A362F" w:rsidP="007333CF">
            <w:pPr>
              <w:rPr>
                <w:rFonts w:cs="Arial"/>
                <w:color w:val="FF0000"/>
                <w:sz w:val="14"/>
                <w:szCs w:val="14"/>
              </w:rPr>
            </w:pPr>
            <w:r w:rsidRPr="00D511DC">
              <w:rPr>
                <w:rFonts w:cs="Arial"/>
                <w:color w:val="FF0000"/>
                <w:sz w:val="14"/>
                <w:szCs w:val="14"/>
              </w:rPr>
              <w:t xml:space="preserve"> </w:t>
            </w:r>
          </w:p>
        </w:tc>
        <w:tc>
          <w:tcPr>
            <w:tcW w:w="1134" w:type="dxa"/>
            <w:gridSpan w:val="2"/>
            <w:tcBorders>
              <w:top w:val="single" w:sz="2" w:space="0" w:color="1F4E79" w:themeColor="accent1" w:themeShade="80"/>
              <w:bottom w:val="single" w:sz="2" w:space="0" w:color="1F4E79" w:themeColor="accent1" w:themeShade="80"/>
            </w:tcBorders>
            <w:shd w:val="clear" w:color="auto" w:fill="auto"/>
            <w:vAlign w:val="center"/>
          </w:tcPr>
          <w:p w14:paraId="76857E75" w14:textId="77777777" w:rsidR="006A362F" w:rsidRPr="00D511DC" w:rsidRDefault="006A362F"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BB Mapfre</w:t>
            </w:r>
          </w:p>
        </w:tc>
        <w:tc>
          <w:tcPr>
            <w:tcW w:w="1037" w:type="dxa"/>
            <w:gridSpan w:val="2"/>
            <w:tcBorders>
              <w:top w:val="single" w:sz="2" w:space="0" w:color="1F4E79" w:themeColor="accent1" w:themeShade="80"/>
              <w:bottom w:val="single" w:sz="2" w:space="0" w:color="1F4E79" w:themeColor="accent1" w:themeShade="80"/>
            </w:tcBorders>
            <w:shd w:val="clear" w:color="auto" w:fill="auto"/>
            <w:vAlign w:val="center"/>
          </w:tcPr>
          <w:p w14:paraId="7A513886" w14:textId="77777777" w:rsidR="006A362F" w:rsidRPr="00D511DC" w:rsidRDefault="006A362F"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Brasilprev</w:t>
            </w:r>
          </w:p>
        </w:tc>
        <w:tc>
          <w:tcPr>
            <w:tcW w:w="955" w:type="dxa"/>
            <w:gridSpan w:val="2"/>
            <w:tcBorders>
              <w:top w:val="single" w:sz="2" w:space="0" w:color="1F4E79" w:themeColor="accent1" w:themeShade="80"/>
              <w:bottom w:val="single" w:sz="2" w:space="0" w:color="1F4E79" w:themeColor="accent1" w:themeShade="80"/>
            </w:tcBorders>
            <w:shd w:val="clear" w:color="auto" w:fill="auto"/>
            <w:vAlign w:val="center"/>
          </w:tcPr>
          <w:p w14:paraId="18F26DC9" w14:textId="77777777" w:rsidR="006A362F" w:rsidRPr="00D511DC" w:rsidRDefault="006A362F"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Brasilcap</w:t>
            </w:r>
          </w:p>
        </w:tc>
        <w:tc>
          <w:tcPr>
            <w:tcW w:w="1135" w:type="dxa"/>
            <w:gridSpan w:val="2"/>
            <w:tcBorders>
              <w:top w:val="single" w:sz="2" w:space="0" w:color="1F4E79" w:themeColor="accent1" w:themeShade="80"/>
              <w:bottom w:val="single" w:sz="2" w:space="0" w:color="1F4E79" w:themeColor="accent1" w:themeShade="80"/>
            </w:tcBorders>
            <w:shd w:val="clear" w:color="auto" w:fill="auto"/>
            <w:vAlign w:val="center"/>
          </w:tcPr>
          <w:p w14:paraId="276A6A4C" w14:textId="77777777" w:rsidR="006A362F" w:rsidRPr="00D511DC" w:rsidRDefault="006A362F"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Brasildental</w:t>
            </w:r>
          </w:p>
        </w:tc>
        <w:tc>
          <w:tcPr>
            <w:tcW w:w="838" w:type="dxa"/>
            <w:gridSpan w:val="2"/>
            <w:tcBorders>
              <w:top w:val="single" w:sz="2" w:space="0" w:color="1F4E79" w:themeColor="accent1" w:themeShade="80"/>
              <w:bottom w:val="single" w:sz="2" w:space="0" w:color="1F4E79" w:themeColor="accent1" w:themeShade="80"/>
            </w:tcBorders>
            <w:shd w:val="clear" w:color="auto" w:fill="auto"/>
            <w:vAlign w:val="center"/>
          </w:tcPr>
          <w:p w14:paraId="387CBAE1" w14:textId="77777777" w:rsidR="006A362F" w:rsidRPr="00D511DC" w:rsidRDefault="006A362F"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Ciclic</w:t>
            </w:r>
          </w:p>
        </w:tc>
        <w:tc>
          <w:tcPr>
            <w:tcW w:w="1006" w:type="dxa"/>
            <w:gridSpan w:val="2"/>
            <w:tcBorders>
              <w:top w:val="single" w:sz="2" w:space="0" w:color="1F4E79" w:themeColor="accent1" w:themeShade="80"/>
              <w:bottom w:val="single" w:sz="2" w:space="0" w:color="1F4E79" w:themeColor="accent1" w:themeShade="80"/>
            </w:tcBorders>
            <w:shd w:val="clear" w:color="auto" w:fill="auto"/>
            <w:vAlign w:val="center"/>
          </w:tcPr>
          <w:p w14:paraId="241A1857" w14:textId="77777777" w:rsidR="006A362F" w:rsidRPr="00D511DC" w:rsidRDefault="006A362F"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Total</w:t>
            </w:r>
          </w:p>
        </w:tc>
      </w:tr>
      <w:tr w:rsidR="006A362F" w:rsidRPr="00FB2B7E" w14:paraId="7B93C4A0"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tcBorders>
              <w:top w:val="single" w:sz="2" w:space="0" w:color="1F4E79" w:themeColor="accent1" w:themeShade="80"/>
            </w:tcBorders>
            <w:shd w:val="clear" w:color="auto" w:fill="auto"/>
            <w:vAlign w:val="center"/>
          </w:tcPr>
          <w:p w14:paraId="4CC8B47A" w14:textId="77777777" w:rsidR="006A362F" w:rsidRPr="00D511DC" w:rsidRDefault="006A362F" w:rsidP="005C3AB8">
            <w:pPr>
              <w:rPr>
                <w:rFonts w:cs="Arial"/>
                <w:b w:val="0"/>
                <w:bCs w:val="0"/>
                <w:sz w:val="14"/>
                <w:szCs w:val="14"/>
              </w:rPr>
            </w:pPr>
            <w:r w:rsidRPr="00D511DC">
              <w:rPr>
                <w:rFonts w:cs="Arial"/>
                <w:sz w:val="14"/>
                <w:szCs w:val="14"/>
              </w:rPr>
              <w:t xml:space="preserve">Balance on </w:t>
            </w:r>
            <w:r>
              <w:rPr>
                <w:rFonts w:cs="Arial"/>
                <w:sz w:val="14"/>
                <w:szCs w:val="14"/>
              </w:rPr>
              <w:t xml:space="preserve">Mar 31, </w:t>
            </w:r>
            <w:r w:rsidRPr="00D511DC">
              <w:rPr>
                <w:rFonts w:cs="Arial"/>
                <w:sz w:val="14"/>
                <w:szCs w:val="14"/>
              </w:rPr>
              <w:t>202</w:t>
            </w:r>
            <w:r>
              <w:rPr>
                <w:rFonts w:cs="Arial"/>
                <w:sz w:val="14"/>
                <w:szCs w:val="14"/>
              </w:rPr>
              <w:t>3</w:t>
            </w:r>
          </w:p>
        </w:tc>
        <w:tc>
          <w:tcPr>
            <w:tcW w:w="1134" w:type="dxa"/>
            <w:gridSpan w:val="2"/>
            <w:tcBorders>
              <w:top w:val="single" w:sz="2" w:space="0" w:color="1F4E79" w:themeColor="accent1" w:themeShade="80"/>
            </w:tcBorders>
            <w:shd w:val="clear" w:color="auto" w:fill="auto"/>
            <w:vAlign w:val="center"/>
          </w:tcPr>
          <w:p w14:paraId="4AC08F13"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D511DC">
              <w:rPr>
                <w:rFonts w:cs="Arial"/>
                <w:color w:val="000000"/>
                <w:sz w:val="14"/>
                <w:szCs w:val="14"/>
              </w:rPr>
              <w:t xml:space="preserve">              </w:t>
            </w:r>
          </w:p>
        </w:tc>
        <w:tc>
          <w:tcPr>
            <w:tcW w:w="1037" w:type="dxa"/>
            <w:gridSpan w:val="2"/>
            <w:tcBorders>
              <w:top w:val="single" w:sz="2" w:space="0" w:color="1F4E79" w:themeColor="accent1" w:themeShade="80"/>
            </w:tcBorders>
            <w:shd w:val="clear" w:color="auto" w:fill="auto"/>
            <w:vAlign w:val="center"/>
          </w:tcPr>
          <w:p w14:paraId="583DB52D" w14:textId="77777777" w:rsidR="006A362F" w:rsidRPr="00D511DC" w:rsidRDefault="006A362F"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955" w:type="dxa"/>
            <w:gridSpan w:val="2"/>
            <w:tcBorders>
              <w:top w:val="single" w:sz="2" w:space="0" w:color="1F4E79" w:themeColor="accent1" w:themeShade="80"/>
            </w:tcBorders>
            <w:shd w:val="clear" w:color="auto" w:fill="auto"/>
            <w:vAlign w:val="center"/>
          </w:tcPr>
          <w:p w14:paraId="525C610E" w14:textId="77777777" w:rsidR="006A362F" w:rsidRPr="00D511DC" w:rsidRDefault="006A362F"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35" w:type="dxa"/>
            <w:gridSpan w:val="2"/>
            <w:tcBorders>
              <w:top w:val="single" w:sz="2" w:space="0" w:color="1F4E79" w:themeColor="accent1" w:themeShade="80"/>
            </w:tcBorders>
            <w:shd w:val="clear" w:color="auto" w:fill="auto"/>
            <w:vAlign w:val="center"/>
          </w:tcPr>
          <w:p w14:paraId="3D042A88" w14:textId="77777777" w:rsidR="006A362F" w:rsidRPr="00D511DC" w:rsidRDefault="006A362F"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838" w:type="dxa"/>
            <w:gridSpan w:val="2"/>
            <w:tcBorders>
              <w:top w:val="single" w:sz="2" w:space="0" w:color="1F4E79" w:themeColor="accent1" w:themeShade="80"/>
            </w:tcBorders>
            <w:shd w:val="clear" w:color="auto" w:fill="auto"/>
            <w:vAlign w:val="center"/>
          </w:tcPr>
          <w:p w14:paraId="63E07214" w14:textId="77777777" w:rsidR="006A362F" w:rsidRPr="00D511DC" w:rsidRDefault="006A362F"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006" w:type="dxa"/>
            <w:gridSpan w:val="2"/>
            <w:tcBorders>
              <w:top w:val="single" w:sz="2" w:space="0" w:color="1F4E79" w:themeColor="accent1" w:themeShade="80"/>
            </w:tcBorders>
            <w:shd w:val="clear" w:color="auto" w:fill="auto"/>
            <w:vAlign w:val="center"/>
          </w:tcPr>
          <w:p w14:paraId="34855ED4" w14:textId="77777777" w:rsidR="006A362F" w:rsidRPr="00D511DC" w:rsidRDefault="006A362F" w:rsidP="007333CF">
            <w:pPr>
              <w:pStyle w:val="08-Tabelageral"/>
              <w:ind w:left="113"/>
              <w:cnfStyle w:val="000000010000" w:firstRow="0" w:lastRow="0" w:firstColumn="0" w:lastColumn="0" w:oddVBand="0" w:evenVBand="0" w:oddHBand="0" w:evenHBand="1" w:firstRowFirstColumn="0" w:firstRowLastColumn="0" w:lastRowFirstColumn="0" w:lastRowLastColumn="0"/>
              <w:rPr>
                <w:b/>
                <w:bCs/>
                <w:szCs w:val="14"/>
              </w:rPr>
            </w:pPr>
          </w:p>
        </w:tc>
      </w:tr>
      <w:tr w:rsidR="006A362F" w:rsidRPr="00FB2B7E" w14:paraId="4399ABD3"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6EEB379E" w14:textId="77777777" w:rsidR="006A362F" w:rsidRPr="00D511DC" w:rsidRDefault="006A362F" w:rsidP="003F4F79">
            <w:pPr>
              <w:rPr>
                <w:b w:val="0"/>
                <w:bCs w:val="0"/>
                <w:color w:val="auto"/>
                <w:sz w:val="14"/>
                <w:szCs w:val="14"/>
              </w:rPr>
            </w:pPr>
            <w:r w:rsidRPr="00D511DC">
              <w:rPr>
                <w:rFonts w:cs="Arial"/>
                <w:b w:val="0"/>
                <w:sz w:val="14"/>
                <w:szCs w:val="14"/>
              </w:rPr>
              <w:t>Capital</w:t>
            </w:r>
          </w:p>
        </w:tc>
        <w:tc>
          <w:tcPr>
            <w:tcW w:w="1134" w:type="dxa"/>
            <w:gridSpan w:val="2"/>
            <w:shd w:val="clear" w:color="auto" w:fill="auto"/>
            <w:vAlign w:val="center"/>
          </w:tcPr>
          <w:p w14:paraId="50C18E3A"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037" w:type="dxa"/>
            <w:gridSpan w:val="2"/>
            <w:shd w:val="clear" w:color="auto" w:fill="auto"/>
            <w:vAlign w:val="center"/>
          </w:tcPr>
          <w:p w14:paraId="2C7A1B37"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955" w:type="dxa"/>
            <w:gridSpan w:val="2"/>
            <w:shd w:val="clear" w:color="auto" w:fill="auto"/>
            <w:vAlign w:val="center"/>
          </w:tcPr>
          <w:p w14:paraId="6372E625"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135" w:type="dxa"/>
            <w:gridSpan w:val="2"/>
            <w:shd w:val="clear" w:color="auto" w:fill="auto"/>
            <w:vAlign w:val="center"/>
          </w:tcPr>
          <w:p w14:paraId="49F3F920"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838" w:type="dxa"/>
            <w:gridSpan w:val="2"/>
            <w:shd w:val="clear" w:color="auto" w:fill="auto"/>
            <w:vAlign w:val="center"/>
          </w:tcPr>
          <w:p w14:paraId="2FA918BE"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006" w:type="dxa"/>
            <w:gridSpan w:val="2"/>
            <w:shd w:val="clear" w:color="auto" w:fill="auto"/>
            <w:vAlign w:val="center"/>
          </w:tcPr>
          <w:p w14:paraId="0526FBE1"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rFonts w:cs="Arial"/>
                <w:b/>
                <w:bCs/>
                <w:color w:val="000000"/>
                <w:szCs w:val="14"/>
              </w:rPr>
              <w:t>--</w:t>
            </w:r>
          </w:p>
        </w:tc>
      </w:tr>
      <w:tr w:rsidR="006A362F" w:rsidRPr="00FB2B7E" w14:paraId="2F291B82"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79618342" w14:textId="77777777" w:rsidR="006A362F" w:rsidRPr="00D511DC" w:rsidRDefault="006A362F" w:rsidP="003F4F79">
            <w:pPr>
              <w:rPr>
                <w:rFonts w:cs="Arial"/>
                <w:b w:val="0"/>
                <w:bCs w:val="0"/>
                <w:color w:val="auto"/>
                <w:sz w:val="14"/>
                <w:szCs w:val="14"/>
              </w:rPr>
            </w:pPr>
            <w:r w:rsidRPr="00D511DC">
              <w:rPr>
                <w:rFonts w:cs="Arial"/>
                <w:b w:val="0"/>
                <w:sz w:val="14"/>
                <w:szCs w:val="14"/>
              </w:rPr>
              <w:t xml:space="preserve">Stockholders' equity </w:t>
            </w:r>
          </w:p>
        </w:tc>
        <w:tc>
          <w:tcPr>
            <w:tcW w:w="1134" w:type="dxa"/>
            <w:gridSpan w:val="2"/>
            <w:shd w:val="clear" w:color="auto" w:fill="auto"/>
            <w:vAlign w:val="center"/>
          </w:tcPr>
          <w:p w14:paraId="2CF5715D"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2,897,609</w:t>
            </w:r>
          </w:p>
        </w:tc>
        <w:tc>
          <w:tcPr>
            <w:tcW w:w="1037" w:type="dxa"/>
            <w:gridSpan w:val="2"/>
            <w:shd w:val="clear" w:color="auto" w:fill="auto"/>
            <w:vAlign w:val="center"/>
          </w:tcPr>
          <w:p w14:paraId="5F0AD653"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6,816,420</w:t>
            </w:r>
          </w:p>
        </w:tc>
        <w:tc>
          <w:tcPr>
            <w:tcW w:w="955" w:type="dxa"/>
            <w:gridSpan w:val="2"/>
            <w:shd w:val="clear" w:color="auto" w:fill="auto"/>
            <w:vAlign w:val="center"/>
          </w:tcPr>
          <w:p w14:paraId="3DCD0A51"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682,326</w:t>
            </w:r>
          </w:p>
        </w:tc>
        <w:tc>
          <w:tcPr>
            <w:tcW w:w="1135" w:type="dxa"/>
            <w:gridSpan w:val="2"/>
            <w:shd w:val="clear" w:color="auto" w:fill="auto"/>
            <w:vAlign w:val="center"/>
          </w:tcPr>
          <w:p w14:paraId="7E1188EF"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26,540</w:t>
            </w:r>
          </w:p>
        </w:tc>
        <w:tc>
          <w:tcPr>
            <w:tcW w:w="838" w:type="dxa"/>
            <w:gridSpan w:val="2"/>
            <w:shd w:val="clear" w:color="auto" w:fill="auto"/>
            <w:vAlign w:val="center"/>
          </w:tcPr>
          <w:p w14:paraId="01BF2BEB"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2,056</w:t>
            </w:r>
          </w:p>
        </w:tc>
        <w:tc>
          <w:tcPr>
            <w:tcW w:w="1006" w:type="dxa"/>
            <w:gridSpan w:val="2"/>
            <w:shd w:val="clear" w:color="auto" w:fill="auto"/>
            <w:vAlign w:val="center"/>
          </w:tcPr>
          <w:p w14:paraId="1E0489D9" w14:textId="77777777" w:rsidR="006A362F" w:rsidRPr="00D511DC"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b/>
                <w:bCs/>
                <w:color w:val="auto"/>
                <w:szCs w:val="14"/>
              </w:rPr>
            </w:pPr>
            <w:r>
              <w:rPr>
                <w:rFonts w:cs="Arial"/>
                <w:b/>
                <w:bCs/>
                <w:color w:val="000000"/>
                <w:szCs w:val="14"/>
              </w:rPr>
              <w:t>--</w:t>
            </w:r>
          </w:p>
        </w:tc>
      </w:tr>
      <w:tr w:rsidR="006A362F" w:rsidRPr="00B32376" w14:paraId="2C0DDB07"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57111441" w14:textId="77777777" w:rsidR="006A362F" w:rsidRPr="00D511DC" w:rsidRDefault="006A362F" w:rsidP="003F4F79">
            <w:pPr>
              <w:pStyle w:val="08-Tabelageral"/>
              <w:jc w:val="left"/>
              <w:rPr>
                <w:rFonts w:cs="Arial"/>
                <w:b w:val="0"/>
                <w:szCs w:val="14"/>
              </w:rPr>
            </w:pPr>
            <w:r w:rsidRPr="00D511DC">
              <w:rPr>
                <w:rFonts w:cs="Arial"/>
                <w:szCs w:val="14"/>
              </w:rPr>
              <w:t xml:space="preserve">Balance on </w:t>
            </w:r>
            <w:r>
              <w:rPr>
                <w:rFonts w:cs="Arial"/>
                <w:szCs w:val="14"/>
              </w:rPr>
              <w:t xml:space="preserve">Dec </w:t>
            </w:r>
            <w:r w:rsidRPr="00D511DC">
              <w:rPr>
                <w:rFonts w:cs="Arial"/>
                <w:szCs w:val="14"/>
              </w:rPr>
              <w:t>31</w:t>
            </w:r>
            <w:r>
              <w:rPr>
                <w:rFonts w:cs="Arial"/>
                <w:szCs w:val="14"/>
              </w:rPr>
              <w:t xml:space="preserve">, </w:t>
            </w:r>
            <w:r w:rsidRPr="00D511DC">
              <w:rPr>
                <w:rFonts w:cs="Arial"/>
                <w:szCs w:val="14"/>
              </w:rPr>
              <w:t>202</w:t>
            </w:r>
            <w:r>
              <w:rPr>
                <w:rFonts w:cs="Arial"/>
                <w:szCs w:val="14"/>
              </w:rPr>
              <w:t>2</w:t>
            </w:r>
          </w:p>
        </w:tc>
        <w:tc>
          <w:tcPr>
            <w:tcW w:w="1134" w:type="dxa"/>
            <w:gridSpan w:val="2"/>
            <w:shd w:val="clear" w:color="auto" w:fill="auto"/>
            <w:vAlign w:val="center"/>
          </w:tcPr>
          <w:p w14:paraId="4542ED23"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37" w:type="dxa"/>
            <w:gridSpan w:val="2"/>
            <w:shd w:val="clear" w:color="auto" w:fill="auto"/>
            <w:vAlign w:val="center"/>
          </w:tcPr>
          <w:p w14:paraId="3390244B"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955" w:type="dxa"/>
            <w:gridSpan w:val="2"/>
            <w:shd w:val="clear" w:color="auto" w:fill="auto"/>
            <w:vAlign w:val="center"/>
          </w:tcPr>
          <w:p w14:paraId="3BCD1D26"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135" w:type="dxa"/>
            <w:gridSpan w:val="2"/>
            <w:shd w:val="clear" w:color="auto" w:fill="auto"/>
            <w:vAlign w:val="center"/>
          </w:tcPr>
          <w:p w14:paraId="46E414B8"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838" w:type="dxa"/>
            <w:gridSpan w:val="2"/>
            <w:shd w:val="clear" w:color="auto" w:fill="auto"/>
            <w:vAlign w:val="center"/>
          </w:tcPr>
          <w:p w14:paraId="36FBAF7C"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color w:val="000000"/>
                <w:sz w:val="14"/>
                <w:szCs w:val="14"/>
              </w:rPr>
              <w:t> </w:t>
            </w:r>
          </w:p>
        </w:tc>
        <w:tc>
          <w:tcPr>
            <w:tcW w:w="1006" w:type="dxa"/>
            <w:gridSpan w:val="2"/>
            <w:shd w:val="clear" w:color="auto" w:fill="auto"/>
            <w:vAlign w:val="center"/>
          </w:tcPr>
          <w:p w14:paraId="7087FD50"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6A362F" w:rsidRPr="00B32376" w14:paraId="2B56FC71"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2A9863DA" w14:textId="77777777" w:rsidR="006A362F" w:rsidRPr="00D511DC" w:rsidRDefault="006A362F" w:rsidP="003F4F79">
            <w:pPr>
              <w:pStyle w:val="08-Tabelageral"/>
              <w:jc w:val="left"/>
              <w:rPr>
                <w:rFonts w:cs="Arial"/>
                <w:b w:val="0"/>
                <w:szCs w:val="14"/>
              </w:rPr>
            </w:pPr>
            <w:r w:rsidRPr="00D511DC">
              <w:rPr>
                <w:rFonts w:cs="Arial"/>
                <w:b w:val="0"/>
                <w:szCs w:val="14"/>
              </w:rPr>
              <w:t>Capital</w:t>
            </w:r>
          </w:p>
        </w:tc>
        <w:tc>
          <w:tcPr>
            <w:tcW w:w="1134" w:type="dxa"/>
            <w:gridSpan w:val="2"/>
            <w:shd w:val="clear" w:color="auto" w:fill="auto"/>
            <w:vAlign w:val="center"/>
          </w:tcPr>
          <w:p w14:paraId="333B6089"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1,469,848</w:t>
            </w:r>
          </w:p>
        </w:tc>
        <w:tc>
          <w:tcPr>
            <w:tcW w:w="1037" w:type="dxa"/>
            <w:gridSpan w:val="2"/>
            <w:shd w:val="clear" w:color="auto" w:fill="auto"/>
            <w:vAlign w:val="center"/>
          </w:tcPr>
          <w:p w14:paraId="07F34668"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3,529,257</w:t>
            </w:r>
          </w:p>
        </w:tc>
        <w:tc>
          <w:tcPr>
            <w:tcW w:w="955" w:type="dxa"/>
            <w:gridSpan w:val="2"/>
            <w:shd w:val="clear" w:color="auto" w:fill="auto"/>
            <w:vAlign w:val="center"/>
          </w:tcPr>
          <w:p w14:paraId="1AE0C712"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354,398</w:t>
            </w:r>
          </w:p>
        </w:tc>
        <w:tc>
          <w:tcPr>
            <w:tcW w:w="1135" w:type="dxa"/>
            <w:gridSpan w:val="2"/>
            <w:shd w:val="clear" w:color="auto" w:fill="auto"/>
            <w:vAlign w:val="center"/>
          </w:tcPr>
          <w:p w14:paraId="3C41B55C"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9,500</w:t>
            </w:r>
          </w:p>
        </w:tc>
        <w:tc>
          <w:tcPr>
            <w:tcW w:w="838" w:type="dxa"/>
            <w:gridSpan w:val="2"/>
            <w:shd w:val="clear" w:color="auto" w:fill="auto"/>
            <w:vAlign w:val="center"/>
          </w:tcPr>
          <w:p w14:paraId="3FD770A0"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61,133</w:t>
            </w:r>
          </w:p>
        </w:tc>
        <w:tc>
          <w:tcPr>
            <w:tcW w:w="1006" w:type="dxa"/>
            <w:gridSpan w:val="2"/>
            <w:shd w:val="clear" w:color="auto" w:fill="auto"/>
            <w:vAlign w:val="center"/>
          </w:tcPr>
          <w:p w14:paraId="47087AAC"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6A362F" w:rsidRPr="00B32376" w14:paraId="37A001D0"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431F3A5E" w14:textId="77777777" w:rsidR="006A362F" w:rsidRPr="005C3AB8" w:rsidRDefault="006A362F" w:rsidP="00FF7205">
            <w:pPr>
              <w:pStyle w:val="08-Tabelageral"/>
              <w:jc w:val="left"/>
              <w:rPr>
                <w:rFonts w:cs="Arial"/>
                <w:b w:val="0"/>
                <w:szCs w:val="14"/>
              </w:rPr>
            </w:pPr>
            <w:r w:rsidRPr="005C3AB8">
              <w:rPr>
                <w:rFonts w:cs="Arial"/>
                <w:b w:val="0"/>
                <w:szCs w:val="14"/>
              </w:rPr>
              <w:t xml:space="preserve">Stockholders' equity </w:t>
            </w:r>
            <w:r w:rsidRPr="005C3AB8">
              <w:rPr>
                <w:rStyle w:val="rynqvb"/>
                <w:b w:val="0"/>
                <w:lang w:val="en"/>
              </w:rPr>
              <w:t>(</w:t>
            </w:r>
            <w:r>
              <w:rPr>
                <w:rStyle w:val="rynqvb"/>
                <w:b w:val="0"/>
                <w:lang w:val="en"/>
              </w:rPr>
              <w:t>restated balances</w:t>
            </w:r>
            <w:r w:rsidRPr="005C3AB8">
              <w:rPr>
                <w:rStyle w:val="rynqvb"/>
                <w:b w:val="0"/>
                <w:lang w:val="en"/>
              </w:rPr>
              <w:t>)</w:t>
            </w:r>
          </w:p>
        </w:tc>
        <w:tc>
          <w:tcPr>
            <w:tcW w:w="1134" w:type="dxa"/>
            <w:gridSpan w:val="2"/>
            <w:shd w:val="clear" w:color="auto" w:fill="auto"/>
            <w:vAlign w:val="center"/>
          </w:tcPr>
          <w:p w14:paraId="200EEE49"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2,743,341</w:t>
            </w:r>
          </w:p>
        </w:tc>
        <w:tc>
          <w:tcPr>
            <w:tcW w:w="1037" w:type="dxa"/>
            <w:gridSpan w:val="2"/>
            <w:shd w:val="clear" w:color="auto" w:fill="auto"/>
            <w:vAlign w:val="center"/>
          </w:tcPr>
          <w:p w14:paraId="77D81A97"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6,475,903</w:t>
            </w:r>
          </w:p>
        </w:tc>
        <w:tc>
          <w:tcPr>
            <w:tcW w:w="955" w:type="dxa"/>
            <w:gridSpan w:val="2"/>
            <w:shd w:val="clear" w:color="auto" w:fill="auto"/>
            <w:vAlign w:val="center"/>
          </w:tcPr>
          <w:p w14:paraId="38811C46"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649,780</w:t>
            </w:r>
          </w:p>
        </w:tc>
        <w:tc>
          <w:tcPr>
            <w:tcW w:w="1135" w:type="dxa"/>
            <w:gridSpan w:val="2"/>
            <w:shd w:val="clear" w:color="auto" w:fill="auto"/>
            <w:vAlign w:val="center"/>
          </w:tcPr>
          <w:p w14:paraId="4C26885D"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21,992</w:t>
            </w:r>
          </w:p>
        </w:tc>
        <w:tc>
          <w:tcPr>
            <w:tcW w:w="838" w:type="dxa"/>
            <w:gridSpan w:val="2"/>
            <w:shd w:val="clear" w:color="auto" w:fill="auto"/>
            <w:vAlign w:val="center"/>
          </w:tcPr>
          <w:p w14:paraId="7D4A36F1"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006" w:type="dxa"/>
            <w:gridSpan w:val="2"/>
            <w:shd w:val="clear" w:color="auto" w:fill="auto"/>
            <w:vAlign w:val="center"/>
          </w:tcPr>
          <w:p w14:paraId="232AAF9E"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6A362F" w:rsidRPr="00B32376" w14:paraId="7BC71AB1"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tcBorders>
              <w:bottom w:val="single" w:sz="2" w:space="0" w:color="1F4E79" w:themeColor="accent1" w:themeShade="80"/>
            </w:tcBorders>
            <w:shd w:val="clear" w:color="auto" w:fill="auto"/>
            <w:vAlign w:val="center"/>
          </w:tcPr>
          <w:p w14:paraId="107251FF" w14:textId="77777777" w:rsidR="006A362F" w:rsidRPr="00D511DC" w:rsidRDefault="006A362F" w:rsidP="007333CF">
            <w:pPr>
              <w:pStyle w:val="08-Tabelageral"/>
              <w:jc w:val="left"/>
              <w:rPr>
                <w:rFonts w:cs="Arial"/>
                <w:szCs w:val="14"/>
              </w:rPr>
            </w:pPr>
          </w:p>
        </w:tc>
        <w:tc>
          <w:tcPr>
            <w:tcW w:w="1134" w:type="dxa"/>
            <w:gridSpan w:val="2"/>
            <w:tcBorders>
              <w:bottom w:val="single" w:sz="2" w:space="0" w:color="1F4E79" w:themeColor="accent1" w:themeShade="80"/>
            </w:tcBorders>
            <w:shd w:val="clear" w:color="auto" w:fill="auto"/>
            <w:vAlign w:val="center"/>
          </w:tcPr>
          <w:p w14:paraId="0CC0576A"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37" w:type="dxa"/>
            <w:gridSpan w:val="2"/>
            <w:tcBorders>
              <w:bottom w:val="single" w:sz="2" w:space="0" w:color="1F4E79" w:themeColor="accent1" w:themeShade="80"/>
            </w:tcBorders>
            <w:shd w:val="clear" w:color="auto" w:fill="auto"/>
            <w:vAlign w:val="center"/>
          </w:tcPr>
          <w:p w14:paraId="49E644B0"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955" w:type="dxa"/>
            <w:gridSpan w:val="2"/>
            <w:tcBorders>
              <w:bottom w:val="single" w:sz="2" w:space="0" w:color="1F4E79" w:themeColor="accent1" w:themeShade="80"/>
            </w:tcBorders>
            <w:shd w:val="clear" w:color="auto" w:fill="auto"/>
            <w:vAlign w:val="center"/>
          </w:tcPr>
          <w:p w14:paraId="21E60335"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35" w:type="dxa"/>
            <w:gridSpan w:val="2"/>
            <w:tcBorders>
              <w:bottom w:val="single" w:sz="2" w:space="0" w:color="1F4E79" w:themeColor="accent1" w:themeShade="80"/>
            </w:tcBorders>
            <w:shd w:val="clear" w:color="auto" w:fill="auto"/>
            <w:vAlign w:val="center"/>
          </w:tcPr>
          <w:p w14:paraId="1015D7FB"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838" w:type="dxa"/>
            <w:gridSpan w:val="2"/>
            <w:tcBorders>
              <w:bottom w:val="single" w:sz="2" w:space="0" w:color="1F4E79" w:themeColor="accent1" w:themeShade="80"/>
            </w:tcBorders>
            <w:shd w:val="clear" w:color="auto" w:fill="auto"/>
            <w:vAlign w:val="center"/>
          </w:tcPr>
          <w:p w14:paraId="310B75DA"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06" w:type="dxa"/>
            <w:gridSpan w:val="2"/>
            <w:tcBorders>
              <w:bottom w:val="single" w:sz="2" w:space="0" w:color="1F4E79" w:themeColor="accent1" w:themeShade="80"/>
            </w:tcBorders>
            <w:shd w:val="clear" w:color="auto" w:fill="auto"/>
            <w:vAlign w:val="center"/>
          </w:tcPr>
          <w:p w14:paraId="1FB4F27B" w14:textId="77777777" w:rsidR="006A362F" w:rsidRPr="00D511DC" w:rsidRDefault="006A362F"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r w:rsidR="006A362F" w:rsidRPr="00FE3061" w14:paraId="6A0A9CDA"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498" w:type="dxa"/>
            <w:gridSpan w:val="13"/>
            <w:tcBorders>
              <w:top w:val="single" w:sz="2" w:space="0" w:color="1F4E79" w:themeColor="accent1" w:themeShade="80"/>
              <w:bottom w:val="single" w:sz="2" w:space="0" w:color="1F4E79" w:themeColor="accent1" w:themeShade="80"/>
            </w:tcBorders>
            <w:shd w:val="clear" w:color="auto" w:fill="auto"/>
            <w:vAlign w:val="center"/>
          </w:tcPr>
          <w:p w14:paraId="2057F97B" w14:textId="77777777" w:rsidR="006A362F" w:rsidRPr="005C3AB8" w:rsidRDefault="006A362F" w:rsidP="005C3AB8">
            <w:pPr>
              <w:ind w:firstLine="120"/>
              <w:rPr>
                <w:rFonts w:eastAsia="Times New Roman" w:cs="Arial"/>
                <w:spacing w:val="-2"/>
                <w:sz w:val="14"/>
                <w:szCs w:val="14"/>
                <w:lang w:val="en-US" w:eastAsia="pt-BR"/>
              </w:rPr>
            </w:pPr>
            <w:r w:rsidRPr="005C3AB8">
              <w:rPr>
                <w:rFonts w:cs="Arial"/>
                <w:sz w:val="14"/>
                <w:szCs w:val="14"/>
                <w:lang w:val="en-US"/>
              </w:rPr>
              <w:t xml:space="preserve">Moviments in 01.01 to </w:t>
            </w:r>
            <w:r>
              <w:rPr>
                <w:rFonts w:cs="Arial"/>
                <w:sz w:val="14"/>
                <w:szCs w:val="14"/>
                <w:lang w:val="en-US"/>
              </w:rPr>
              <w:t>03</w:t>
            </w:r>
            <w:r w:rsidRPr="005C3AB8">
              <w:rPr>
                <w:rFonts w:cs="Arial"/>
                <w:sz w:val="14"/>
                <w:szCs w:val="14"/>
                <w:lang w:val="en-US"/>
              </w:rPr>
              <w:t>.31</w:t>
            </w:r>
            <w:r>
              <w:rPr>
                <w:rFonts w:cs="Arial"/>
                <w:sz w:val="14"/>
                <w:szCs w:val="14"/>
                <w:lang w:val="en-US"/>
              </w:rPr>
              <w:t>.2023</w:t>
            </w:r>
          </w:p>
        </w:tc>
      </w:tr>
      <w:tr w:rsidR="006A362F" w:rsidRPr="00B32376" w14:paraId="4E1685B7"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534" w:type="dxa"/>
            <w:gridSpan w:val="2"/>
            <w:tcBorders>
              <w:top w:val="single" w:sz="2" w:space="0" w:color="1F4E79" w:themeColor="accent1" w:themeShade="80"/>
            </w:tcBorders>
            <w:shd w:val="clear" w:color="auto" w:fill="auto"/>
            <w:vAlign w:val="center"/>
          </w:tcPr>
          <w:p w14:paraId="343047BD" w14:textId="77777777" w:rsidR="006A362F" w:rsidRPr="00CB6B64" w:rsidRDefault="006A362F" w:rsidP="00FF7205">
            <w:pPr>
              <w:pStyle w:val="08-Tabelageral"/>
              <w:jc w:val="left"/>
              <w:rPr>
                <w:color w:val="FF0000"/>
                <w:szCs w:val="14"/>
                <w:lang w:val="en-US"/>
              </w:rPr>
            </w:pPr>
            <w:r w:rsidRPr="00CB6B64">
              <w:rPr>
                <w:rFonts w:cs="Arial"/>
                <w:szCs w:val="14"/>
                <w:lang w:val="en-US"/>
              </w:rPr>
              <w:t>Book Balance on Dec 31, 2022</w:t>
            </w:r>
            <w:r w:rsidRPr="00CB6B64">
              <w:rPr>
                <w:rStyle w:val="rynqvb"/>
                <w:lang w:val="en"/>
              </w:rPr>
              <w:t xml:space="preserve"> (restated balances)</w:t>
            </w:r>
          </w:p>
        </w:tc>
        <w:tc>
          <w:tcPr>
            <w:tcW w:w="1135" w:type="dxa"/>
            <w:gridSpan w:val="2"/>
            <w:tcBorders>
              <w:top w:val="single" w:sz="2" w:space="0" w:color="1F4E79" w:themeColor="accent1" w:themeShade="80"/>
            </w:tcBorders>
            <w:shd w:val="clear" w:color="auto" w:fill="auto"/>
            <w:vAlign w:val="center"/>
          </w:tcPr>
          <w:p w14:paraId="3B3CF0C2"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2,552,517</w:t>
            </w:r>
          </w:p>
        </w:tc>
        <w:tc>
          <w:tcPr>
            <w:tcW w:w="917" w:type="dxa"/>
            <w:gridSpan w:val="2"/>
            <w:tcBorders>
              <w:top w:val="single" w:sz="2" w:space="0" w:color="1F4E79" w:themeColor="accent1" w:themeShade="80"/>
            </w:tcBorders>
            <w:shd w:val="clear" w:color="auto" w:fill="auto"/>
            <w:vAlign w:val="center"/>
          </w:tcPr>
          <w:p w14:paraId="2BED06D0"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4,833,773</w:t>
            </w:r>
          </w:p>
        </w:tc>
        <w:tc>
          <w:tcPr>
            <w:tcW w:w="1074" w:type="dxa"/>
            <w:gridSpan w:val="2"/>
            <w:tcBorders>
              <w:top w:val="single" w:sz="2" w:space="0" w:color="1F4E79" w:themeColor="accent1" w:themeShade="80"/>
            </w:tcBorders>
            <w:shd w:val="clear" w:color="auto" w:fill="auto"/>
            <w:vAlign w:val="center"/>
          </w:tcPr>
          <w:p w14:paraId="3F2B2637"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544,590</w:t>
            </w:r>
          </w:p>
        </w:tc>
        <w:tc>
          <w:tcPr>
            <w:tcW w:w="1135" w:type="dxa"/>
            <w:gridSpan w:val="2"/>
            <w:tcBorders>
              <w:top w:val="single" w:sz="2" w:space="0" w:color="1F4E79" w:themeColor="accent1" w:themeShade="80"/>
            </w:tcBorders>
            <w:shd w:val="clear" w:color="auto" w:fill="auto"/>
            <w:vAlign w:val="center"/>
          </w:tcPr>
          <w:p w14:paraId="7565DED9"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16,494</w:t>
            </w:r>
          </w:p>
        </w:tc>
        <w:tc>
          <w:tcPr>
            <w:tcW w:w="838" w:type="dxa"/>
            <w:gridSpan w:val="2"/>
            <w:tcBorders>
              <w:top w:val="single" w:sz="2" w:space="0" w:color="1F4E79" w:themeColor="accent1" w:themeShade="80"/>
            </w:tcBorders>
            <w:shd w:val="clear" w:color="auto" w:fill="auto"/>
            <w:vAlign w:val="center"/>
          </w:tcPr>
          <w:p w14:paraId="602326FD"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1,506</w:t>
            </w:r>
          </w:p>
        </w:tc>
        <w:tc>
          <w:tcPr>
            <w:tcW w:w="866" w:type="dxa"/>
            <w:tcBorders>
              <w:top w:val="single" w:sz="2" w:space="0" w:color="1F4E79" w:themeColor="accent1" w:themeShade="80"/>
            </w:tcBorders>
            <w:shd w:val="clear" w:color="auto" w:fill="auto"/>
            <w:vAlign w:val="center"/>
          </w:tcPr>
          <w:p w14:paraId="3F9B9100"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7,948,880</w:t>
            </w:r>
          </w:p>
        </w:tc>
      </w:tr>
      <w:tr w:rsidR="006A362F" w:rsidRPr="00FB2B7E" w14:paraId="768EEC8F"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511499B7" w14:textId="77777777" w:rsidR="006A362F" w:rsidRPr="00D511DC" w:rsidRDefault="006A362F" w:rsidP="003F4F79">
            <w:pPr>
              <w:rPr>
                <w:b w:val="0"/>
                <w:color w:val="FF0000"/>
                <w:sz w:val="14"/>
                <w:szCs w:val="14"/>
              </w:rPr>
            </w:pPr>
            <w:r w:rsidRPr="00D511DC">
              <w:rPr>
                <w:rFonts w:cs="Arial"/>
                <w:b w:val="0"/>
                <w:sz w:val="14"/>
                <w:szCs w:val="14"/>
              </w:rPr>
              <w:t>Dividends</w:t>
            </w:r>
          </w:p>
        </w:tc>
        <w:tc>
          <w:tcPr>
            <w:tcW w:w="1134" w:type="dxa"/>
            <w:gridSpan w:val="2"/>
            <w:shd w:val="clear" w:color="auto" w:fill="auto"/>
            <w:vAlign w:val="center"/>
          </w:tcPr>
          <w:p w14:paraId="1E59F253"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(512,181)</w:t>
            </w:r>
          </w:p>
        </w:tc>
        <w:tc>
          <w:tcPr>
            <w:tcW w:w="1037" w:type="dxa"/>
            <w:gridSpan w:val="2"/>
            <w:shd w:val="clear" w:color="auto" w:fill="auto"/>
            <w:vAlign w:val="center"/>
          </w:tcPr>
          <w:p w14:paraId="7BB222C1"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(374,975)</w:t>
            </w:r>
          </w:p>
        </w:tc>
        <w:tc>
          <w:tcPr>
            <w:tcW w:w="955" w:type="dxa"/>
            <w:gridSpan w:val="2"/>
            <w:shd w:val="clear" w:color="auto" w:fill="auto"/>
            <w:vAlign w:val="center"/>
          </w:tcPr>
          <w:p w14:paraId="7BEC46B0"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(30,824)</w:t>
            </w:r>
          </w:p>
        </w:tc>
        <w:tc>
          <w:tcPr>
            <w:tcW w:w="1135" w:type="dxa"/>
            <w:gridSpan w:val="2"/>
            <w:shd w:val="clear" w:color="auto" w:fill="auto"/>
            <w:vAlign w:val="center"/>
          </w:tcPr>
          <w:p w14:paraId="3260C274"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(3,000)</w:t>
            </w:r>
          </w:p>
        </w:tc>
        <w:tc>
          <w:tcPr>
            <w:tcW w:w="838" w:type="dxa"/>
            <w:gridSpan w:val="2"/>
            <w:shd w:val="clear" w:color="auto" w:fill="auto"/>
            <w:vAlign w:val="center"/>
          </w:tcPr>
          <w:p w14:paraId="4510A100"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w:t>
            </w:r>
          </w:p>
        </w:tc>
        <w:tc>
          <w:tcPr>
            <w:tcW w:w="1006" w:type="dxa"/>
            <w:gridSpan w:val="2"/>
            <w:shd w:val="clear" w:color="auto" w:fill="auto"/>
            <w:vAlign w:val="center"/>
          </w:tcPr>
          <w:p w14:paraId="29FD5411"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(920,980)</w:t>
            </w:r>
          </w:p>
        </w:tc>
      </w:tr>
      <w:tr w:rsidR="006A362F" w:rsidRPr="00FB2B7E" w14:paraId="2719D638"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641628BA" w14:textId="77777777" w:rsidR="006A362F" w:rsidRPr="00D511DC" w:rsidRDefault="006A362F" w:rsidP="003F4F79">
            <w:pPr>
              <w:pStyle w:val="08-Tabelageral"/>
              <w:jc w:val="left"/>
              <w:rPr>
                <w:b w:val="0"/>
                <w:color w:val="FF0000"/>
                <w:szCs w:val="14"/>
              </w:rPr>
            </w:pPr>
            <w:r w:rsidRPr="00D511DC">
              <w:rPr>
                <w:rFonts w:cs="Arial"/>
                <w:b w:val="0"/>
                <w:bCs w:val="0"/>
                <w:szCs w:val="14"/>
              </w:rPr>
              <w:t>Equity valuation adjustments</w:t>
            </w:r>
          </w:p>
        </w:tc>
        <w:tc>
          <w:tcPr>
            <w:tcW w:w="1134" w:type="dxa"/>
            <w:gridSpan w:val="2"/>
            <w:shd w:val="clear" w:color="auto" w:fill="auto"/>
            <w:vAlign w:val="center"/>
          </w:tcPr>
          <w:p w14:paraId="41254E4C"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Pr>
                <w:rFonts w:cs="Arial"/>
                <w:color w:val="000000"/>
                <w:sz w:val="14"/>
                <w:szCs w:val="14"/>
              </w:rPr>
              <w:t>16,055</w:t>
            </w:r>
          </w:p>
        </w:tc>
        <w:tc>
          <w:tcPr>
            <w:tcW w:w="1037" w:type="dxa"/>
            <w:gridSpan w:val="2"/>
            <w:shd w:val="clear" w:color="auto" w:fill="auto"/>
            <w:vAlign w:val="center"/>
          </w:tcPr>
          <w:p w14:paraId="4F399492"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1,419</w:t>
            </w:r>
          </w:p>
        </w:tc>
        <w:tc>
          <w:tcPr>
            <w:tcW w:w="955" w:type="dxa"/>
            <w:gridSpan w:val="2"/>
            <w:shd w:val="clear" w:color="auto" w:fill="auto"/>
            <w:vAlign w:val="center"/>
          </w:tcPr>
          <w:p w14:paraId="6F059282"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10,699</w:t>
            </w:r>
          </w:p>
        </w:tc>
        <w:tc>
          <w:tcPr>
            <w:tcW w:w="1135" w:type="dxa"/>
            <w:gridSpan w:val="2"/>
            <w:shd w:val="clear" w:color="auto" w:fill="auto"/>
            <w:vAlign w:val="center"/>
          </w:tcPr>
          <w:p w14:paraId="43D26D87" w14:textId="77777777" w:rsidR="006A362F" w:rsidRPr="00D511DC"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cs="Arial"/>
                <w:color w:val="000000"/>
                <w:szCs w:val="14"/>
              </w:rPr>
              <w:t>--</w:t>
            </w:r>
          </w:p>
        </w:tc>
        <w:tc>
          <w:tcPr>
            <w:tcW w:w="838" w:type="dxa"/>
            <w:gridSpan w:val="2"/>
            <w:shd w:val="clear" w:color="auto" w:fill="auto"/>
            <w:vAlign w:val="center"/>
          </w:tcPr>
          <w:p w14:paraId="7AC0A7E2" w14:textId="77777777" w:rsidR="006A362F" w:rsidRPr="00D511DC" w:rsidRDefault="006A362F" w:rsidP="003F4F7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cs="Arial"/>
                <w:color w:val="000000"/>
                <w:szCs w:val="14"/>
              </w:rPr>
              <w:t>53</w:t>
            </w:r>
          </w:p>
        </w:tc>
        <w:tc>
          <w:tcPr>
            <w:tcW w:w="1006" w:type="dxa"/>
            <w:gridSpan w:val="2"/>
            <w:shd w:val="clear" w:color="auto" w:fill="auto"/>
            <w:vAlign w:val="center"/>
          </w:tcPr>
          <w:p w14:paraId="4BF5931E"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AD49B7">
              <w:rPr>
                <w:rFonts w:cs="Arial"/>
                <w:b/>
                <w:color w:val="000000"/>
                <w:sz w:val="14"/>
                <w:szCs w:val="14"/>
              </w:rPr>
              <w:t>28</w:t>
            </w:r>
            <w:r>
              <w:rPr>
                <w:rFonts w:cs="Arial"/>
                <w:b/>
                <w:color w:val="000000"/>
                <w:sz w:val="14"/>
                <w:szCs w:val="14"/>
              </w:rPr>
              <w:t>,</w:t>
            </w:r>
            <w:r w:rsidRPr="00AD49B7">
              <w:rPr>
                <w:rFonts w:cs="Arial"/>
                <w:b/>
                <w:color w:val="000000"/>
                <w:sz w:val="14"/>
                <w:szCs w:val="14"/>
              </w:rPr>
              <w:t>226</w:t>
            </w:r>
          </w:p>
        </w:tc>
      </w:tr>
      <w:tr w:rsidR="006A362F" w:rsidRPr="00FB2B7E" w14:paraId="5AE26DD6"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253BE089" w14:textId="77777777" w:rsidR="006A362F" w:rsidRPr="00751C98" w:rsidRDefault="006A362F" w:rsidP="003F4F79">
            <w:pPr>
              <w:pStyle w:val="08-Tabelageral"/>
              <w:jc w:val="left"/>
              <w:rPr>
                <w:rFonts w:cs="Arial"/>
                <w:b w:val="0"/>
                <w:szCs w:val="14"/>
                <w:lang w:val="en-US"/>
              </w:rPr>
            </w:pPr>
            <w:r w:rsidRPr="00751C98">
              <w:rPr>
                <w:rFonts w:cs="Arial"/>
                <w:b w:val="0"/>
                <w:bCs w:val="0"/>
                <w:szCs w:val="14"/>
                <w:lang w:val="en-US"/>
              </w:rPr>
              <w:t>Equity valuation adjustments – IFRS 9 and 17</w:t>
            </w:r>
          </w:p>
        </w:tc>
        <w:tc>
          <w:tcPr>
            <w:tcW w:w="1134" w:type="dxa"/>
            <w:gridSpan w:val="2"/>
            <w:shd w:val="clear" w:color="auto" w:fill="auto"/>
            <w:vAlign w:val="center"/>
          </w:tcPr>
          <w:p w14:paraId="0521B879" w14:textId="77777777" w:rsidR="006A362F"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(6,259)</w:t>
            </w:r>
          </w:p>
        </w:tc>
        <w:tc>
          <w:tcPr>
            <w:tcW w:w="1037" w:type="dxa"/>
            <w:gridSpan w:val="2"/>
            <w:shd w:val="clear" w:color="auto" w:fill="auto"/>
            <w:vAlign w:val="center"/>
          </w:tcPr>
          <w:p w14:paraId="79AE9F1E" w14:textId="77777777" w:rsidR="006A362F"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163,242</w:t>
            </w:r>
          </w:p>
        </w:tc>
        <w:tc>
          <w:tcPr>
            <w:tcW w:w="955" w:type="dxa"/>
            <w:gridSpan w:val="2"/>
            <w:shd w:val="clear" w:color="auto" w:fill="auto"/>
            <w:vAlign w:val="center"/>
          </w:tcPr>
          <w:p w14:paraId="3B1B45B3" w14:textId="77777777" w:rsidR="006A362F"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w:t>
            </w:r>
          </w:p>
        </w:tc>
        <w:tc>
          <w:tcPr>
            <w:tcW w:w="1135" w:type="dxa"/>
            <w:gridSpan w:val="2"/>
            <w:shd w:val="clear" w:color="auto" w:fill="auto"/>
            <w:vAlign w:val="center"/>
          </w:tcPr>
          <w:p w14:paraId="204DAAFD" w14:textId="77777777" w:rsidR="006A362F"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179</w:t>
            </w:r>
          </w:p>
        </w:tc>
        <w:tc>
          <w:tcPr>
            <w:tcW w:w="838" w:type="dxa"/>
            <w:gridSpan w:val="2"/>
            <w:shd w:val="clear" w:color="auto" w:fill="auto"/>
            <w:vAlign w:val="center"/>
          </w:tcPr>
          <w:p w14:paraId="5EA55FE9" w14:textId="77777777" w:rsidR="006A362F"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F4F79">
              <w:rPr>
                <w:rFonts w:cs="Arial"/>
                <w:color w:val="000000"/>
                <w:sz w:val="14"/>
                <w:szCs w:val="14"/>
              </w:rPr>
              <w:t>--</w:t>
            </w:r>
          </w:p>
        </w:tc>
        <w:tc>
          <w:tcPr>
            <w:tcW w:w="1006" w:type="dxa"/>
            <w:gridSpan w:val="2"/>
            <w:shd w:val="clear" w:color="auto" w:fill="auto"/>
            <w:vAlign w:val="center"/>
          </w:tcPr>
          <w:p w14:paraId="095D49BC" w14:textId="77777777" w:rsidR="006A362F"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157,162</w:t>
            </w:r>
          </w:p>
        </w:tc>
      </w:tr>
      <w:tr w:rsidR="006A362F" w:rsidRPr="00FB2B7E" w14:paraId="16B600BD"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3B9CA1F4" w14:textId="77777777" w:rsidR="006A362F" w:rsidRPr="00D511DC" w:rsidRDefault="006A362F" w:rsidP="003F4F79">
            <w:pPr>
              <w:rPr>
                <w:b w:val="0"/>
                <w:color w:val="FF0000"/>
                <w:sz w:val="14"/>
                <w:szCs w:val="14"/>
              </w:rPr>
            </w:pPr>
            <w:r w:rsidRPr="00D511DC">
              <w:rPr>
                <w:rFonts w:cs="Arial"/>
                <w:b w:val="0"/>
                <w:sz w:val="14"/>
                <w:szCs w:val="14"/>
              </w:rPr>
              <w:t>Share of profit</w:t>
            </w:r>
          </w:p>
        </w:tc>
        <w:tc>
          <w:tcPr>
            <w:tcW w:w="1134" w:type="dxa"/>
            <w:gridSpan w:val="2"/>
            <w:shd w:val="clear" w:color="auto" w:fill="auto"/>
            <w:vAlign w:val="center"/>
          </w:tcPr>
          <w:p w14:paraId="02FDE71C"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Pr>
                <w:rFonts w:cs="Arial"/>
                <w:color w:val="000000"/>
                <w:sz w:val="14"/>
                <w:szCs w:val="14"/>
              </w:rPr>
              <w:t>614,220</w:t>
            </w:r>
          </w:p>
        </w:tc>
        <w:tc>
          <w:tcPr>
            <w:tcW w:w="1037" w:type="dxa"/>
            <w:gridSpan w:val="2"/>
            <w:shd w:val="clear" w:color="auto" w:fill="auto"/>
            <w:vAlign w:val="center"/>
          </w:tcPr>
          <w:p w14:paraId="6197CC00"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465,684</w:t>
            </w:r>
          </w:p>
        </w:tc>
        <w:tc>
          <w:tcPr>
            <w:tcW w:w="955" w:type="dxa"/>
            <w:gridSpan w:val="2"/>
            <w:shd w:val="clear" w:color="auto" w:fill="auto"/>
            <w:vAlign w:val="center"/>
          </w:tcPr>
          <w:p w14:paraId="177A0A00"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41,855</w:t>
            </w:r>
          </w:p>
        </w:tc>
        <w:tc>
          <w:tcPr>
            <w:tcW w:w="1135" w:type="dxa"/>
            <w:gridSpan w:val="2"/>
            <w:shd w:val="clear" w:color="auto" w:fill="auto"/>
            <w:vAlign w:val="center"/>
          </w:tcPr>
          <w:p w14:paraId="3FDE5EFE"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3,234</w:t>
            </w:r>
          </w:p>
        </w:tc>
        <w:tc>
          <w:tcPr>
            <w:tcW w:w="838" w:type="dxa"/>
            <w:gridSpan w:val="2"/>
            <w:shd w:val="clear" w:color="auto" w:fill="auto"/>
            <w:vAlign w:val="center"/>
          </w:tcPr>
          <w:p w14:paraId="50EF0A91"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38</w:t>
            </w:r>
          </w:p>
        </w:tc>
        <w:tc>
          <w:tcPr>
            <w:tcW w:w="1006" w:type="dxa"/>
            <w:gridSpan w:val="2"/>
            <w:shd w:val="clear" w:color="auto" w:fill="auto"/>
            <w:vAlign w:val="center"/>
          </w:tcPr>
          <w:p w14:paraId="7D7543C6" w14:textId="77777777" w:rsidR="006A362F" w:rsidRPr="00D511DC"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1,125,031</w:t>
            </w:r>
          </w:p>
        </w:tc>
      </w:tr>
      <w:tr w:rsidR="006A362F" w:rsidRPr="00FE64D2" w14:paraId="3D6C6033"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5F47053C" w14:textId="77777777" w:rsidR="006A362F" w:rsidRPr="00D511DC" w:rsidRDefault="006A362F" w:rsidP="003F4F79">
            <w:pPr>
              <w:pStyle w:val="08-Tabelageral"/>
              <w:jc w:val="left"/>
              <w:rPr>
                <w:bCs w:val="0"/>
                <w:color w:val="FF0000"/>
                <w:szCs w:val="14"/>
              </w:rPr>
            </w:pPr>
            <w:r w:rsidRPr="00D511DC">
              <w:rPr>
                <w:rFonts w:cs="Arial"/>
                <w:szCs w:val="14"/>
              </w:rPr>
              <w:t xml:space="preserve">Book Balance on </w:t>
            </w:r>
            <w:r>
              <w:rPr>
                <w:rFonts w:cs="Arial"/>
                <w:szCs w:val="14"/>
              </w:rPr>
              <w:t xml:space="preserve">Dec </w:t>
            </w:r>
            <w:r w:rsidRPr="00D511DC">
              <w:rPr>
                <w:rFonts w:cs="Arial"/>
                <w:szCs w:val="14"/>
              </w:rPr>
              <w:t>3</w:t>
            </w:r>
            <w:r>
              <w:rPr>
                <w:rFonts w:cs="Arial"/>
                <w:szCs w:val="14"/>
              </w:rPr>
              <w:t>1,</w:t>
            </w:r>
            <w:r w:rsidRPr="00D511DC">
              <w:rPr>
                <w:rFonts w:cs="Arial"/>
                <w:szCs w:val="14"/>
              </w:rPr>
              <w:t>202</w:t>
            </w:r>
            <w:r>
              <w:rPr>
                <w:rFonts w:cs="Arial"/>
                <w:szCs w:val="14"/>
              </w:rPr>
              <w:t>3</w:t>
            </w:r>
          </w:p>
        </w:tc>
        <w:tc>
          <w:tcPr>
            <w:tcW w:w="1134" w:type="dxa"/>
            <w:gridSpan w:val="2"/>
            <w:shd w:val="clear" w:color="auto" w:fill="auto"/>
            <w:vAlign w:val="center"/>
          </w:tcPr>
          <w:p w14:paraId="42A0BFF0"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 w:val="14"/>
                <w:szCs w:val="14"/>
              </w:rPr>
            </w:pPr>
            <w:r>
              <w:rPr>
                <w:rFonts w:cs="Arial"/>
                <w:b/>
                <w:bCs/>
                <w:color w:val="000000"/>
                <w:sz w:val="14"/>
                <w:szCs w:val="14"/>
              </w:rPr>
              <w:t>2,664,352</w:t>
            </w:r>
          </w:p>
        </w:tc>
        <w:tc>
          <w:tcPr>
            <w:tcW w:w="1037" w:type="dxa"/>
            <w:gridSpan w:val="2"/>
            <w:shd w:val="clear" w:color="auto" w:fill="auto"/>
            <w:vAlign w:val="center"/>
          </w:tcPr>
          <w:p w14:paraId="2BF03EAB"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5,089,143</w:t>
            </w:r>
          </w:p>
        </w:tc>
        <w:tc>
          <w:tcPr>
            <w:tcW w:w="955" w:type="dxa"/>
            <w:gridSpan w:val="2"/>
            <w:shd w:val="clear" w:color="auto" w:fill="auto"/>
            <w:vAlign w:val="center"/>
          </w:tcPr>
          <w:p w14:paraId="3AA0EFDA"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566,320</w:t>
            </w:r>
          </w:p>
        </w:tc>
        <w:tc>
          <w:tcPr>
            <w:tcW w:w="1135" w:type="dxa"/>
            <w:gridSpan w:val="2"/>
            <w:shd w:val="clear" w:color="auto" w:fill="auto"/>
            <w:vAlign w:val="center"/>
          </w:tcPr>
          <w:p w14:paraId="4B1E4DD8"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16,907</w:t>
            </w:r>
          </w:p>
        </w:tc>
        <w:tc>
          <w:tcPr>
            <w:tcW w:w="838" w:type="dxa"/>
            <w:gridSpan w:val="2"/>
            <w:shd w:val="clear" w:color="auto" w:fill="auto"/>
            <w:vAlign w:val="center"/>
          </w:tcPr>
          <w:p w14:paraId="649D3487"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1,597</w:t>
            </w:r>
          </w:p>
        </w:tc>
        <w:tc>
          <w:tcPr>
            <w:tcW w:w="1006" w:type="dxa"/>
            <w:gridSpan w:val="2"/>
            <w:shd w:val="clear" w:color="auto" w:fill="auto"/>
            <w:vAlign w:val="center"/>
          </w:tcPr>
          <w:p w14:paraId="7DF50FCE" w14:textId="77777777" w:rsidR="006A362F" w:rsidRPr="00D511DC" w:rsidRDefault="006A362F" w:rsidP="003F4F79">
            <w:pPr>
              <w:jc w:val="right"/>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Pr>
                <w:rFonts w:cs="Arial"/>
                <w:b/>
                <w:bCs/>
                <w:color w:val="000000"/>
                <w:sz w:val="14"/>
                <w:szCs w:val="14"/>
              </w:rPr>
              <w:t>8,338,319</w:t>
            </w:r>
          </w:p>
        </w:tc>
      </w:tr>
      <w:tr w:rsidR="006A362F" w:rsidRPr="00FB2B7E" w14:paraId="7BE18E90"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01B362DE" w14:textId="77777777" w:rsidR="006A362F" w:rsidRPr="00D511DC" w:rsidRDefault="006A362F" w:rsidP="005C3AB8">
            <w:pPr>
              <w:pStyle w:val="08-Tabelageral"/>
              <w:jc w:val="left"/>
              <w:rPr>
                <w:szCs w:val="14"/>
              </w:rPr>
            </w:pPr>
          </w:p>
        </w:tc>
        <w:tc>
          <w:tcPr>
            <w:tcW w:w="1134" w:type="dxa"/>
            <w:gridSpan w:val="2"/>
            <w:shd w:val="clear" w:color="auto" w:fill="auto"/>
            <w:vAlign w:val="center"/>
          </w:tcPr>
          <w:p w14:paraId="59E4860F" w14:textId="77777777" w:rsidR="006A362F" w:rsidRPr="00D511DC" w:rsidRDefault="006A362F" w:rsidP="005C3AB8">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z w:val="14"/>
                <w:szCs w:val="14"/>
              </w:rPr>
            </w:pPr>
          </w:p>
        </w:tc>
        <w:tc>
          <w:tcPr>
            <w:tcW w:w="1037" w:type="dxa"/>
            <w:gridSpan w:val="2"/>
            <w:shd w:val="clear" w:color="auto" w:fill="auto"/>
            <w:vAlign w:val="center"/>
          </w:tcPr>
          <w:p w14:paraId="2EF7DC1F" w14:textId="77777777" w:rsidR="006A362F" w:rsidRPr="00D511DC" w:rsidRDefault="006A362F" w:rsidP="005C3AB8">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955" w:type="dxa"/>
            <w:gridSpan w:val="2"/>
            <w:shd w:val="clear" w:color="auto" w:fill="auto"/>
            <w:vAlign w:val="center"/>
          </w:tcPr>
          <w:p w14:paraId="75C4669A" w14:textId="77777777" w:rsidR="006A362F" w:rsidRPr="00D511DC" w:rsidRDefault="006A362F" w:rsidP="005C3AB8">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1135" w:type="dxa"/>
            <w:gridSpan w:val="2"/>
            <w:shd w:val="clear" w:color="auto" w:fill="auto"/>
            <w:vAlign w:val="center"/>
          </w:tcPr>
          <w:p w14:paraId="0AA11DE1" w14:textId="77777777" w:rsidR="006A362F" w:rsidRPr="00D511DC" w:rsidRDefault="006A362F" w:rsidP="005C3AB8">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838" w:type="dxa"/>
            <w:gridSpan w:val="2"/>
            <w:shd w:val="clear" w:color="auto" w:fill="auto"/>
            <w:vAlign w:val="center"/>
          </w:tcPr>
          <w:p w14:paraId="620404FF" w14:textId="77777777" w:rsidR="006A362F" w:rsidRPr="00D511DC" w:rsidRDefault="006A362F" w:rsidP="005C3AB8">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1006" w:type="dxa"/>
            <w:gridSpan w:val="2"/>
            <w:shd w:val="clear" w:color="auto" w:fill="auto"/>
            <w:vAlign w:val="center"/>
          </w:tcPr>
          <w:p w14:paraId="4F4096AF" w14:textId="77777777" w:rsidR="006A362F" w:rsidRPr="00D511DC" w:rsidRDefault="006A362F" w:rsidP="005C3AB8">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p>
        </w:tc>
      </w:tr>
      <w:tr w:rsidR="006A362F" w:rsidRPr="000B2A0A" w14:paraId="53ED4341"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498" w:type="dxa"/>
            <w:gridSpan w:val="13"/>
            <w:tcBorders>
              <w:top w:val="single" w:sz="2" w:space="0" w:color="1F4E79" w:themeColor="accent1" w:themeShade="80"/>
              <w:bottom w:val="single" w:sz="2" w:space="0" w:color="1F4E79" w:themeColor="accent1" w:themeShade="80"/>
            </w:tcBorders>
            <w:shd w:val="clear" w:color="auto" w:fill="auto"/>
            <w:vAlign w:val="center"/>
          </w:tcPr>
          <w:p w14:paraId="17272619" w14:textId="77777777" w:rsidR="006A362F" w:rsidRPr="00D511DC" w:rsidRDefault="006A362F" w:rsidP="00721F00">
            <w:pPr>
              <w:pStyle w:val="08-Tabelageral"/>
              <w:jc w:val="left"/>
              <w:rPr>
                <w:b w:val="0"/>
                <w:bCs w:val="0"/>
                <w:szCs w:val="14"/>
              </w:rPr>
            </w:pPr>
            <w:r w:rsidRPr="00D511DC">
              <w:rPr>
                <w:rFonts w:cs="Arial"/>
                <w:szCs w:val="14"/>
              </w:rPr>
              <w:t>Share of Profit</w:t>
            </w:r>
          </w:p>
        </w:tc>
      </w:tr>
      <w:tr w:rsidR="006A362F" w:rsidRPr="00FB2B7E" w14:paraId="14805715" w14:textId="77777777" w:rsidTr="0020490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shd w:val="clear" w:color="auto" w:fill="auto"/>
            <w:vAlign w:val="center"/>
          </w:tcPr>
          <w:p w14:paraId="5039FAF7" w14:textId="77777777" w:rsidR="006A362F" w:rsidRDefault="006A362F" w:rsidP="003F4F79">
            <w:pPr>
              <w:pStyle w:val="08-Tabelageral"/>
              <w:jc w:val="left"/>
            </w:pPr>
            <w:r>
              <w:rPr>
                <w:rStyle w:val="rynqvb"/>
                <w:lang w:val="en"/>
              </w:rPr>
              <w:t>1</w:t>
            </w:r>
            <w:r w:rsidRPr="005C3AB8">
              <w:rPr>
                <w:rStyle w:val="rynqvb"/>
                <w:vertAlign w:val="superscript"/>
                <w:lang w:val="en"/>
              </w:rPr>
              <w:t xml:space="preserve">st </w:t>
            </w:r>
            <w:r>
              <w:rPr>
                <w:rStyle w:val="rynqvb"/>
                <w:lang w:val="en"/>
              </w:rPr>
              <w:t>Quarter 2023</w:t>
            </w:r>
          </w:p>
        </w:tc>
        <w:tc>
          <w:tcPr>
            <w:tcW w:w="1134" w:type="dxa"/>
            <w:gridSpan w:val="2"/>
            <w:shd w:val="clear" w:color="auto" w:fill="auto"/>
            <w:vAlign w:val="center"/>
          </w:tcPr>
          <w:p w14:paraId="5B5DB437" w14:textId="77777777" w:rsidR="006A362F"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614,220</w:t>
            </w:r>
          </w:p>
        </w:tc>
        <w:tc>
          <w:tcPr>
            <w:tcW w:w="1037" w:type="dxa"/>
            <w:gridSpan w:val="2"/>
            <w:shd w:val="clear" w:color="auto" w:fill="auto"/>
            <w:vAlign w:val="center"/>
          </w:tcPr>
          <w:p w14:paraId="34D77DB2" w14:textId="77777777" w:rsidR="006A362F"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465,684</w:t>
            </w:r>
          </w:p>
        </w:tc>
        <w:tc>
          <w:tcPr>
            <w:tcW w:w="955" w:type="dxa"/>
            <w:gridSpan w:val="2"/>
            <w:shd w:val="clear" w:color="auto" w:fill="auto"/>
            <w:vAlign w:val="center"/>
          </w:tcPr>
          <w:p w14:paraId="49FDD5BA" w14:textId="77777777" w:rsidR="006A362F"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41,855</w:t>
            </w:r>
          </w:p>
        </w:tc>
        <w:tc>
          <w:tcPr>
            <w:tcW w:w="1135" w:type="dxa"/>
            <w:gridSpan w:val="2"/>
            <w:shd w:val="clear" w:color="auto" w:fill="auto"/>
            <w:vAlign w:val="center"/>
          </w:tcPr>
          <w:p w14:paraId="29FD2606" w14:textId="77777777" w:rsidR="006A362F"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3,234</w:t>
            </w:r>
          </w:p>
        </w:tc>
        <w:tc>
          <w:tcPr>
            <w:tcW w:w="838" w:type="dxa"/>
            <w:gridSpan w:val="2"/>
            <w:shd w:val="clear" w:color="auto" w:fill="auto"/>
            <w:vAlign w:val="center"/>
          </w:tcPr>
          <w:p w14:paraId="6FA88BC5" w14:textId="77777777" w:rsidR="006A362F"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38</w:t>
            </w:r>
          </w:p>
        </w:tc>
        <w:tc>
          <w:tcPr>
            <w:tcW w:w="1006" w:type="dxa"/>
            <w:gridSpan w:val="2"/>
            <w:shd w:val="clear" w:color="auto" w:fill="auto"/>
            <w:vAlign w:val="center"/>
          </w:tcPr>
          <w:p w14:paraId="3006EB5F" w14:textId="77777777" w:rsidR="006A362F" w:rsidRDefault="006A362F" w:rsidP="003F4F79">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1,125,031</w:t>
            </w:r>
          </w:p>
        </w:tc>
      </w:tr>
      <w:tr w:rsidR="006A362F" w:rsidRPr="00F96730" w14:paraId="7587DBB3" w14:textId="77777777" w:rsidTr="0020490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93" w:type="dxa"/>
            <w:tcBorders>
              <w:top w:val="nil"/>
              <w:bottom w:val="single" w:sz="2" w:space="0" w:color="1F4E79" w:themeColor="accent1" w:themeShade="80"/>
            </w:tcBorders>
            <w:shd w:val="clear" w:color="auto" w:fill="auto"/>
            <w:vAlign w:val="center"/>
          </w:tcPr>
          <w:p w14:paraId="1A99839E" w14:textId="77777777" w:rsidR="006A362F" w:rsidRPr="00D511DC" w:rsidRDefault="006A362F" w:rsidP="00FF7205">
            <w:pPr>
              <w:pStyle w:val="08-Tabelageral"/>
              <w:jc w:val="left"/>
              <w:rPr>
                <w:bCs w:val="0"/>
                <w:color w:val="auto"/>
                <w:szCs w:val="14"/>
              </w:rPr>
            </w:pPr>
            <w:r>
              <w:rPr>
                <w:rStyle w:val="rynqvb"/>
                <w:lang w:val="en"/>
              </w:rPr>
              <w:t>1</w:t>
            </w:r>
            <w:r w:rsidRPr="005C3AB8">
              <w:rPr>
                <w:rStyle w:val="rynqvb"/>
                <w:vertAlign w:val="superscript"/>
                <w:lang w:val="en"/>
              </w:rPr>
              <w:t>st</w:t>
            </w:r>
            <w:r>
              <w:rPr>
                <w:rStyle w:val="rynqvb"/>
                <w:lang w:val="en"/>
              </w:rPr>
              <w:t xml:space="preserve"> Quarter 2022 </w:t>
            </w:r>
            <w:r w:rsidRPr="007428FC">
              <w:rPr>
                <w:rStyle w:val="rynqvb"/>
                <w:lang w:val="en"/>
              </w:rPr>
              <w:t>(restated balances)</w:t>
            </w:r>
          </w:p>
        </w:tc>
        <w:tc>
          <w:tcPr>
            <w:tcW w:w="1134" w:type="dxa"/>
            <w:gridSpan w:val="2"/>
            <w:tcBorders>
              <w:top w:val="nil"/>
              <w:bottom w:val="single" w:sz="2" w:space="0" w:color="1F4E79" w:themeColor="accent1" w:themeShade="80"/>
            </w:tcBorders>
            <w:shd w:val="clear" w:color="auto" w:fill="auto"/>
            <w:vAlign w:val="center"/>
          </w:tcPr>
          <w:p w14:paraId="0E5B06B7" w14:textId="77777777" w:rsidR="006A362F" w:rsidRPr="00D511DC"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szCs w:val="14"/>
              </w:rPr>
              <w:t>241,698</w:t>
            </w:r>
          </w:p>
        </w:tc>
        <w:tc>
          <w:tcPr>
            <w:tcW w:w="1037" w:type="dxa"/>
            <w:gridSpan w:val="2"/>
            <w:tcBorders>
              <w:top w:val="nil"/>
              <w:bottom w:val="single" w:sz="2" w:space="0" w:color="1F4E79" w:themeColor="accent1" w:themeShade="80"/>
            </w:tcBorders>
            <w:shd w:val="clear" w:color="auto" w:fill="auto"/>
            <w:vAlign w:val="center"/>
          </w:tcPr>
          <w:p w14:paraId="551D4470" w14:textId="77777777" w:rsidR="006A362F" w:rsidRPr="00D511DC"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szCs w:val="14"/>
              </w:rPr>
              <w:t>353,934</w:t>
            </w:r>
          </w:p>
        </w:tc>
        <w:tc>
          <w:tcPr>
            <w:tcW w:w="955" w:type="dxa"/>
            <w:gridSpan w:val="2"/>
            <w:tcBorders>
              <w:top w:val="nil"/>
              <w:bottom w:val="single" w:sz="2" w:space="0" w:color="1F4E79" w:themeColor="accent1" w:themeShade="80"/>
            </w:tcBorders>
            <w:shd w:val="clear" w:color="auto" w:fill="auto"/>
            <w:vAlign w:val="center"/>
          </w:tcPr>
          <w:p w14:paraId="5ED77219" w14:textId="77777777" w:rsidR="006A362F" w:rsidRPr="00D511DC"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szCs w:val="14"/>
              </w:rPr>
              <w:t>35,456</w:t>
            </w:r>
          </w:p>
        </w:tc>
        <w:tc>
          <w:tcPr>
            <w:tcW w:w="1135" w:type="dxa"/>
            <w:gridSpan w:val="2"/>
            <w:tcBorders>
              <w:top w:val="nil"/>
              <w:bottom w:val="single" w:sz="2" w:space="0" w:color="1F4E79" w:themeColor="accent1" w:themeShade="80"/>
            </w:tcBorders>
            <w:shd w:val="clear" w:color="auto" w:fill="auto"/>
            <w:vAlign w:val="center"/>
          </w:tcPr>
          <w:p w14:paraId="0A411B20" w14:textId="77777777" w:rsidR="006A362F" w:rsidRPr="00D511DC"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szCs w:val="14"/>
              </w:rPr>
              <w:t>5,120</w:t>
            </w:r>
          </w:p>
        </w:tc>
        <w:tc>
          <w:tcPr>
            <w:tcW w:w="838" w:type="dxa"/>
            <w:gridSpan w:val="2"/>
            <w:tcBorders>
              <w:top w:val="nil"/>
              <w:bottom w:val="single" w:sz="2" w:space="0" w:color="1F4E79" w:themeColor="accent1" w:themeShade="80"/>
            </w:tcBorders>
            <w:shd w:val="clear" w:color="auto" w:fill="auto"/>
            <w:vAlign w:val="center"/>
          </w:tcPr>
          <w:p w14:paraId="7EBA5FA1" w14:textId="77777777" w:rsidR="006A362F" w:rsidRPr="00D511DC" w:rsidRDefault="006A362F" w:rsidP="003F4F79">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szCs w:val="14"/>
              </w:rPr>
              <w:t>(839)</w:t>
            </w:r>
          </w:p>
        </w:tc>
        <w:tc>
          <w:tcPr>
            <w:tcW w:w="1006" w:type="dxa"/>
            <w:gridSpan w:val="2"/>
            <w:tcBorders>
              <w:top w:val="nil"/>
              <w:bottom w:val="single" w:sz="2" w:space="0" w:color="1F4E79" w:themeColor="accent1" w:themeShade="80"/>
            </w:tcBorders>
            <w:shd w:val="clear" w:color="auto" w:fill="auto"/>
            <w:vAlign w:val="center"/>
          </w:tcPr>
          <w:p w14:paraId="4EF3AEDB" w14:textId="77777777" w:rsidR="006A362F" w:rsidRPr="00D511DC" w:rsidRDefault="006A362F" w:rsidP="003F4F79">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color w:val="000000"/>
                <w:szCs w:val="14"/>
              </w:rPr>
              <w:t>635,369</w:t>
            </w:r>
          </w:p>
        </w:tc>
      </w:tr>
    </w:tbl>
    <w:p w14:paraId="7804618D" w14:textId="77777777" w:rsidR="006A362F" w:rsidRPr="00E22381" w:rsidRDefault="006A362F" w:rsidP="00D372BE">
      <w:pPr>
        <w:pStyle w:val="01-TtulodeNota"/>
        <w:spacing w:before="0" w:after="0"/>
        <w:ind w:right="-31"/>
        <w:jc w:val="right"/>
        <w:rPr>
          <w:rFonts w:cs="Arial"/>
          <w:sz w:val="14"/>
          <w:szCs w:val="14"/>
        </w:rPr>
      </w:pPr>
    </w:p>
    <w:p w14:paraId="5B1F646B" w14:textId="77777777" w:rsidR="006A362F" w:rsidRDefault="006A362F" w:rsidP="00D372BE">
      <w:pPr>
        <w:pStyle w:val="05-Textonormal"/>
        <w:spacing w:before="0" w:after="80" w:line="240" w:lineRule="auto"/>
        <w:rPr>
          <w:rStyle w:val="q4iawc"/>
          <w:lang w:val="en"/>
        </w:rPr>
      </w:pPr>
      <w:r w:rsidRPr="007C3614">
        <w:rPr>
          <w:rStyle w:val="q4iawc"/>
          <w:lang w:val="en"/>
        </w:rPr>
        <w:t xml:space="preserve">The values of the equity of investees BB </w:t>
      </w:r>
      <w:r>
        <w:rPr>
          <w:rStyle w:val="q4iawc"/>
          <w:lang w:val="en"/>
        </w:rPr>
        <w:t>MAPFRE</w:t>
      </w:r>
      <w:r w:rsidRPr="007C3614">
        <w:rPr>
          <w:rStyle w:val="q4iawc"/>
          <w:lang w:val="en"/>
        </w:rPr>
        <w:t>, Brasilprev, Brasilcap, Brasildental and Ciclic presented in the previous table are not proportional to the percentage of equity interest held by BB Seguridade, that is, they represent the total balance of the equity of the respective companies.</w:t>
      </w:r>
    </w:p>
    <w:p w14:paraId="5E5C42FF" w14:textId="77777777" w:rsidR="006A362F" w:rsidRDefault="006A362F" w:rsidP="00D372BE">
      <w:pPr>
        <w:pStyle w:val="05-Textonormal"/>
        <w:spacing w:before="0" w:after="80" w:line="240" w:lineRule="auto"/>
        <w:rPr>
          <w:rFonts w:cs="Arial"/>
          <w:lang w:val="en-US"/>
        </w:rPr>
      </w:pPr>
      <w:r w:rsidRPr="00F575A5">
        <w:rPr>
          <w:rFonts w:cs="Arial"/>
          <w:lang w:val="en-US"/>
        </w:rPr>
        <w:t>The book balance</w:t>
      </w:r>
      <w:r>
        <w:rPr>
          <w:rFonts w:cs="Arial"/>
          <w:lang w:val="en-US"/>
        </w:rPr>
        <w:t>,</w:t>
      </w:r>
      <w:r w:rsidRPr="00F575A5">
        <w:rPr>
          <w:rFonts w:cs="Arial"/>
          <w:lang w:val="en-US"/>
        </w:rPr>
        <w:t xml:space="preserve"> on </w:t>
      </w:r>
      <w:r>
        <w:rPr>
          <w:rFonts w:cs="Arial"/>
          <w:lang w:val="en-US"/>
        </w:rPr>
        <w:t xml:space="preserve">March </w:t>
      </w:r>
      <w:r w:rsidRPr="00F575A5">
        <w:rPr>
          <w:rFonts w:cs="Arial"/>
          <w:lang w:val="en-US"/>
        </w:rPr>
        <w:t>3</w:t>
      </w:r>
      <w:r>
        <w:rPr>
          <w:rFonts w:cs="Arial"/>
          <w:lang w:val="en-US"/>
        </w:rPr>
        <w:t xml:space="preserve">1, </w:t>
      </w:r>
      <w:r w:rsidRPr="00F575A5">
        <w:rPr>
          <w:rFonts w:cs="Arial"/>
          <w:lang w:val="en-US"/>
        </w:rPr>
        <w:t>202</w:t>
      </w:r>
      <w:r>
        <w:rPr>
          <w:rFonts w:cs="Arial"/>
          <w:lang w:val="en-US"/>
        </w:rPr>
        <w:t>3,</w:t>
      </w:r>
      <w:r w:rsidRPr="00F575A5">
        <w:rPr>
          <w:rFonts w:cs="Arial"/>
          <w:lang w:val="en-US"/>
        </w:rPr>
        <w:t xml:space="preserve"> of the investment in BB </w:t>
      </w:r>
      <w:r>
        <w:rPr>
          <w:rFonts w:cs="Arial"/>
          <w:lang w:val="en-US"/>
        </w:rPr>
        <w:t>MAPFRE</w:t>
      </w:r>
      <w:r w:rsidRPr="00F575A5">
        <w:rPr>
          <w:rFonts w:cs="Arial"/>
          <w:lang w:val="en-US"/>
        </w:rPr>
        <w:t xml:space="preserve"> of R$ </w:t>
      </w:r>
      <w:r w:rsidRPr="00DC3495">
        <w:rPr>
          <w:rFonts w:cs="Arial"/>
          <w:lang w:val="en-US"/>
        </w:rPr>
        <w:t>2,</w:t>
      </w:r>
      <w:r>
        <w:rPr>
          <w:rFonts w:cs="Arial"/>
          <w:lang w:val="en-US"/>
        </w:rPr>
        <w:t xml:space="preserve">664,352 </w:t>
      </w:r>
      <w:r w:rsidRPr="00F575A5">
        <w:rPr>
          <w:rFonts w:cs="Arial"/>
          <w:lang w:val="en-US"/>
        </w:rPr>
        <w:t xml:space="preserve">thousand, includes intangible assets defined in the net amortization amount of R$ </w:t>
      </w:r>
      <w:r w:rsidRPr="00DC3495">
        <w:rPr>
          <w:rFonts w:cs="Arial"/>
          <w:lang w:val="en-US"/>
        </w:rPr>
        <w:t>15</w:t>
      </w:r>
      <w:r>
        <w:rPr>
          <w:rFonts w:cs="Arial"/>
          <w:lang w:val="en-US"/>
        </w:rPr>
        <w:t xml:space="preserve">2,430 </w:t>
      </w:r>
      <w:r w:rsidRPr="00F575A5">
        <w:rPr>
          <w:rFonts w:cs="Arial"/>
          <w:lang w:val="en-US"/>
        </w:rPr>
        <w:t>thousand</w:t>
      </w:r>
      <w:r>
        <w:rPr>
          <w:rFonts w:cs="Arial"/>
          <w:lang w:val="en-US"/>
        </w:rPr>
        <w:t xml:space="preserve"> </w:t>
      </w:r>
      <w:r w:rsidRPr="00F575A5">
        <w:rPr>
          <w:rFonts w:cs="Arial"/>
          <w:lang w:val="en-US"/>
        </w:rPr>
        <w:t xml:space="preserve">(R$ </w:t>
      </w:r>
      <w:r>
        <w:rPr>
          <w:lang w:val="en-US"/>
        </w:rPr>
        <w:t>156,281</w:t>
      </w:r>
      <w:r w:rsidRPr="00A44662">
        <w:rPr>
          <w:lang w:val="en-US"/>
        </w:rPr>
        <w:t xml:space="preserve"> </w:t>
      </w:r>
      <w:r w:rsidRPr="00F575A5">
        <w:rPr>
          <w:rFonts w:cs="Arial"/>
          <w:lang w:val="en-US"/>
        </w:rPr>
        <w:t xml:space="preserve">thousand on </w:t>
      </w:r>
      <w:r>
        <w:rPr>
          <w:rFonts w:cs="Arial"/>
          <w:lang w:val="en-US"/>
        </w:rPr>
        <w:t>12.31.2022</w:t>
      </w:r>
      <w:r w:rsidRPr="00F575A5">
        <w:rPr>
          <w:rFonts w:cs="Arial"/>
          <w:lang w:val="en-US"/>
        </w:rPr>
        <w:t xml:space="preserve">), with the amortization amount of </w:t>
      </w:r>
      <w:r w:rsidRPr="00944050">
        <w:rPr>
          <w:rFonts w:cs="Arial"/>
          <w:lang w:val="en-US"/>
        </w:rPr>
        <w:t xml:space="preserve">R$ </w:t>
      </w:r>
      <w:r>
        <w:rPr>
          <w:rFonts w:cs="Arial"/>
          <w:lang w:val="en-US"/>
        </w:rPr>
        <w:t>3,851</w:t>
      </w:r>
      <w:r w:rsidRPr="00DC3495">
        <w:rPr>
          <w:rFonts w:cs="Arial"/>
          <w:lang w:val="en-US"/>
        </w:rPr>
        <w:t xml:space="preserve"> </w:t>
      </w:r>
      <w:r w:rsidRPr="001B58AD">
        <w:rPr>
          <w:rFonts w:cs="Arial"/>
          <w:lang w:val="en-US"/>
        </w:rPr>
        <w:t>thousand</w:t>
      </w:r>
      <w:r w:rsidRPr="00944050">
        <w:rPr>
          <w:rFonts w:cs="Arial"/>
          <w:lang w:val="en-US"/>
        </w:rPr>
        <w:t xml:space="preserve"> </w:t>
      </w:r>
      <w:r>
        <w:rPr>
          <w:rStyle w:val="rynqvb"/>
          <w:lang w:val="en"/>
        </w:rPr>
        <w:t>in the 1</w:t>
      </w:r>
      <w:r w:rsidRPr="005B0D7F">
        <w:rPr>
          <w:rStyle w:val="rynqvb"/>
          <w:vertAlign w:val="superscript"/>
          <w:lang w:val="en"/>
        </w:rPr>
        <w:t>st</w:t>
      </w:r>
      <w:r>
        <w:rPr>
          <w:rStyle w:val="rynqvb"/>
          <w:lang w:val="en"/>
        </w:rPr>
        <w:t xml:space="preserve"> Quarter 2023 </w:t>
      </w:r>
      <w:r w:rsidRPr="00944050">
        <w:rPr>
          <w:rFonts w:cs="Arial"/>
          <w:lang w:val="en-US"/>
        </w:rPr>
        <w:t>(</w:t>
      </w:r>
      <w:r>
        <w:rPr>
          <w:rFonts w:cs="Arial"/>
          <w:lang w:val="en-US"/>
        </w:rPr>
        <w:t xml:space="preserve">R$ </w:t>
      </w:r>
      <w:r>
        <w:rPr>
          <w:rStyle w:val="rynqvb"/>
          <w:lang w:val="en"/>
        </w:rPr>
        <w:t>3,682 thousand in the 1</w:t>
      </w:r>
      <w:r w:rsidRPr="005B0D7F">
        <w:rPr>
          <w:rStyle w:val="rynqvb"/>
          <w:vertAlign w:val="superscript"/>
          <w:lang w:val="en"/>
        </w:rPr>
        <w:t>st</w:t>
      </w:r>
      <w:r>
        <w:rPr>
          <w:rStyle w:val="rynqvb"/>
          <w:lang w:val="en"/>
        </w:rPr>
        <w:t xml:space="preserve"> Quarter 2022</w:t>
      </w:r>
      <w:r>
        <w:rPr>
          <w:rFonts w:cs="Arial"/>
          <w:lang w:val="en-US"/>
        </w:rPr>
        <w:t xml:space="preserve">), </w:t>
      </w:r>
      <w:r w:rsidRPr="00F575A5">
        <w:rPr>
          <w:rFonts w:cs="Arial"/>
          <w:lang w:val="en-US"/>
        </w:rPr>
        <w:t>and intangible assets with an indefinite useful life in the amount of R$</w:t>
      </w:r>
      <w:r>
        <w:rPr>
          <w:rFonts w:cs="Arial"/>
          <w:lang w:val="en-US"/>
        </w:rPr>
        <w:t xml:space="preserve"> </w:t>
      </w:r>
      <w:r w:rsidRPr="00F575A5">
        <w:rPr>
          <w:rFonts w:cs="Arial"/>
          <w:lang w:val="en-US"/>
        </w:rPr>
        <w:t xml:space="preserve">339,004 thousand resulting from the partnership agreement with </w:t>
      </w:r>
      <w:r>
        <w:rPr>
          <w:rFonts w:cs="Arial"/>
          <w:lang w:val="en-US"/>
        </w:rPr>
        <w:t>Grupo MAPFRE</w:t>
      </w:r>
      <w:r w:rsidRPr="00F575A5">
        <w:rPr>
          <w:rFonts w:cs="Arial"/>
          <w:lang w:val="en-US"/>
        </w:rPr>
        <w:t>.</w:t>
      </w:r>
    </w:p>
    <w:p w14:paraId="14832095" w14:textId="77777777" w:rsidR="006A362F" w:rsidRDefault="006A362F" w:rsidP="00D372BE">
      <w:pPr>
        <w:pStyle w:val="05-Textonormal"/>
        <w:spacing w:before="0" w:after="80" w:line="240" w:lineRule="auto"/>
        <w:rPr>
          <w:rFonts w:cs="Arial"/>
          <w:lang w:val="en-US"/>
        </w:rPr>
      </w:pPr>
      <w:r w:rsidRPr="00E6648E">
        <w:rPr>
          <w:rFonts w:cs="Arial"/>
          <w:lang w:val="en-US"/>
        </w:rPr>
        <w:t>The book balance</w:t>
      </w:r>
      <w:r>
        <w:rPr>
          <w:rFonts w:cs="Arial"/>
          <w:lang w:val="en-US"/>
        </w:rPr>
        <w:t>,</w:t>
      </w:r>
      <w:r w:rsidRPr="00E6648E">
        <w:rPr>
          <w:rFonts w:cs="Arial"/>
          <w:lang w:val="en-US"/>
        </w:rPr>
        <w:t xml:space="preserve"> on </w:t>
      </w:r>
      <w:r>
        <w:rPr>
          <w:rFonts w:cs="Arial"/>
          <w:lang w:val="en-US"/>
        </w:rPr>
        <w:t xml:space="preserve">March </w:t>
      </w:r>
      <w:r w:rsidRPr="00E6648E">
        <w:rPr>
          <w:rFonts w:cs="Arial"/>
          <w:lang w:val="en-US"/>
        </w:rPr>
        <w:t>3</w:t>
      </w:r>
      <w:r>
        <w:rPr>
          <w:rFonts w:cs="Arial"/>
          <w:lang w:val="en-US"/>
        </w:rPr>
        <w:t xml:space="preserve">1, </w:t>
      </w:r>
      <w:r w:rsidRPr="00E6648E">
        <w:rPr>
          <w:rFonts w:cs="Arial"/>
          <w:lang w:val="en-US"/>
        </w:rPr>
        <w:t>202</w:t>
      </w:r>
      <w:r>
        <w:rPr>
          <w:rFonts w:cs="Arial"/>
          <w:lang w:val="en-US"/>
        </w:rPr>
        <w:t>3,</w:t>
      </w:r>
      <w:r w:rsidRPr="00E6648E">
        <w:rPr>
          <w:rFonts w:cs="Arial"/>
          <w:lang w:val="en-US"/>
        </w:rPr>
        <w:t xml:space="preserve"> of the investment in Brasilcap of R$</w:t>
      </w:r>
      <w:r>
        <w:rPr>
          <w:rFonts w:cs="Arial"/>
          <w:lang w:val="en-US"/>
        </w:rPr>
        <w:t xml:space="preserve"> </w:t>
      </w:r>
      <w:r w:rsidRPr="00DC3495">
        <w:rPr>
          <w:rFonts w:cs="Arial"/>
          <w:lang w:val="en-US"/>
        </w:rPr>
        <w:t>5</w:t>
      </w:r>
      <w:r>
        <w:rPr>
          <w:rFonts w:cs="Arial"/>
          <w:lang w:val="en-US"/>
        </w:rPr>
        <w:t>66</w:t>
      </w:r>
      <w:r w:rsidRPr="00DC3495">
        <w:rPr>
          <w:rFonts w:cs="Arial"/>
          <w:lang w:val="en-US"/>
        </w:rPr>
        <w:t>.</w:t>
      </w:r>
      <w:r>
        <w:rPr>
          <w:rFonts w:cs="Arial"/>
          <w:lang w:val="en-US"/>
        </w:rPr>
        <w:t>320</w:t>
      </w:r>
      <w:r w:rsidRPr="00DC3495">
        <w:rPr>
          <w:rFonts w:cs="Arial"/>
          <w:lang w:val="en-US"/>
        </w:rPr>
        <w:t xml:space="preserve"> </w:t>
      </w:r>
      <w:r w:rsidRPr="00E6648E">
        <w:rPr>
          <w:rFonts w:cs="Arial"/>
          <w:lang w:val="en-US"/>
        </w:rPr>
        <w:t xml:space="preserve">thousand, includes the goodwill of R$ 110,749 thousand, in the acquisition of equity interest in the company Sulacap by BB Seguros, which occurred on </w:t>
      </w:r>
      <w:r>
        <w:rPr>
          <w:rFonts w:cs="Arial"/>
          <w:lang w:val="en-US"/>
        </w:rPr>
        <w:t>07.</w:t>
      </w:r>
      <w:r w:rsidRPr="00E6648E">
        <w:rPr>
          <w:rFonts w:cs="Arial"/>
          <w:lang w:val="en-US"/>
        </w:rPr>
        <w:t>22</w:t>
      </w:r>
      <w:r>
        <w:rPr>
          <w:rFonts w:cs="Arial"/>
          <w:lang w:val="en-US"/>
        </w:rPr>
        <w:t>.</w:t>
      </w:r>
      <w:r w:rsidRPr="00E6648E">
        <w:rPr>
          <w:rFonts w:cs="Arial"/>
          <w:lang w:val="en-US"/>
        </w:rPr>
        <w:t>2011</w:t>
      </w:r>
      <w:r>
        <w:rPr>
          <w:rFonts w:cs="Arial"/>
          <w:lang w:val="en-US"/>
        </w:rPr>
        <w:t>.</w:t>
      </w:r>
    </w:p>
    <w:p w14:paraId="0585B5D8" w14:textId="77777777" w:rsidR="006A362F" w:rsidRDefault="006A362F" w:rsidP="00D372BE">
      <w:pPr>
        <w:pStyle w:val="05-Textonormal"/>
        <w:spacing w:before="0" w:after="80" w:line="240" w:lineRule="auto"/>
        <w:rPr>
          <w:rFonts w:cs="Arial"/>
          <w:lang w:val="en-US"/>
        </w:rPr>
      </w:pPr>
      <w:r>
        <w:rPr>
          <w:rStyle w:val="rynqvb"/>
          <w:lang w:val="en"/>
        </w:rPr>
        <w:t>In accordance with IAS 28, the equity value of investees, for the purpose of applying the equity method, will be recognized based on the balance sheet or verification balance drawn up, on the same date, or within two months of</w:t>
      </w:r>
      <w:r>
        <w:rPr>
          <w:rStyle w:val="hwtze"/>
          <w:lang w:val="en"/>
        </w:rPr>
        <w:t xml:space="preserve"> </w:t>
      </w:r>
      <w:r>
        <w:rPr>
          <w:rStyle w:val="rynqvb"/>
          <w:lang w:val="en"/>
        </w:rPr>
        <w:t>lag.</w:t>
      </w:r>
      <w:r>
        <w:rPr>
          <w:rStyle w:val="hwtze"/>
          <w:lang w:val="en"/>
        </w:rPr>
        <w:t xml:space="preserve"> </w:t>
      </w:r>
      <w:r>
        <w:rPr>
          <w:rStyle w:val="rynqvb"/>
          <w:lang w:val="en"/>
        </w:rPr>
        <w:t>Due to operational issues, as of January 2023, the accounting recognition of the investment in Brasildental, through the equity method, is being carried out with a delay of one month.</w:t>
      </w:r>
      <w:r>
        <w:rPr>
          <w:rStyle w:val="hwtze"/>
          <w:lang w:val="en"/>
        </w:rPr>
        <w:t xml:space="preserve"> </w:t>
      </w:r>
      <w:r>
        <w:rPr>
          <w:rStyle w:val="rynqvb"/>
          <w:lang w:val="en"/>
        </w:rPr>
        <w:t>In March 2023, R$ 3,000 thousand in dividends were received from Brasildental, already reflected in the investment.</w:t>
      </w:r>
    </w:p>
    <w:p w14:paraId="759DDE68" w14:textId="77777777" w:rsidR="006A362F" w:rsidRDefault="006A362F" w:rsidP="00D372BE">
      <w:pPr>
        <w:pStyle w:val="05-Textonormal"/>
        <w:spacing w:before="0" w:after="80" w:line="240" w:lineRule="auto"/>
        <w:rPr>
          <w:rFonts w:cs="Arial"/>
          <w:lang w:val="en-US"/>
        </w:rPr>
      </w:pPr>
      <w:r w:rsidRPr="00E22381">
        <w:rPr>
          <w:rFonts w:cs="Arial"/>
          <w:lang w:val="en-US"/>
        </w:rPr>
        <w:t xml:space="preserve">BB </w:t>
      </w:r>
      <w:r>
        <w:rPr>
          <w:rFonts w:cs="Arial"/>
          <w:lang w:val="en-US"/>
        </w:rPr>
        <w:t>MAPFRE</w:t>
      </w:r>
      <w:r w:rsidRPr="00E22381">
        <w:rPr>
          <w:rFonts w:cs="Arial"/>
          <w:lang w:val="en-US"/>
        </w:rPr>
        <w:t xml:space="preserve"> adopts BRGAAP in its accounting information. Therefore, it makes the necessary adjustments to standardize the practices adopted by its subsidiaries, Brasilseg and Aliança do Brasil, which adopt the accounting standards defined by SUSEP</w:t>
      </w:r>
      <w:r>
        <w:rPr>
          <w:rFonts w:cs="Arial"/>
          <w:lang w:val="en-US"/>
        </w:rPr>
        <w:t xml:space="preserve"> (SUSEPGAAP)</w:t>
      </w:r>
      <w:r w:rsidRPr="00E22381">
        <w:rPr>
          <w:rFonts w:cs="Arial"/>
          <w:lang w:val="en-US"/>
        </w:rPr>
        <w:t>.</w:t>
      </w:r>
    </w:p>
    <w:p w14:paraId="446A2BCD" w14:textId="77777777" w:rsidR="006A362F" w:rsidRDefault="006A362F" w:rsidP="00FE09B9">
      <w:pPr>
        <w:pStyle w:val="01-TtulodeNota"/>
        <w:rPr>
          <w:rStyle w:val="rynqvb"/>
          <w:lang w:val="en"/>
        </w:rPr>
      </w:pPr>
      <w:r w:rsidRPr="006507A4">
        <w:rPr>
          <w:rFonts w:cs="Arial"/>
          <w:b w:val="0"/>
          <w:sz w:val="18"/>
          <w:szCs w:val="18"/>
          <w:lang w:val="en-US"/>
        </w:rPr>
        <w:lastRenderedPageBreak/>
        <w:t>R$ 3,760,838 thousand of dividends (R$ 1,594,533 thousand in the 1</w:t>
      </w:r>
      <w:r w:rsidRPr="006507A4">
        <w:rPr>
          <w:rFonts w:cs="Arial"/>
          <w:b w:val="0"/>
          <w:sz w:val="18"/>
          <w:szCs w:val="18"/>
          <w:vertAlign w:val="superscript"/>
          <w:lang w:val="en-US"/>
        </w:rPr>
        <w:t>st</w:t>
      </w:r>
      <w:r w:rsidRPr="006507A4">
        <w:rPr>
          <w:rFonts w:cs="Arial"/>
          <w:b w:val="0"/>
          <w:sz w:val="18"/>
          <w:szCs w:val="18"/>
          <w:lang w:val="en-US"/>
        </w:rPr>
        <w:t xml:space="preserve"> </w:t>
      </w:r>
      <w:r>
        <w:rPr>
          <w:rFonts w:cs="Arial"/>
          <w:b w:val="0"/>
          <w:sz w:val="18"/>
          <w:szCs w:val="18"/>
          <w:lang w:val="en-US"/>
        </w:rPr>
        <w:t>Q</w:t>
      </w:r>
      <w:r w:rsidRPr="006507A4">
        <w:rPr>
          <w:rFonts w:cs="Arial"/>
          <w:b w:val="0"/>
          <w:sz w:val="18"/>
          <w:szCs w:val="18"/>
          <w:lang w:val="en-US"/>
        </w:rPr>
        <w:t>uarter 2022) were received from investments in equity interests, evaluated by the equity method, by the Controller, R$ 920,981 thousand of dividends (R$ 572,012 thousand in the 1</w:t>
      </w:r>
      <w:r w:rsidRPr="006507A4">
        <w:rPr>
          <w:rFonts w:cs="Arial"/>
          <w:b w:val="0"/>
          <w:sz w:val="18"/>
          <w:szCs w:val="18"/>
          <w:vertAlign w:val="superscript"/>
          <w:lang w:val="en-US"/>
        </w:rPr>
        <w:t>st</w:t>
      </w:r>
      <w:r w:rsidRPr="006507A4">
        <w:rPr>
          <w:rFonts w:cs="Arial"/>
          <w:b w:val="0"/>
          <w:sz w:val="18"/>
          <w:szCs w:val="18"/>
          <w:lang w:val="en-US"/>
        </w:rPr>
        <w:t xml:space="preserve"> </w:t>
      </w:r>
      <w:r>
        <w:rPr>
          <w:rFonts w:cs="Arial"/>
          <w:b w:val="0"/>
          <w:sz w:val="18"/>
          <w:szCs w:val="18"/>
          <w:lang w:val="en-US"/>
        </w:rPr>
        <w:t>Q</w:t>
      </w:r>
      <w:r w:rsidRPr="006507A4">
        <w:rPr>
          <w:rFonts w:cs="Arial"/>
          <w:b w:val="0"/>
          <w:sz w:val="18"/>
          <w:szCs w:val="18"/>
          <w:lang w:val="en-US"/>
        </w:rPr>
        <w:t>uarter 2022) by Consolidated</w:t>
      </w:r>
      <w:r>
        <w:rPr>
          <w:rStyle w:val="rynqvb"/>
          <w:lang w:val="en"/>
        </w:rPr>
        <w:t>.</w:t>
      </w:r>
    </w:p>
    <w:p w14:paraId="381F203B" w14:textId="77777777" w:rsidR="006A362F" w:rsidRPr="00CF49A3" w:rsidRDefault="006A362F" w:rsidP="00CF49A3">
      <w:pPr>
        <w:pStyle w:val="01-TtulodeNota"/>
        <w:rPr>
          <w:color w:val="1F4E79" w:themeColor="accent1" w:themeShade="80"/>
          <w:lang w:val="en-US"/>
        </w:rPr>
      </w:pPr>
      <w:r w:rsidRPr="00CF49A3">
        <w:rPr>
          <w:color w:val="1F4E79" w:themeColor="accent1" w:themeShade="80"/>
          <w:lang w:val="en-US"/>
        </w:rPr>
        <w:t>Increase in Equity Interest in Brasilcap</w:t>
      </w:r>
    </w:p>
    <w:p w14:paraId="1D243939" w14:textId="77777777" w:rsidR="006A362F" w:rsidRPr="00DC3495" w:rsidRDefault="006A362F" w:rsidP="00CF49A3">
      <w:pPr>
        <w:pStyle w:val="05-Textonormal"/>
        <w:spacing w:line="240" w:lineRule="auto"/>
        <w:rPr>
          <w:rFonts w:cs="Arial"/>
          <w:spacing w:val="0"/>
          <w:szCs w:val="20"/>
          <w:lang w:val="en-US" w:eastAsia="zh-CN"/>
        </w:rPr>
      </w:pPr>
      <w:r w:rsidRPr="00DC3495">
        <w:rPr>
          <w:rFonts w:cs="Arial"/>
          <w:spacing w:val="0"/>
          <w:szCs w:val="20"/>
          <w:lang w:val="en-US" w:eastAsia="zh-CN"/>
        </w:rPr>
        <w:t xml:space="preserve">In November 2022, the increase in the shareholding of BB Seguros Participações S.A. was completed. (“BB Seguros”) in the subsidiary Brasilcap Capitalização S.A. (“Brasilcap”), through the exercise of the option to purchase 430,635 preferred shares owned by shareholders Companhia de Seguros Aliança da Bahia (“Aliança da Bahia”) and Icatu Seguros S.A. (“Icatu”), corresponding to 0.11 percentage points of the total capital of the subsidiary, pursuant to the Private Instrument of Commitment for Subscription of Equity Interest and Other Covenants (“Subscription Instrument”), entered into on </w:t>
      </w:r>
      <w:r>
        <w:rPr>
          <w:rFonts w:cs="Arial"/>
          <w:spacing w:val="0"/>
          <w:szCs w:val="20"/>
          <w:lang w:val="en-US" w:eastAsia="zh-CN"/>
        </w:rPr>
        <w:t xml:space="preserve">December </w:t>
      </w:r>
      <w:r w:rsidRPr="00DC3495">
        <w:rPr>
          <w:rFonts w:cs="Arial"/>
          <w:spacing w:val="0"/>
          <w:szCs w:val="20"/>
          <w:lang w:val="en-US" w:eastAsia="zh-CN"/>
        </w:rPr>
        <w:t>12</w:t>
      </w:r>
      <w:r>
        <w:rPr>
          <w:rFonts w:cs="Arial"/>
          <w:spacing w:val="0"/>
          <w:szCs w:val="20"/>
          <w:lang w:val="en-US" w:eastAsia="zh-CN"/>
        </w:rPr>
        <w:t>, 2</w:t>
      </w:r>
      <w:r w:rsidRPr="00DC3495">
        <w:rPr>
          <w:rFonts w:cs="Arial"/>
          <w:spacing w:val="0"/>
          <w:szCs w:val="20"/>
          <w:lang w:val="en-US" w:eastAsia="zh-CN"/>
        </w:rPr>
        <w:t>021.</w:t>
      </w:r>
    </w:p>
    <w:p w14:paraId="11B4059E" w14:textId="77777777" w:rsidR="006A362F" w:rsidRPr="001643E0" w:rsidRDefault="006A362F" w:rsidP="00076945">
      <w:pPr>
        <w:pStyle w:val="04-TtuloNegrito"/>
        <w:rPr>
          <w:color w:val="1F4E79" w:themeColor="accent1" w:themeShade="80"/>
          <w:sz w:val="18"/>
          <w:szCs w:val="18"/>
          <w:lang w:val="en-US"/>
        </w:rPr>
      </w:pPr>
      <w:bookmarkStart w:id="29" w:name="_Hlk86925654"/>
      <w:r w:rsidRPr="001643E0">
        <w:rPr>
          <w:color w:val="1F4E79" w:themeColor="accent1" w:themeShade="80"/>
          <w:sz w:val="18"/>
          <w:szCs w:val="18"/>
          <w:lang w:val="en-US"/>
        </w:rPr>
        <w:t>c) Summary financial information on Investments in Equity Holdings</w:t>
      </w:r>
    </w:p>
    <w:p w14:paraId="424843EF" w14:textId="77777777" w:rsidR="006A362F" w:rsidRPr="001643E0" w:rsidRDefault="006A362F" w:rsidP="00076945">
      <w:pPr>
        <w:pStyle w:val="01-TtulodeNota"/>
        <w:spacing w:before="0" w:after="0"/>
        <w:rPr>
          <w:rFonts w:cs="Arial"/>
          <w:b w:val="0"/>
          <w:sz w:val="18"/>
          <w:lang w:val="en-US" w:eastAsia="zh-CN"/>
        </w:rPr>
      </w:pPr>
      <w:r w:rsidRPr="001643E0">
        <w:rPr>
          <w:rFonts w:cs="Arial"/>
          <w:b w:val="0"/>
          <w:sz w:val="18"/>
          <w:lang w:val="en-US" w:eastAsia="zh-CN"/>
        </w:rPr>
        <w:t>The amounts presented below refer to the financial statements of the investees with accounting practices in the international standard (IFRS).</w:t>
      </w:r>
    </w:p>
    <w:p w14:paraId="6962F0E1" w14:textId="77777777" w:rsidR="006A362F" w:rsidRPr="001643E0" w:rsidRDefault="006A362F" w:rsidP="00076945">
      <w:pPr>
        <w:spacing w:after="0" w:line="240" w:lineRule="auto"/>
        <w:rPr>
          <w:rFonts w:eastAsia="Times New Roman" w:cs="Times New Roman"/>
          <w:b/>
          <w:color w:val="1F4E79" w:themeColor="accent1" w:themeShade="80"/>
          <w:spacing w:val="-2"/>
          <w:szCs w:val="20"/>
          <w:lang w:val="en-US" w:eastAsia="pt-BR"/>
        </w:rPr>
      </w:pPr>
    </w:p>
    <w:p w14:paraId="13BFC567" w14:textId="77777777" w:rsidR="006A362F" w:rsidRPr="001643E0" w:rsidRDefault="006A362F" w:rsidP="00076945">
      <w:pPr>
        <w:spacing w:after="0" w:line="240" w:lineRule="auto"/>
        <w:rPr>
          <w:rFonts w:eastAsia="Times New Roman" w:cs="Times New Roman"/>
          <w:b/>
          <w:color w:val="1F4E79" w:themeColor="accent1" w:themeShade="80"/>
          <w:spacing w:val="-2"/>
          <w:szCs w:val="20"/>
          <w:lang w:eastAsia="pt-BR"/>
        </w:rPr>
      </w:pPr>
      <w:bookmarkStart w:id="30" w:name="_Hlk117187389"/>
      <w:bookmarkStart w:id="31" w:name="_Hlk86328757"/>
      <w:r w:rsidRPr="001643E0">
        <w:rPr>
          <w:rFonts w:eastAsia="Times New Roman" w:cs="Times New Roman"/>
          <w:b/>
          <w:color w:val="1F4E79" w:themeColor="accent1" w:themeShade="80"/>
          <w:spacing w:val="-2"/>
          <w:szCs w:val="20"/>
          <w:lang w:eastAsia="pt-BR"/>
        </w:rPr>
        <w:t xml:space="preserve">c.1) </w:t>
      </w:r>
      <w:r>
        <w:rPr>
          <w:rFonts w:eastAsia="Times New Roman" w:cs="Times New Roman"/>
          <w:b/>
          <w:color w:val="1F4E79" w:themeColor="accent1" w:themeShade="80"/>
          <w:spacing w:val="-2"/>
          <w:szCs w:val="20"/>
          <w:lang w:eastAsia="pt-BR"/>
        </w:rPr>
        <w:t xml:space="preserve">BB MAPFRE Participações, Brasilseg and Aliança do Brasil Seguros </w:t>
      </w:r>
    </w:p>
    <w:p w14:paraId="3F04B5D8" w14:textId="77777777" w:rsidR="006A362F" w:rsidRPr="001643E0" w:rsidRDefault="006A362F" w:rsidP="00076945">
      <w:pPr>
        <w:spacing w:after="0" w:line="240" w:lineRule="auto"/>
        <w:rPr>
          <w:rFonts w:eastAsia="Times New Roman" w:cs="Times New Roman"/>
          <w:b/>
          <w:color w:val="1F4E79" w:themeColor="accent1" w:themeShade="80"/>
          <w:spacing w:val="-2"/>
          <w:szCs w:val="20"/>
          <w:lang w:eastAsia="pt-BR"/>
        </w:rPr>
      </w:pPr>
    </w:p>
    <w:p w14:paraId="32C0E680" w14:textId="77777777" w:rsidR="006A362F" w:rsidRPr="0020490A" w:rsidRDefault="006A362F" w:rsidP="001643E0">
      <w:pPr>
        <w:jc w:val="both"/>
        <w:rPr>
          <w:rFonts w:eastAsia="Times New Roman" w:cs="Arial"/>
          <w:kern w:val="20"/>
          <w:szCs w:val="20"/>
          <w:lang w:val="en-US" w:eastAsia="pt-BR"/>
        </w:rPr>
      </w:pPr>
      <w:r w:rsidRPr="0020490A">
        <w:rPr>
          <w:rFonts w:eastAsia="Times New Roman" w:cs="Arial"/>
          <w:kern w:val="20"/>
          <w:szCs w:val="20"/>
          <w:lang w:val="en-US" w:eastAsia="pt-BR"/>
        </w:rPr>
        <w:t>In line with the guidelines prepared by the shareholders BB Seguros and MAPFRE S.A, the Brasilseg group promoted the application of the principles contemplated in the IFRS 17 and IFRS 9.</w:t>
      </w:r>
    </w:p>
    <w:p w14:paraId="2D579DD5" w14:textId="77777777" w:rsidR="006A362F" w:rsidRPr="0020490A" w:rsidRDefault="006A362F" w:rsidP="001643E0">
      <w:pPr>
        <w:jc w:val="both"/>
        <w:rPr>
          <w:rFonts w:eastAsia="Times New Roman" w:cs="Arial"/>
          <w:kern w:val="20"/>
          <w:szCs w:val="20"/>
          <w:lang w:val="en-US" w:eastAsia="pt-BR"/>
        </w:rPr>
      </w:pPr>
      <w:r w:rsidRPr="0020490A">
        <w:rPr>
          <w:rFonts w:eastAsia="Times New Roman" w:cs="Arial"/>
          <w:kern w:val="20"/>
          <w:szCs w:val="20"/>
          <w:lang w:val="en-US" w:eastAsia="pt-BR"/>
        </w:rPr>
        <w:t>By following the accounting guidelines issued by the Brazilian Corporate Law in accordance with the accounting practices adopted in Brazil, which include the pronouncements issued by the Accounting Pronouncements Committee (CPC), BB MAPFRE Participações S.A. (BB MAPFRE) must apply IFRS 17 and IFRS 9 through harmonization of accounting practices, since the company controls the insurers Brasilseg Companhia de Seguros and Aliança do Brasil Seguros S.A.</w:t>
      </w:r>
    </w:p>
    <w:p w14:paraId="154ECC59" w14:textId="77777777" w:rsidR="006A362F" w:rsidRPr="0020490A" w:rsidRDefault="006A362F" w:rsidP="001643E0">
      <w:pPr>
        <w:jc w:val="both"/>
        <w:rPr>
          <w:rFonts w:eastAsia="Times New Roman" w:cs="Arial"/>
          <w:kern w:val="20"/>
          <w:szCs w:val="20"/>
          <w:lang w:val="en-US" w:eastAsia="pt-BR"/>
        </w:rPr>
      </w:pPr>
      <w:r w:rsidRPr="0020490A">
        <w:rPr>
          <w:rFonts w:eastAsia="Times New Roman" w:cs="Arial"/>
          <w:kern w:val="20"/>
          <w:szCs w:val="20"/>
          <w:lang w:val="en-US" w:eastAsia="pt-BR"/>
        </w:rPr>
        <w:t>Although CPC 50 [IFRS 17] and CPC 48 [IFRS 9] standards have not yet been approved by SUSEP (except CPC 48 [IFRS 9], which was approved by SUSEP to start in 2024), the companies Brasilseg and Aliança of Brazil that sell insurance contracts and have financial instruments within the scope of the aforementioned standards must prepare their financial statements in the new standard, in order to comply with the accounting standards applicable to BB MAPRE and BB Seguridade.</w:t>
      </w:r>
    </w:p>
    <w:p w14:paraId="0B022F41" w14:textId="77777777" w:rsidR="006A362F" w:rsidRPr="0020490A" w:rsidRDefault="006A362F" w:rsidP="001643E0">
      <w:pPr>
        <w:jc w:val="both"/>
        <w:rPr>
          <w:rFonts w:eastAsia="Times New Roman" w:cs="Arial"/>
          <w:kern w:val="20"/>
          <w:szCs w:val="20"/>
          <w:lang w:val="en-US" w:eastAsia="pt-BR"/>
        </w:rPr>
      </w:pPr>
      <w:r w:rsidRPr="0020490A">
        <w:rPr>
          <w:rFonts w:eastAsia="Times New Roman" w:cs="Arial"/>
          <w:kern w:val="20"/>
          <w:szCs w:val="20"/>
          <w:lang w:val="en-US" w:eastAsia="pt-BR"/>
        </w:rPr>
        <w:t>The companies Brasilseg and Aliança do Brasil Seguros fully applied the requirements of the rules for insurance contracts and financial instruments, as will be presented below by company.</w:t>
      </w:r>
    </w:p>
    <w:p w14:paraId="6DDB7793" w14:textId="77777777" w:rsidR="006A362F" w:rsidRDefault="006A362F" w:rsidP="001643E0">
      <w:pPr>
        <w:keepNext/>
        <w:keepLines/>
        <w:spacing w:after="0" w:line="240" w:lineRule="auto"/>
        <w:rPr>
          <w:rFonts w:eastAsia="Times New Roman" w:cs="Arial"/>
          <w:kern w:val="20"/>
          <w:szCs w:val="20"/>
          <w:lang w:val="en-US" w:eastAsia="pt-BR"/>
        </w:rPr>
      </w:pPr>
    </w:p>
    <w:p w14:paraId="17872DA1" w14:textId="77777777" w:rsidR="006A362F" w:rsidRPr="00261F6E" w:rsidRDefault="006A362F" w:rsidP="001643E0">
      <w:pPr>
        <w:keepNext/>
        <w:keepLines/>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t xml:space="preserve">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 xml:space="preserve"> Participações S.A. (BB </w:t>
      </w:r>
      <w:r>
        <w:rPr>
          <w:rFonts w:eastAsia="Times New Roman" w:cs="Times New Roman"/>
          <w:b/>
          <w:color w:val="1F4E79" w:themeColor="accent1" w:themeShade="80"/>
          <w:spacing w:val="-2"/>
          <w:szCs w:val="20"/>
          <w:lang w:eastAsia="pt-BR"/>
        </w:rPr>
        <w:t>MAPFRE</w:t>
      </w:r>
      <w:r w:rsidRPr="00261F6E">
        <w:rPr>
          <w:rFonts w:eastAsia="Times New Roman" w:cs="Times New Roman"/>
          <w:b/>
          <w:color w:val="1F4E79" w:themeColor="accent1" w:themeShade="80"/>
          <w:spacing w:val="-2"/>
          <w:szCs w:val="20"/>
          <w:lang w:eastAsia="pt-BR"/>
        </w:rPr>
        <w:t>)</w:t>
      </w:r>
    </w:p>
    <w:p w14:paraId="37EE2A44" w14:textId="77777777" w:rsidR="006A362F" w:rsidRDefault="006A362F" w:rsidP="00076945">
      <w:pPr>
        <w:spacing w:after="0" w:line="240" w:lineRule="auto"/>
        <w:rPr>
          <w:rFonts w:eastAsia="Times New Roman" w:cs="Arial"/>
          <w:b/>
          <w:color w:val="1F4E79" w:themeColor="accent1" w:themeShade="80"/>
          <w:spacing w:val="-2"/>
          <w:szCs w:val="18"/>
          <w:lang w:eastAsia="pt-BR"/>
        </w:rPr>
      </w:pPr>
    </w:p>
    <w:p w14:paraId="46D8560F" w14:textId="77777777" w:rsidR="006A362F" w:rsidRPr="001643E0" w:rsidRDefault="006A362F" w:rsidP="001643E0">
      <w:pPr>
        <w:spacing w:after="0" w:line="240" w:lineRule="auto"/>
        <w:rPr>
          <w:rFonts w:eastAsia="Times New Roman" w:cs="Arial"/>
          <w:b/>
          <w:color w:val="1F4E79" w:themeColor="accent1" w:themeShade="80"/>
          <w:spacing w:val="-2"/>
          <w:szCs w:val="18"/>
          <w:lang w:val="en-US" w:eastAsia="pt-BR"/>
        </w:rPr>
      </w:pPr>
      <w:r w:rsidRPr="001643E0">
        <w:rPr>
          <w:rFonts w:eastAsia="Times New Roman" w:cs="Arial"/>
          <w:b/>
          <w:color w:val="1F4E79" w:themeColor="accent1" w:themeShade="80"/>
          <w:spacing w:val="-2"/>
          <w:szCs w:val="18"/>
          <w:lang w:val="en-US" w:eastAsia="pt-BR"/>
        </w:rPr>
        <w:t>Initial Adoption of CPC 50 [IFRS 17] and CPC 48 [IFRS 9]</w:t>
      </w:r>
    </w:p>
    <w:p w14:paraId="746A51BE" w14:textId="77777777" w:rsidR="006A362F" w:rsidRPr="001643E0" w:rsidRDefault="006A362F" w:rsidP="001643E0">
      <w:pPr>
        <w:spacing w:after="0" w:line="240" w:lineRule="auto"/>
        <w:rPr>
          <w:rFonts w:eastAsia="Times New Roman" w:cs="Arial"/>
          <w:b/>
          <w:color w:val="1F4E79" w:themeColor="accent1" w:themeShade="80"/>
          <w:spacing w:val="-2"/>
          <w:szCs w:val="18"/>
          <w:lang w:val="en-US" w:eastAsia="pt-BR"/>
        </w:rPr>
      </w:pPr>
    </w:p>
    <w:p w14:paraId="2DCECD20" w14:textId="77777777" w:rsidR="006A362F" w:rsidRPr="0020490A" w:rsidRDefault="006A362F" w:rsidP="001643E0">
      <w:pPr>
        <w:jc w:val="both"/>
        <w:rPr>
          <w:rFonts w:eastAsia="Times New Roman" w:cs="Arial"/>
          <w:kern w:val="20"/>
          <w:szCs w:val="20"/>
          <w:lang w:val="en-US" w:eastAsia="pt-BR"/>
        </w:rPr>
      </w:pPr>
      <w:r w:rsidRPr="0020490A">
        <w:rPr>
          <w:rFonts w:eastAsia="Times New Roman" w:cs="Arial"/>
          <w:kern w:val="20"/>
          <w:szCs w:val="20"/>
          <w:lang w:val="en-US" w:eastAsia="pt-BR"/>
        </w:rPr>
        <w:t>Due to the initial adoption as of January 2023, BB MAPFRE applied the retrospective approach for the purposes of the transition requirements of the standards. As BB MAPFRE is the holding company, with a 100% stake in the capital of the companies Brasilseg and Aliança do Brasil Seguros, such impacts were reflected in BB MAPFRE's financial statements, with effects on Investments in Shareholdings and Shareholders' Equity.</w:t>
      </w:r>
    </w:p>
    <w:p w14:paraId="71A01C10" w14:textId="77777777" w:rsidR="006A362F" w:rsidRPr="0020490A" w:rsidRDefault="006A362F" w:rsidP="001643E0">
      <w:pPr>
        <w:jc w:val="both"/>
        <w:rPr>
          <w:rFonts w:eastAsia="Times New Roman" w:cs="Arial"/>
          <w:kern w:val="20"/>
          <w:szCs w:val="20"/>
          <w:lang w:val="en-US" w:eastAsia="pt-BR"/>
        </w:rPr>
      </w:pPr>
      <w:r w:rsidRPr="001643E0">
        <w:rPr>
          <w:rFonts w:eastAsia="Times New Roman" w:cs="Arial"/>
          <w:kern w:val="20"/>
          <w:szCs w:val="20"/>
          <w:lang w:val="en-US" w:eastAsia="pt-BR"/>
        </w:rPr>
        <w:t xml:space="preserve">With regard to CPC 48 [IFRS 9], BB MAPFRE has already adopted it since 2018. </w:t>
      </w:r>
      <w:r w:rsidRPr="0020490A">
        <w:rPr>
          <w:rFonts w:eastAsia="Times New Roman" w:cs="Arial"/>
          <w:kern w:val="20"/>
          <w:szCs w:val="20"/>
          <w:lang w:val="en-US" w:eastAsia="pt-BR"/>
        </w:rPr>
        <w:t>The impacts of the transition on equity are shown in the tables below:</w:t>
      </w:r>
    </w:p>
    <w:p w14:paraId="2661910B" w14:textId="77777777" w:rsidR="006A362F" w:rsidRPr="00B77F46" w:rsidRDefault="006A362F" w:rsidP="00076945">
      <w:pPr>
        <w:pStyle w:val="01-TtulodeNota"/>
        <w:spacing w:before="0" w:after="0"/>
        <w:jc w:val="right"/>
        <w:rPr>
          <w:sz w:val="14"/>
          <w:szCs w:val="14"/>
        </w:rPr>
      </w:pPr>
      <w:r w:rsidRPr="00B77F46">
        <w:rPr>
          <w:sz w:val="14"/>
          <w:szCs w:val="14"/>
        </w:rPr>
        <w:t xml:space="preserve">R$ </w:t>
      </w:r>
      <w:r>
        <w:rPr>
          <w:sz w:val="14"/>
          <w:szCs w:val="14"/>
        </w:rPr>
        <w:t>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466C18" w14:paraId="6CAB852D" w14:textId="77777777" w:rsidTr="006928A6">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080616F6" w14:textId="77777777" w:rsidR="006A362F" w:rsidRPr="003222DA" w:rsidRDefault="006A362F" w:rsidP="006928A6">
            <w:pPr>
              <w:pStyle w:val="08-Tabelageral"/>
              <w:jc w:val="center"/>
              <w:rPr>
                <w:rFonts w:cs="Arial"/>
                <w:b/>
                <w:szCs w:val="14"/>
                <w:lang w:val="en-US"/>
              </w:rPr>
            </w:pPr>
            <w:r w:rsidRPr="003222DA">
              <w:rPr>
                <w:rFonts w:cs="Arial"/>
                <w:b/>
                <w:szCs w:val="14"/>
                <w:lang w:val="en-US"/>
              </w:rPr>
              <w:t>Equity Reconciliation - Effects of the adoption of CPC 50 [IFRS 17] and CPC 48 [IFRS 9]</w:t>
            </w:r>
          </w:p>
        </w:tc>
      </w:tr>
      <w:tr w:rsidR="006A362F" w:rsidRPr="000644A1" w14:paraId="2FB63B89"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0B20F6D4" w14:textId="77777777" w:rsidR="006A362F" w:rsidRPr="00B540FF" w:rsidRDefault="006A362F" w:rsidP="006928A6">
            <w:pPr>
              <w:pStyle w:val="08-Tabelageral"/>
              <w:jc w:val="left"/>
              <w:rPr>
                <w:rFonts w:cs="Arial"/>
                <w:b/>
                <w:bCs/>
                <w:szCs w:val="14"/>
              </w:rPr>
            </w:pPr>
            <w:r>
              <w:rPr>
                <w:rFonts w:cs="Arial"/>
                <w:b/>
                <w:bCs/>
                <w:szCs w:val="14"/>
              </w:rPr>
              <w:t>Equity on Dec 31,2021</w:t>
            </w:r>
          </w:p>
        </w:tc>
        <w:tc>
          <w:tcPr>
            <w:tcW w:w="2267" w:type="dxa"/>
            <w:tcBorders>
              <w:top w:val="single" w:sz="2" w:space="0" w:color="1F4E79" w:themeColor="accent1" w:themeShade="80"/>
            </w:tcBorders>
            <w:shd w:val="clear" w:color="auto" w:fill="auto"/>
            <w:vAlign w:val="center"/>
          </w:tcPr>
          <w:p w14:paraId="0AA9D0A7" w14:textId="77777777" w:rsidR="006A362F" w:rsidRPr="00B86917" w:rsidRDefault="006A362F" w:rsidP="006928A6">
            <w:pPr>
              <w:pStyle w:val="08-Tabelageral"/>
              <w:rPr>
                <w:rFonts w:cs="Arial"/>
                <w:b/>
                <w:bCs/>
                <w:szCs w:val="14"/>
              </w:rPr>
            </w:pPr>
            <w:r w:rsidRPr="001B6FF8">
              <w:rPr>
                <w:rFonts w:cs="Arial"/>
                <w:b/>
                <w:bCs/>
                <w:szCs w:val="14"/>
              </w:rPr>
              <w:t>2</w:t>
            </w:r>
            <w:r>
              <w:rPr>
                <w:rFonts w:cs="Arial"/>
                <w:b/>
                <w:bCs/>
                <w:szCs w:val="14"/>
              </w:rPr>
              <w:t>,</w:t>
            </w:r>
            <w:r w:rsidRPr="001B6FF8">
              <w:rPr>
                <w:rFonts w:cs="Arial"/>
                <w:b/>
                <w:bCs/>
                <w:szCs w:val="14"/>
              </w:rPr>
              <w:t>436</w:t>
            </w:r>
            <w:r>
              <w:rPr>
                <w:rFonts w:cs="Arial"/>
                <w:b/>
                <w:bCs/>
                <w:szCs w:val="14"/>
              </w:rPr>
              <w:t>,</w:t>
            </w:r>
            <w:r w:rsidRPr="001B6FF8">
              <w:rPr>
                <w:rFonts w:cs="Arial"/>
                <w:b/>
                <w:bCs/>
                <w:szCs w:val="14"/>
              </w:rPr>
              <w:t>424</w:t>
            </w:r>
          </w:p>
        </w:tc>
      </w:tr>
      <w:tr w:rsidR="006A362F" w:rsidRPr="000644A1" w14:paraId="04077EF0"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7D16B854" w14:textId="77777777" w:rsidR="006A362F" w:rsidRDefault="006A362F" w:rsidP="006928A6">
            <w:pPr>
              <w:pStyle w:val="08-Tabelageral"/>
              <w:jc w:val="left"/>
              <w:rPr>
                <w:rFonts w:cs="Arial"/>
                <w:b/>
                <w:bCs/>
                <w:szCs w:val="14"/>
              </w:rPr>
            </w:pPr>
            <w:r>
              <w:rPr>
                <w:rFonts w:cs="Arial"/>
                <w:b/>
                <w:bCs/>
                <w:szCs w:val="14"/>
              </w:rPr>
              <w:t>Total impact</w:t>
            </w:r>
          </w:p>
        </w:tc>
        <w:tc>
          <w:tcPr>
            <w:tcW w:w="2267" w:type="dxa"/>
            <w:tcBorders>
              <w:top w:val="single" w:sz="2" w:space="0" w:color="1F4E79" w:themeColor="accent1" w:themeShade="80"/>
            </w:tcBorders>
            <w:shd w:val="clear" w:color="auto" w:fill="auto"/>
            <w:vAlign w:val="center"/>
          </w:tcPr>
          <w:p w14:paraId="6BAA6C3E" w14:textId="77777777" w:rsidR="006A362F" w:rsidRPr="001B6FF8" w:rsidRDefault="006A362F" w:rsidP="006928A6">
            <w:pPr>
              <w:pStyle w:val="08-Tabelageral"/>
              <w:rPr>
                <w:rFonts w:cs="Arial"/>
                <w:b/>
                <w:bCs/>
                <w:szCs w:val="14"/>
              </w:rPr>
            </w:pPr>
            <w:r w:rsidRPr="001B6FF8">
              <w:rPr>
                <w:rFonts w:cs="Arial"/>
                <w:b/>
                <w:bCs/>
                <w:szCs w:val="14"/>
              </w:rPr>
              <w:t>370</w:t>
            </w:r>
            <w:r>
              <w:rPr>
                <w:rFonts w:cs="Arial"/>
                <w:b/>
                <w:bCs/>
                <w:szCs w:val="14"/>
              </w:rPr>
              <w:t>,</w:t>
            </w:r>
            <w:r w:rsidRPr="001B6FF8">
              <w:rPr>
                <w:rFonts w:cs="Arial"/>
                <w:b/>
                <w:bCs/>
                <w:szCs w:val="14"/>
              </w:rPr>
              <w:t>954</w:t>
            </w:r>
          </w:p>
        </w:tc>
      </w:tr>
      <w:tr w:rsidR="006A362F" w:rsidRPr="0048242D" w14:paraId="2628020A" w14:textId="77777777" w:rsidTr="006928A6">
        <w:trPr>
          <w:trHeight w:val="238"/>
          <w:jc w:val="center"/>
        </w:trPr>
        <w:tc>
          <w:tcPr>
            <w:tcW w:w="7372" w:type="dxa"/>
            <w:shd w:val="clear" w:color="auto" w:fill="auto"/>
          </w:tcPr>
          <w:p w14:paraId="2E9D6CC5" w14:textId="77777777" w:rsidR="006A362F" w:rsidRPr="00B540FF" w:rsidRDefault="006A362F" w:rsidP="006928A6">
            <w:pPr>
              <w:pStyle w:val="08-Tabelageral"/>
              <w:ind w:left="113"/>
              <w:jc w:val="left"/>
              <w:rPr>
                <w:rFonts w:cs="Arial"/>
                <w:szCs w:val="14"/>
              </w:rPr>
            </w:pPr>
            <w:r w:rsidRPr="001B6FF8">
              <w:rPr>
                <w:rFonts w:cs="Arial"/>
                <w:szCs w:val="14"/>
              </w:rPr>
              <w:t>Brasilseg</w:t>
            </w:r>
          </w:p>
        </w:tc>
        <w:tc>
          <w:tcPr>
            <w:tcW w:w="2267" w:type="dxa"/>
            <w:shd w:val="clear" w:color="auto" w:fill="auto"/>
          </w:tcPr>
          <w:p w14:paraId="68628227" w14:textId="77777777" w:rsidR="006A362F" w:rsidRPr="00B86917" w:rsidRDefault="006A362F" w:rsidP="006928A6">
            <w:pPr>
              <w:pStyle w:val="08-Tabelageral"/>
              <w:rPr>
                <w:rFonts w:cs="Arial"/>
                <w:szCs w:val="14"/>
              </w:rPr>
            </w:pPr>
            <w:r w:rsidRPr="001B6FF8">
              <w:rPr>
                <w:rFonts w:cs="Arial"/>
                <w:szCs w:val="14"/>
              </w:rPr>
              <w:t>376</w:t>
            </w:r>
            <w:r>
              <w:rPr>
                <w:rFonts w:cs="Arial"/>
                <w:szCs w:val="14"/>
              </w:rPr>
              <w:t>,</w:t>
            </w:r>
            <w:r w:rsidRPr="001B6FF8">
              <w:rPr>
                <w:rFonts w:cs="Arial"/>
                <w:szCs w:val="14"/>
              </w:rPr>
              <w:t>358</w:t>
            </w:r>
          </w:p>
        </w:tc>
      </w:tr>
      <w:tr w:rsidR="006A362F" w:rsidRPr="0048242D" w14:paraId="2CA08341" w14:textId="77777777" w:rsidTr="006928A6">
        <w:trPr>
          <w:trHeight w:val="238"/>
          <w:jc w:val="center"/>
        </w:trPr>
        <w:tc>
          <w:tcPr>
            <w:tcW w:w="7372" w:type="dxa"/>
            <w:shd w:val="clear" w:color="auto" w:fill="auto"/>
          </w:tcPr>
          <w:p w14:paraId="67E2F460" w14:textId="77777777" w:rsidR="006A362F" w:rsidRDefault="006A362F" w:rsidP="006928A6">
            <w:pPr>
              <w:pStyle w:val="08-Tabelageral"/>
              <w:ind w:left="113"/>
              <w:jc w:val="left"/>
              <w:rPr>
                <w:rFonts w:cs="Arial"/>
                <w:szCs w:val="14"/>
              </w:rPr>
            </w:pPr>
            <w:r w:rsidRPr="001B6FF8">
              <w:rPr>
                <w:rFonts w:cs="Arial"/>
                <w:szCs w:val="14"/>
              </w:rPr>
              <w:t>Aliança do Brasil Seguros</w:t>
            </w:r>
          </w:p>
        </w:tc>
        <w:tc>
          <w:tcPr>
            <w:tcW w:w="2267" w:type="dxa"/>
            <w:shd w:val="clear" w:color="auto" w:fill="auto"/>
          </w:tcPr>
          <w:p w14:paraId="08C5F04E" w14:textId="77777777" w:rsidR="006A362F" w:rsidRPr="00B86917" w:rsidRDefault="006A362F" w:rsidP="006928A6">
            <w:pPr>
              <w:pStyle w:val="08-Tabelageral"/>
              <w:rPr>
                <w:rFonts w:cs="Arial"/>
                <w:szCs w:val="14"/>
              </w:rPr>
            </w:pPr>
            <w:r>
              <w:rPr>
                <w:rFonts w:cs="Arial"/>
                <w:szCs w:val="14"/>
              </w:rPr>
              <w:t>(</w:t>
            </w:r>
            <w:r w:rsidRPr="001B6FF8">
              <w:rPr>
                <w:rFonts w:cs="Arial"/>
                <w:szCs w:val="14"/>
              </w:rPr>
              <w:t>5</w:t>
            </w:r>
            <w:r>
              <w:rPr>
                <w:rFonts w:cs="Arial"/>
                <w:szCs w:val="14"/>
              </w:rPr>
              <w:t>,</w:t>
            </w:r>
            <w:r w:rsidRPr="001B6FF8">
              <w:rPr>
                <w:rFonts w:cs="Arial"/>
                <w:szCs w:val="14"/>
              </w:rPr>
              <w:t>40</w:t>
            </w:r>
            <w:r>
              <w:rPr>
                <w:rFonts w:cs="Arial"/>
                <w:szCs w:val="14"/>
              </w:rPr>
              <w:t>4)</w:t>
            </w:r>
          </w:p>
        </w:tc>
      </w:tr>
      <w:tr w:rsidR="006A362F" w:rsidRPr="0048242D" w14:paraId="645961D9" w14:textId="77777777" w:rsidTr="006928A6">
        <w:trPr>
          <w:trHeight w:val="238"/>
          <w:jc w:val="center"/>
        </w:trPr>
        <w:tc>
          <w:tcPr>
            <w:tcW w:w="7372" w:type="dxa"/>
            <w:shd w:val="clear" w:color="auto" w:fill="auto"/>
          </w:tcPr>
          <w:p w14:paraId="24D820D1" w14:textId="77777777" w:rsidR="006A362F" w:rsidRPr="00190ECA" w:rsidRDefault="006A362F" w:rsidP="006928A6">
            <w:pPr>
              <w:pStyle w:val="08-Tabelageral"/>
              <w:jc w:val="left"/>
              <w:rPr>
                <w:rFonts w:cs="Arial"/>
                <w:b/>
                <w:bCs/>
                <w:szCs w:val="14"/>
                <w:lang w:val="en-US"/>
              </w:rPr>
            </w:pPr>
            <w:r w:rsidRPr="00190ECA">
              <w:rPr>
                <w:rFonts w:cs="Arial"/>
                <w:b/>
                <w:bCs/>
                <w:szCs w:val="14"/>
                <w:lang w:val="en-US"/>
              </w:rPr>
              <w:t>Equity on Jan 01, 2022, after adjustments of CPC 50 [IFRS 17] and CPC 48 [IFRS 9]</w:t>
            </w:r>
          </w:p>
        </w:tc>
        <w:tc>
          <w:tcPr>
            <w:tcW w:w="2267" w:type="dxa"/>
            <w:shd w:val="clear" w:color="auto" w:fill="auto"/>
          </w:tcPr>
          <w:p w14:paraId="126FC15A" w14:textId="77777777" w:rsidR="006A362F" w:rsidRPr="00B86917" w:rsidRDefault="006A362F" w:rsidP="006928A6">
            <w:pPr>
              <w:pStyle w:val="08-Tabelageral"/>
              <w:rPr>
                <w:rFonts w:cs="Arial"/>
                <w:b/>
                <w:bCs/>
                <w:szCs w:val="14"/>
              </w:rPr>
            </w:pPr>
            <w:r w:rsidRPr="001B6FF8">
              <w:rPr>
                <w:rFonts w:cs="Arial"/>
                <w:b/>
                <w:bCs/>
                <w:szCs w:val="14"/>
              </w:rPr>
              <w:t>2</w:t>
            </w:r>
            <w:r>
              <w:rPr>
                <w:rFonts w:cs="Arial"/>
                <w:b/>
                <w:bCs/>
                <w:szCs w:val="14"/>
              </w:rPr>
              <w:t>,</w:t>
            </w:r>
            <w:r w:rsidRPr="001B6FF8">
              <w:rPr>
                <w:rFonts w:cs="Arial"/>
                <w:b/>
                <w:bCs/>
                <w:szCs w:val="14"/>
              </w:rPr>
              <w:t>807</w:t>
            </w:r>
            <w:r>
              <w:rPr>
                <w:rFonts w:cs="Arial"/>
                <w:b/>
                <w:bCs/>
                <w:szCs w:val="14"/>
              </w:rPr>
              <w:t>,</w:t>
            </w:r>
            <w:r w:rsidRPr="001B6FF8">
              <w:rPr>
                <w:rFonts w:cs="Arial"/>
                <w:b/>
                <w:bCs/>
                <w:szCs w:val="14"/>
              </w:rPr>
              <w:t>378</w:t>
            </w:r>
          </w:p>
        </w:tc>
      </w:tr>
    </w:tbl>
    <w:p w14:paraId="540BBEF6"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61A9CA3E" w14:textId="77777777" w:rsidR="006A362F" w:rsidRDefault="006A362F" w:rsidP="00076945">
      <w:pPr>
        <w:keepNext/>
        <w:keepLines/>
        <w:pageBreakBefore/>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lastRenderedPageBreak/>
        <w:t>Income Statement Information</w:t>
      </w:r>
    </w:p>
    <w:p w14:paraId="49C0956C" w14:textId="77777777" w:rsidR="006A362F" w:rsidRDefault="006A362F" w:rsidP="00076945">
      <w:pPr>
        <w:keepNext/>
        <w:keepLines/>
        <w:spacing w:after="0" w:line="240" w:lineRule="auto"/>
        <w:rPr>
          <w:rFonts w:eastAsia="Times New Roman" w:cs="Arial"/>
          <w:spacing w:val="-2"/>
          <w:szCs w:val="20"/>
          <w:lang w:eastAsia="zh-CN"/>
        </w:rPr>
      </w:pPr>
    </w:p>
    <w:p w14:paraId="7C313576"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4395"/>
        <w:gridCol w:w="2552"/>
        <w:gridCol w:w="2693"/>
      </w:tblGrid>
      <w:tr w:rsidR="006A362F" w:rsidRPr="00537AE7" w14:paraId="2C520114" w14:textId="77777777" w:rsidTr="00190EC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6DCD8EC" w14:textId="77777777" w:rsidR="006A362F" w:rsidRPr="00537AE7" w:rsidRDefault="006A362F" w:rsidP="006928A6">
            <w:pPr>
              <w:jc w:val="center"/>
              <w:rPr>
                <w:rFonts w:cs="Arial"/>
                <w:sz w:val="14"/>
                <w:szCs w:val="14"/>
              </w:rPr>
            </w:pPr>
          </w:p>
        </w:tc>
        <w:tc>
          <w:tcPr>
            <w:tcW w:w="2552"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17A7C52" w14:textId="77777777" w:rsidR="006A362F" w:rsidRPr="00537AE7"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1</w:t>
            </w:r>
            <w:r w:rsidRPr="00190ECA">
              <w:rPr>
                <w:rFonts w:cs="Arial"/>
                <w:sz w:val="14"/>
                <w:szCs w:val="14"/>
                <w:vertAlign w:val="superscript"/>
              </w:rPr>
              <w:t>st</w:t>
            </w:r>
            <w:r>
              <w:rPr>
                <w:rFonts w:cs="Arial"/>
                <w:sz w:val="14"/>
                <w:szCs w:val="14"/>
              </w:rPr>
              <w:t xml:space="preserve"> Quarter 2023</w:t>
            </w:r>
          </w:p>
        </w:tc>
        <w:tc>
          <w:tcPr>
            <w:tcW w:w="269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3004489" w14:textId="77777777" w:rsidR="006A362F" w:rsidRPr="00537AE7"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w:t>
            </w:r>
            <w:r w:rsidRPr="00190ECA">
              <w:rPr>
                <w:rFonts w:cs="Arial"/>
                <w:sz w:val="14"/>
                <w:szCs w:val="14"/>
                <w:vertAlign w:val="superscript"/>
              </w:rPr>
              <w:t>st</w:t>
            </w:r>
            <w:r>
              <w:rPr>
                <w:rFonts w:cs="Arial"/>
                <w:sz w:val="14"/>
                <w:szCs w:val="14"/>
              </w:rPr>
              <w:t xml:space="preserve"> Quarter 2022 (Restated balances)</w:t>
            </w:r>
          </w:p>
        </w:tc>
      </w:tr>
      <w:tr w:rsidR="006A362F" w:rsidRPr="00B83804" w14:paraId="5F6333F3" w14:textId="77777777" w:rsidTr="00190EC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nil"/>
              <w:right w:val="nil"/>
            </w:tcBorders>
            <w:shd w:val="clear" w:color="auto" w:fill="auto"/>
            <w:vAlign w:val="center"/>
          </w:tcPr>
          <w:p w14:paraId="610036C7" w14:textId="77777777" w:rsidR="006A362F" w:rsidRPr="00B83804" w:rsidRDefault="006A362F" w:rsidP="006928A6">
            <w:pPr>
              <w:keepNext/>
              <w:keepLines/>
              <w:rPr>
                <w:rFonts w:eastAsia="Times New Roman" w:cs="Arial"/>
                <w:spacing w:val="-2"/>
                <w:sz w:val="14"/>
                <w:szCs w:val="14"/>
              </w:rPr>
            </w:pPr>
            <w:r>
              <w:rPr>
                <w:rFonts w:cs="Arial"/>
                <w:sz w:val="14"/>
                <w:szCs w:val="14"/>
              </w:rPr>
              <w:t>Equity income</w:t>
            </w:r>
          </w:p>
        </w:tc>
        <w:tc>
          <w:tcPr>
            <w:tcW w:w="2552" w:type="dxa"/>
            <w:tcBorders>
              <w:top w:val="single" w:sz="2" w:space="0" w:color="1F4E79" w:themeColor="accent1" w:themeShade="80"/>
              <w:left w:val="nil"/>
              <w:bottom w:val="nil"/>
              <w:right w:val="nil"/>
            </w:tcBorders>
            <w:shd w:val="clear" w:color="auto" w:fill="auto"/>
            <w:vAlign w:val="center"/>
          </w:tcPr>
          <w:p w14:paraId="60425A51"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83804">
              <w:rPr>
                <w:rFonts w:cs="Arial"/>
                <w:b/>
                <w:bCs/>
                <w:sz w:val="14"/>
                <w:szCs w:val="14"/>
              </w:rPr>
              <w:t>824</w:t>
            </w:r>
            <w:r>
              <w:rPr>
                <w:rFonts w:cs="Arial"/>
                <w:b/>
                <w:bCs/>
                <w:sz w:val="14"/>
                <w:szCs w:val="14"/>
              </w:rPr>
              <w:t>,</w:t>
            </w:r>
            <w:r w:rsidRPr="00B83804">
              <w:rPr>
                <w:rFonts w:cs="Arial"/>
                <w:b/>
                <w:bCs/>
                <w:sz w:val="14"/>
                <w:szCs w:val="14"/>
              </w:rPr>
              <w:t>20</w:t>
            </w:r>
            <w:r>
              <w:rPr>
                <w:rFonts w:cs="Arial"/>
                <w:b/>
                <w:bCs/>
                <w:sz w:val="14"/>
                <w:szCs w:val="14"/>
              </w:rPr>
              <w:t>9</w:t>
            </w:r>
          </w:p>
        </w:tc>
        <w:tc>
          <w:tcPr>
            <w:tcW w:w="2693" w:type="dxa"/>
            <w:tcBorders>
              <w:top w:val="single" w:sz="2" w:space="0" w:color="1F4E79" w:themeColor="accent1" w:themeShade="80"/>
              <w:left w:val="nil"/>
              <w:bottom w:val="nil"/>
              <w:right w:val="nil"/>
            </w:tcBorders>
            <w:shd w:val="clear" w:color="auto" w:fill="auto"/>
            <w:vAlign w:val="center"/>
          </w:tcPr>
          <w:p w14:paraId="6C8FB016"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color w:val="000000"/>
                <w:sz w:val="14"/>
                <w:szCs w:val="14"/>
              </w:rPr>
              <w:t>327</w:t>
            </w:r>
            <w:r>
              <w:rPr>
                <w:rFonts w:cs="Arial"/>
                <w:b/>
                <w:bCs/>
                <w:color w:val="000000"/>
                <w:sz w:val="14"/>
                <w:szCs w:val="14"/>
              </w:rPr>
              <w:t>,</w:t>
            </w:r>
            <w:r w:rsidRPr="00B83804">
              <w:rPr>
                <w:rFonts w:cs="Arial"/>
                <w:b/>
                <w:bCs/>
                <w:color w:val="000000"/>
                <w:sz w:val="14"/>
                <w:szCs w:val="14"/>
              </w:rPr>
              <w:t>373</w:t>
            </w:r>
          </w:p>
        </w:tc>
      </w:tr>
      <w:tr w:rsidR="006A362F" w:rsidRPr="00B83804" w14:paraId="67005734" w14:textId="77777777" w:rsidTr="00190EC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BCCEA22" w14:textId="77777777" w:rsidR="006A362F" w:rsidRPr="00B83804" w:rsidRDefault="006A362F" w:rsidP="006928A6">
            <w:pPr>
              <w:keepNext/>
              <w:keepLines/>
              <w:spacing w:before="40" w:after="40"/>
              <w:rPr>
                <w:rFonts w:cs="Arial"/>
                <w:sz w:val="14"/>
                <w:szCs w:val="14"/>
              </w:rPr>
            </w:pPr>
            <w:r>
              <w:rPr>
                <w:rFonts w:cs="Arial"/>
                <w:sz w:val="14"/>
                <w:szCs w:val="14"/>
              </w:rPr>
              <w:t>Financial result</w:t>
            </w:r>
          </w:p>
        </w:tc>
        <w:tc>
          <w:tcPr>
            <w:tcW w:w="2552" w:type="dxa"/>
            <w:tcBorders>
              <w:top w:val="nil"/>
              <w:left w:val="nil"/>
              <w:bottom w:val="nil"/>
              <w:right w:val="nil"/>
            </w:tcBorders>
            <w:shd w:val="clear" w:color="auto" w:fill="auto"/>
            <w:vAlign w:val="center"/>
          </w:tcPr>
          <w:p w14:paraId="7F3F1A07" w14:textId="77777777" w:rsidR="006A362F" w:rsidRPr="00B8380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3804">
              <w:rPr>
                <w:rFonts w:cs="Arial"/>
                <w:b/>
                <w:bCs/>
                <w:sz w:val="14"/>
                <w:szCs w:val="14"/>
              </w:rPr>
              <w:t>340</w:t>
            </w:r>
          </w:p>
        </w:tc>
        <w:tc>
          <w:tcPr>
            <w:tcW w:w="2693" w:type="dxa"/>
            <w:tcBorders>
              <w:top w:val="nil"/>
              <w:left w:val="nil"/>
              <w:bottom w:val="nil"/>
              <w:right w:val="nil"/>
            </w:tcBorders>
            <w:shd w:val="clear" w:color="auto" w:fill="auto"/>
            <w:vAlign w:val="center"/>
          </w:tcPr>
          <w:p w14:paraId="32D66C2A" w14:textId="77777777" w:rsidR="006A362F" w:rsidRPr="00B8380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100</w:t>
            </w:r>
          </w:p>
        </w:tc>
      </w:tr>
      <w:tr w:rsidR="006A362F" w:rsidRPr="00B83804" w14:paraId="7B659666" w14:textId="77777777" w:rsidTr="00190EC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31E5ED4" w14:textId="77777777" w:rsidR="006A362F" w:rsidRPr="00B83804" w:rsidRDefault="006A362F" w:rsidP="006928A6">
            <w:pPr>
              <w:keepNext/>
              <w:keepLines/>
              <w:ind w:left="113"/>
              <w:rPr>
                <w:rFonts w:cs="Arial"/>
                <w:b w:val="0"/>
                <w:bCs w:val="0"/>
                <w:sz w:val="14"/>
                <w:szCs w:val="14"/>
              </w:rPr>
            </w:pPr>
            <w:r>
              <w:rPr>
                <w:rFonts w:cs="Arial"/>
                <w:b w:val="0"/>
                <w:bCs w:val="0"/>
                <w:sz w:val="14"/>
                <w:szCs w:val="14"/>
              </w:rPr>
              <w:t>Financial income</w:t>
            </w:r>
          </w:p>
        </w:tc>
        <w:tc>
          <w:tcPr>
            <w:tcW w:w="2552" w:type="dxa"/>
            <w:tcBorders>
              <w:top w:val="nil"/>
              <w:left w:val="nil"/>
              <w:bottom w:val="nil"/>
              <w:right w:val="nil"/>
            </w:tcBorders>
            <w:shd w:val="clear" w:color="auto" w:fill="auto"/>
            <w:vAlign w:val="center"/>
          </w:tcPr>
          <w:p w14:paraId="0F28A4F0" w14:textId="77777777" w:rsidR="006A362F" w:rsidRPr="00B83804"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340</w:t>
            </w:r>
          </w:p>
        </w:tc>
        <w:tc>
          <w:tcPr>
            <w:tcW w:w="2693" w:type="dxa"/>
            <w:tcBorders>
              <w:top w:val="nil"/>
              <w:left w:val="nil"/>
              <w:bottom w:val="nil"/>
              <w:right w:val="nil"/>
            </w:tcBorders>
            <w:shd w:val="clear" w:color="auto" w:fill="auto"/>
            <w:vAlign w:val="center"/>
          </w:tcPr>
          <w:p w14:paraId="254C4E53"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100</w:t>
            </w:r>
          </w:p>
        </w:tc>
      </w:tr>
      <w:tr w:rsidR="006A362F" w:rsidRPr="00B83804" w14:paraId="1C8C5AB2" w14:textId="77777777" w:rsidTr="00190EC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347B581" w14:textId="77777777" w:rsidR="006A362F" w:rsidRPr="00B83804" w:rsidRDefault="006A362F" w:rsidP="006928A6">
            <w:pPr>
              <w:keepNext/>
              <w:keepLines/>
              <w:rPr>
                <w:rFonts w:cs="Arial"/>
                <w:color w:val="000000"/>
                <w:sz w:val="14"/>
                <w:szCs w:val="14"/>
              </w:rPr>
            </w:pPr>
            <w:r>
              <w:rPr>
                <w:rFonts w:cs="Arial"/>
                <w:sz w:val="14"/>
                <w:szCs w:val="14"/>
              </w:rPr>
              <w:t>Other income and expenses</w:t>
            </w:r>
          </w:p>
        </w:tc>
        <w:tc>
          <w:tcPr>
            <w:tcW w:w="2552" w:type="dxa"/>
            <w:tcBorders>
              <w:top w:val="nil"/>
              <w:left w:val="nil"/>
              <w:bottom w:val="nil"/>
              <w:right w:val="nil"/>
            </w:tcBorders>
            <w:shd w:val="clear" w:color="auto" w:fill="auto"/>
            <w:vAlign w:val="center"/>
          </w:tcPr>
          <w:p w14:paraId="710ABF72" w14:textId="77777777" w:rsidR="006A362F" w:rsidRPr="00B83804"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(345)</w:t>
            </w:r>
          </w:p>
        </w:tc>
        <w:tc>
          <w:tcPr>
            <w:tcW w:w="2693" w:type="dxa"/>
            <w:tcBorders>
              <w:top w:val="nil"/>
              <w:left w:val="nil"/>
              <w:bottom w:val="nil"/>
              <w:right w:val="nil"/>
            </w:tcBorders>
            <w:shd w:val="clear" w:color="auto" w:fill="auto"/>
            <w:vAlign w:val="center"/>
          </w:tcPr>
          <w:p w14:paraId="445F715A" w14:textId="77777777" w:rsidR="006A362F" w:rsidRPr="00B8380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(305)</w:t>
            </w:r>
          </w:p>
        </w:tc>
      </w:tr>
      <w:tr w:rsidR="006A362F" w:rsidRPr="00B83804" w14:paraId="6A7A6B01" w14:textId="77777777" w:rsidTr="00190EC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F801FB4" w14:textId="77777777" w:rsidR="006A362F" w:rsidRPr="00B83804" w:rsidRDefault="006A362F" w:rsidP="006928A6">
            <w:pPr>
              <w:keepNext/>
              <w:keepLines/>
              <w:spacing w:before="40" w:after="40"/>
              <w:rPr>
                <w:rFonts w:cs="Arial"/>
                <w:sz w:val="14"/>
                <w:szCs w:val="14"/>
              </w:rPr>
            </w:pPr>
            <w:r>
              <w:rPr>
                <w:rFonts w:cs="Arial"/>
                <w:sz w:val="14"/>
                <w:szCs w:val="14"/>
              </w:rPr>
              <w:t>Income before taxes</w:t>
            </w:r>
          </w:p>
        </w:tc>
        <w:tc>
          <w:tcPr>
            <w:tcW w:w="2552" w:type="dxa"/>
            <w:tcBorders>
              <w:top w:val="nil"/>
              <w:left w:val="nil"/>
              <w:bottom w:val="nil"/>
              <w:right w:val="nil"/>
            </w:tcBorders>
            <w:shd w:val="clear" w:color="auto" w:fill="auto"/>
            <w:vAlign w:val="center"/>
          </w:tcPr>
          <w:p w14:paraId="014D0959"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B83804">
              <w:rPr>
                <w:rFonts w:cs="Arial"/>
                <w:b/>
                <w:bCs/>
                <w:sz w:val="14"/>
                <w:szCs w:val="14"/>
              </w:rPr>
              <w:t>824</w:t>
            </w:r>
            <w:r>
              <w:rPr>
                <w:rFonts w:cs="Arial"/>
                <w:b/>
                <w:bCs/>
                <w:sz w:val="14"/>
                <w:szCs w:val="14"/>
              </w:rPr>
              <w:t>,</w:t>
            </w:r>
            <w:r w:rsidRPr="00B83804">
              <w:rPr>
                <w:rFonts w:cs="Arial"/>
                <w:b/>
                <w:bCs/>
                <w:sz w:val="14"/>
                <w:szCs w:val="14"/>
              </w:rPr>
              <w:t>204</w:t>
            </w:r>
          </w:p>
        </w:tc>
        <w:tc>
          <w:tcPr>
            <w:tcW w:w="2693" w:type="dxa"/>
            <w:tcBorders>
              <w:top w:val="nil"/>
              <w:left w:val="nil"/>
              <w:bottom w:val="nil"/>
              <w:right w:val="nil"/>
            </w:tcBorders>
            <w:shd w:val="clear" w:color="auto" w:fill="auto"/>
            <w:vAlign w:val="center"/>
          </w:tcPr>
          <w:p w14:paraId="036C3D5A"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327</w:t>
            </w:r>
            <w:r>
              <w:rPr>
                <w:rFonts w:cs="Arial"/>
                <w:b/>
                <w:bCs/>
                <w:sz w:val="14"/>
                <w:szCs w:val="14"/>
              </w:rPr>
              <w:t>,</w:t>
            </w:r>
            <w:r w:rsidRPr="00B83804">
              <w:rPr>
                <w:rFonts w:cs="Arial"/>
                <w:b/>
                <w:bCs/>
                <w:sz w:val="14"/>
                <w:szCs w:val="14"/>
              </w:rPr>
              <w:t>168</w:t>
            </w:r>
          </w:p>
        </w:tc>
      </w:tr>
      <w:tr w:rsidR="006A362F" w:rsidRPr="00B83804" w14:paraId="41A63C84" w14:textId="77777777" w:rsidTr="00190EC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567EB5F" w14:textId="77777777" w:rsidR="006A362F" w:rsidRPr="00B83804" w:rsidRDefault="006A362F" w:rsidP="006928A6">
            <w:pPr>
              <w:keepNext/>
              <w:keepLines/>
              <w:spacing w:before="40" w:after="40"/>
              <w:ind w:left="113"/>
              <w:rPr>
                <w:rFonts w:cs="Arial"/>
                <w:b w:val="0"/>
                <w:bCs w:val="0"/>
                <w:color w:val="000000"/>
                <w:sz w:val="14"/>
                <w:szCs w:val="14"/>
              </w:rPr>
            </w:pPr>
            <w:r>
              <w:rPr>
                <w:rFonts w:cs="Arial"/>
                <w:b w:val="0"/>
                <w:bCs w:val="0"/>
                <w:sz w:val="14"/>
                <w:szCs w:val="14"/>
              </w:rPr>
              <w:t>Taxes</w:t>
            </w:r>
          </w:p>
        </w:tc>
        <w:tc>
          <w:tcPr>
            <w:tcW w:w="2552" w:type="dxa"/>
            <w:tcBorders>
              <w:top w:val="nil"/>
              <w:left w:val="nil"/>
              <w:bottom w:val="nil"/>
              <w:right w:val="nil"/>
            </w:tcBorders>
            <w:shd w:val="clear" w:color="auto" w:fill="auto"/>
            <w:vAlign w:val="center"/>
          </w:tcPr>
          <w:p w14:paraId="2EBD8C94" w14:textId="77777777" w:rsidR="006A362F" w:rsidRPr="00B83804"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color w:val="000000"/>
                <w:sz w:val="14"/>
                <w:szCs w:val="14"/>
              </w:rPr>
              <w:t>1</w:t>
            </w:r>
          </w:p>
        </w:tc>
        <w:tc>
          <w:tcPr>
            <w:tcW w:w="2693" w:type="dxa"/>
            <w:tcBorders>
              <w:top w:val="nil"/>
              <w:left w:val="nil"/>
              <w:bottom w:val="nil"/>
              <w:right w:val="nil"/>
            </w:tcBorders>
            <w:shd w:val="clear" w:color="auto" w:fill="auto"/>
            <w:vAlign w:val="center"/>
          </w:tcPr>
          <w:p w14:paraId="38C6E75A" w14:textId="77777777" w:rsidR="006A362F" w:rsidRPr="00B8380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sz w:val="14"/>
                <w:szCs w:val="14"/>
              </w:rPr>
              <w:t>49</w:t>
            </w:r>
          </w:p>
        </w:tc>
      </w:tr>
      <w:tr w:rsidR="006A362F" w:rsidRPr="00B83804" w14:paraId="2EF590D3" w14:textId="77777777" w:rsidTr="00190EC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16C5F1C" w14:textId="77777777" w:rsidR="006A362F" w:rsidRPr="00B83804" w:rsidRDefault="006A362F" w:rsidP="006928A6">
            <w:pPr>
              <w:keepNext/>
              <w:keepLines/>
              <w:spacing w:before="40" w:after="40"/>
              <w:rPr>
                <w:rFonts w:cs="Arial"/>
                <w:color w:val="000000"/>
                <w:sz w:val="14"/>
                <w:szCs w:val="14"/>
              </w:rPr>
            </w:pPr>
            <w:r>
              <w:rPr>
                <w:rFonts w:cs="Arial"/>
                <w:sz w:val="14"/>
                <w:szCs w:val="14"/>
              </w:rPr>
              <w:t>N</w:t>
            </w:r>
            <w:r w:rsidRPr="00FF20D1">
              <w:rPr>
                <w:rFonts w:cs="Arial"/>
                <w:sz w:val="14"/>
                <w:szCs w:val="14"/>
              </w:rPr>
              <w:t>et income</w:t>
            </w:r>
          </w:p>
        </w:tc>
        <w:tc>
          <w:tcPr>
            <w:tcW w:w="2552" w:type="dxa"/>
            <w:tcBorders>
              <w:top w:val="nil"/>
              <w:left w:val="nil"/>
              <w:bottom w:val="nil"/>
              <w:right w:val="nil"/>
            </w:tcBorders>
            <w:shd w:val="clear" w:color="auto" w:fill="auto"/>
            <w:vAlign w:val="center"/>
          </w:tcPr>
          <w:p w14:paraId="55896FC4" w14:textId="77777777" w:rsidR="006A362F" w:rsidRPr="00B83804"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824</w:t>
            </w:r>
            <w:r>
              <w:rPr>
                <w:rFonts w:cs="Arial"/>
                <w:b/>
                <w:bCs/>
                <w:sz w:val="14"/>
                <w:szCs w:val="14"/>
              </w:rPr>
              <w:t>,</w:t>
            </w:r>
            <w:r w:rsidRPr="00B83804">
              <w:rPr>
                <w:rFonts w:cs="Arial"/>
                <w:b/>
                <w:bCs/>
                <w:sz w:val="14"/>
                <w:szCs w:val="14"/>
              </w:rPr>
              <w:t>205</w:t>
            </w:r>
          </w:p>
        </w:tc>
        <w:tc>
          <w:tcPr>
            <w:tcW w:w="2693" w:type="dxa"/>
            <w:tcBorders>
              <w:top w:val="nil"/>
              <w:left w:val="nil"/>
              <w:bottom w:val="nil"/>
              <w:right w:val="nil"/>
            </w:tcBorders>
            <w:shd w:val="clear" w:color="auto" w:fill="auto"/>
            <w:vAlign w:val="center"/>
          </w:tcPr>
          <w:p w14:paraId="14918DB2"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327</w:t>
            </w:r>
            <w:r>
              <w:rPr>
                <w:rFonts w:cs="Arial"/>
                <w:b/>
                <w:bCs/>
                <w:sz w:val="14"/>
                <w:szCs w:val="14"/>
              </w:rPr>
              <w:t>,</w:t>
            </w:r>
            <w:r w:rsidRPr="00B83804">
              <w:rPr>
                <w:rFonts w:cs="Arial"/>
                <w:b/>
                <w:bCs/>
                <w:sz w:val="14"/>
                <w:szCs w:val="14"/>
              </w:rPr>
              <w:t>217</w:t>
            </w:r>
          </w:p>
        </w:tc>
      </w:tr>
      <w:tr w:rsidR="006A362F" w:rsidRPr="00B83804" w14:paraId="7E366F20" w14:textId="77777777" w:rsidTr="00190EC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DC1BA1C" w14:textId="77777777" w:rsidR="006A362F" w:rsidRPr="00B83804" w:rsidRDefault="006A362F" w:rsidP="006928A6">
            <w:pPr>
              <w:keepNext/>
              <w:keepLines/>
              <w:ind w:left="113"/>
              <w:rPr>
                <w:rFonts w:cs="Arial"/>
                <w:b w:val="0"/>
                <w:bCs w:val="0"/>
                <w:color w:val="000000"/>
                <w:sz w:val="14"/>
                <w:szCs w:val="14"/>
              </w:rPr>
            </w:pPr>
            <w:r>
              <w:rPr>
                <w:rFonts w:cs="Arial"/>
                <w:b w:val="0"/>
                <w:bCs w:val="0"/>
                <w:sz w:val="14"/>
                <w:szCs w:val="14"/>
              </w:rPr>
              <w:t>Other comprehensive results</w:t>
            </w:r>
          </w:p>
        </w:tc>
        <w:tc>
          <w:tcPr>
            <w:tcW w:w="2552" w:type="dxa"/>
            <w:tcBorders>
              <w:top w:val="nil"/>
              <w:left w:val="nil"/>
              <w:bottom w:val="nil"/>
              <w:right w:val="nil"/>
            </w:tcBorders>
            <w:shd w:val="clear" w:color="auto" w:fill="auto"/>
            <w:vAlign w:val="center"/>
          </w:tcPr>
          <w:p w14:paraId="2C0D7447" w14:textId="77777777" w:rsidR="006A362F" w:rsidRPr="00B83804"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sz w:val="14"/>
                <w:szCs w:val="14"/>
              </w:rPr>
              <w:t>13</w:t>
            </w:r>
            <w:r>
              <w:rPr>
                <w:rFonts w:cs="Arial"/>
                <w:sz w:val="14"/>
                <w:szCs w:val="14"/>
              </w:rPr>
              <w:t>,</w:t>
            </w:r>
            <w:r w:rsidRPr="00B83804">
              <w:rPr>
                <w:rFonts w:cs="Arial"/>
                <w:sz w:val="14"/>
                <w:szCs w:val="14"/>
              </w:rPr>
              <w:t>063</w:t>
            </w:r>
          </w:p>
        </w:tc>
        <w:tc>
          <w:tcPr>
            <w:tcW w:w="2693" w:type="dxa"/>
            <w:tcBorders>
              <w:top w:val="nil"/>
              <w:left w:val="nil"/>
              <w:bottom w:val="nil"/>
              <w:right w:val="nil"/>
            </w:tcBorders>
            <w:shd w:val="clear" w:color="auto" w:fill="auto"/>
            <w:vAlign w:val="center"/>
          </w:tcPr>
          <w:p w14:paraId="1B3292CC" w14:textId="77777777" w:rsidR="006A362F" w:rsidRPr="00B8380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83804">
              <w:rPr>
                <w:rFonts w:cs="Arial"/>
                <w:sz w:val="14"/>
                <w:szCs w:val="14"/>
              </w:rPr>
              <w:t>(15</w:t>
            </w:r>
            <w:r>
              <w:rPr>
                <w:rFonts w:cs="Arial"/>
                <w:sz w:val="14"/>
                <w:szCs w:val="14"/>
              </w:rPr>
              <w:t>,</w:t>
            </w:r>
            <w:r w:rsidRPr="00B83804">
              <w:rPr>
                <w:rFonts w:cs="Arial"/>
                <w:sz w:val="14"/>
                <w:szCs w:val="14"/>
              </w:rPr>
              <w:t>648)</w:t>
            </w:r>
          </w:p>
        </w:tc>
      </w:tr>
      <w:tr w:rsidR="006A362F" w:rsidRPr="00B83804" w14:paraId="27393A66" w14:textId="77777777" w:rsidTr="00190EC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95228B9" w14:textId="77777777" w:rsidR="006A362F" w:rsidRPr="00B83804" w:rsidRDefault="006A362F" w:rsidP="006928A6">
            <w:pPr>
              <w:keepNext/>
              <w:keepLines/>
              <w:rPr>
                <w:rFonts w:cs="Arial"/>
                <w:color w:val="000000"/>
                <w:sz w:val="14"/>
                <w:szCs w:val="14"/>
              </w:rPr>
            </w:pPr>
            <w:r>
              <w:rPr>
                <w:rFonts w:cs="Arial"/>
                <w:sz w:val="14"/>
                <w:szCs w:val="14"/>
              </w:rPr>
              <w:t>C</w:t>
            </w:r>
            <w:r w:rsidRPr="00FF20D1">
              <w:rPr>
                <w:rFonts w:cs="Arial"/>
                <w:sz w:val="14"/>
                <w:szCs w:val="14"/>
              </w:rPr>
              <w:t>omprehensive income</w:t>
            </w:r>
          </w:p>
        </w:tc>
        <w:tc>
          <w:tcPr>
            <w:tcW w:w="2552" w:type="dxa"/>
            <w:tcBorders>
              <w:top w:val="nil"/>
              <w:left w:val="nil"/>
              <w:bottom w:val="nil"/>
              <w:right w:val="nil"/>
            </w:tcBorders>
            <w:shd w:val="clear" w:color="auto" w:fill="auto"/>
            <w:vAlign w:val="center"/>
          </w:tcPr>
          <w:p w14:paraId="2FF0EBB1" w14:textId="77777777" w:rsidR="006A362F" w:rsidRPr="00B83804"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837</w:t>
            </w:r>
            <w:r>
              <w:rPr>
                <w:rFonts w:cs="Arial"/>
                <w:b/>
                <w:bCs/>
                <w:sz w:val="14"/>
                <w:szCs w:val="14"/>
              </w:rPr>
              <w:t>,</w:t>
            </w:r>
            <w:r w:rsidRPr="00B83804">
              <w:rPr>
                <w:rFonts w:cs="Arial"/>
                <w:b/>
                <w:bCs/>
                <w:sz w:val="14"/>
                <w:szCs w:val="14"/>
              </w:rPr>
              <w:t>268</w:t>
            </w:r>
          </w:p>
        </w:tc>
        <w:tc>
          <w:tcPr>
            <w:tcW w:w="2693" w:type="dxa"/>
            <w:tcBorders>
              <w:top w:val="nil"/>
              <w:left w:val="nil"/>
              <w:bottom w:val="nil"/>
              <w:right w:val="nil"/>
            </w:tcBorders>
            <w:shd w:val="clear" w:color="auto" w:fill="auto"/>
            <w:vAlign w:val="center"/>
          </w:tcPr>
          <w:p w14:paraId="488EBEC4" w14:textId="77777777" w:rsidR="006A362F" w:rsidRPr="00B8380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83804">
              <w:rPr>
                <w:rFonts w:cs="Arial"/>
                <w:b/>
                <w:bCs/>
                <w:sz w:val="14"/>
                <w:szCs w:val="14"/>
              </w:rPr>
              <w:t>311</w:t>
            </w:r>
            <w:r>
              <w:rPr>
                <w:rFonts w:cs="Arial"/>
                <w:b/>
                <w:bCs/>
                <w:sz w:val="14"/>
                <w:szCs w:val="14"/>
              </w:rPr>
              <w:t>,</w:t>
            </w:r>
            <w:r w:rsidRPr="00B83804">
              <w:rPr>
                <w:rFonts w:cs="Arial"/>
                <w:b/>
                <w:bCs/>
                <w:sz w:val="14"/>
                <w:szCs w:val="14"/>
              </w:rPr>
              <w:t>569</w:t>
            </w:r>
          </w:p>
        </w:tc>
      </w:tr>
      <w:tr w:rsidR="006A362F" w:rsidRPr="00B83804" w14:paraId="025A0AF4" w14:textId="77777777" w:rsidTr="00190EC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98222AF" w14:textId="77777777" w:rsidR="006A362F" w:rsidRPr="00B83804" w:rsidRDefault="006A362F" w:rsidP="006928A6">
            <w:pPr>
              <w:keepNext/>
              <w:keepLines/>
              <w:rPr>
                <w:rFonts w:cs="Arial"/>
                <w:sz w:val="14"/>
                <w:szCs w:val="14"/>
              </w:rPr>
            </w:pPr>
            <w:r>
              <w:rPr>
                <w:rFonts w:eastAsia="Times New Roman" w:cs="Arial"/>
                <w:color w:val="000000"/>
                <w:spacing w:val="-2"/>
                <w:sz w:val="14"/>
                <w:szCs w:val="14"/>
                <w:lang w:eastAsia="pt-BR"/>
              </w:rPr>
              <w:t>Attributable to BB Seguridade</w:t>
            </w:r>
          </w:p>
        </w:tc>
        <w:tc>
          <w:tcPr>
            <w:tcW w:w="2552" w:type="dxa"/>
            <w:tcBorders>
              <w:top w:val="nil"/>
              <w:left w:val="nil"/>
              <w:bottom w:val="nil"/>
              <w:right w:val="nil"/>
            </w:tcBorders>
            <w:shd w:val="clear" w:color="auto" w:fill="auto"/>
            <w:vAlign w:val="center"/>
          </w:tcPr>
          <w:p w14:paraId="70798649" w14:textId="77777777" w:rsidR="006A362F" w:rsidRPr="00B83804"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color w:val="000000"/>
                <w:sz w:val="14"/>
                <w:szCs w:val="14"/>
              </w:rPr>
              <w:t>618</w:t>
            </w:r>
            <w:r>
              <w:rPr>
                <w:rFonts w:cs="Arial"/>
                <w:b/>
                <w:bCs/>
                <w:color w:val="000000"/>
                <w:sz w:val="14"/>
                <w:szCs w:val="14"/>
              </w:rPr>
              <w:t>,</w:t>
            </w:r>
            <w:r w:rsidRPr="00B83804">
              <w:rPr>
                <w:rFonts w:cs="Arial"/>
                <w:b/>
                <w:bCs/>
                <w:color w:val="000000"/>
                <w:sz w:val="14"/>
                <w:szCs w:val="14"/>
              </w:rPr>
              <w:t>071</w:t>
            </w:r>
          </w:p>
        </w:tc>
        <w:tc>
          <w:tcPr>
            <w:tcW w:w="2693" w:type="dxa"/>
            <w:tcBorders>
              <w:top w:val="nil"/>
              <w:left w:val="nil"/>
              <w:bottom w:val="nil"/>
              <w:right w:val="nil"/>
            </w:tcBorders>
            <w:shd w:val="clear" w:color="auto" w:fill="auto"/>
            <w:vAlign w:val="center"/>
          </w:tcPr>
          <w:p w14:paraId="0121A23F" w14:textId="77777777" w:rsidR="006A362F" w:rsidRPr="00B83804"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color w:val="000000"/>
                <w:sz w:val="14"/>
                <w:szCs w:val="14"/>
              </w:rPr>
              <w:t>245</w:t>
            </w:r>
            <w:r>
              <w:rPr>
                <w:rFonts w:cs="Arial"/>
                <w:b/>
                <w:bCs/>
                <w:color w:val="000000"/>
                <w:sz w:val="14"/>
                <w:szCs w:val="14"/>
              </w:rPr>
              <w:t>,</w:t>
            </w:r>
            <w:r w:rsidRPr="00B83804">
              <w:rPr>
                <w:rFonts w:cs="Arial"/>
                <w:b/>
                <w:bCs/>
                <w:color w:val="000000"/>
                <w:sz w:val="14"/>
                <w:szCs w:val="14"/>
              </w:rPr>
              <w:t>380</w:t>
            </w:r>
          </w:p>
        </w:tc>
      </w:tr>
      <w:tr w:rsidR="006A362F" w:rsidRPr="00B83804" w14:paraId="68992F78" w14:textId="77777777" w:rsidTr="00190EC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362F1BB" w14:textId="77777777" w:rsidR="006A362F" w:rsidRPr="00B83804" w:rsidRDefault="006A362F" w:rsidP="006928A6">
            <w:pPr>
              <w:keepNext/>
              <w:keepLines/>
              <w:ind w:left="113"/>
              <w:rPr>
                <w:rFonts w:cs="Arial"/>
                <w:b w:val="0"/>
                <w:bCs w:val="0"/>
                <w:sz w:val="14"/>
                <w:szCs w:val="14"/>
              </w:rPr>
            </w:pPr>
            <w:r>
              <w:rPr>
                <w:rFonts w:cs="Arial"/>
                <w:b w:val="0"/>
                <w:bCs w:val="0"/>
                <w:sz w:val="14"/>
                <w:szCs w:val="14"/>
              </w:rPr>
              <w:t>Amortization of intangible assets</w:t>
            </w:r>
            <w:r w:rsidRPr="00B83804">
              <w:rPr>
                <w:rFonts w:cs="Arial"/>
                <w:b w:val="0"/>
                <w:bCs w:val="0"/>
                <w:sz w:val="14"/>
                <w:szCs w:val="14"/>
              </w:rPr>
              <w:t xml:space="preserve"> </w:t>
            </w:r>
            <w:r w:rsidRPr="00A263A7">
              <w:rPr>
                <w:rFonts w:cs="Arial"/>
                <w:b w:val="0"/>
                <w:bCs w:val="0"/>
                <w:sz w:val="14"/>
                <w:szCs w:val="14"/>
                <w:vertAlign w:val="superscript"/>
              </w:rPr>
              <w:t>(1)</w:t>
            </w:r>
          </w:p>
        </w:tc>
        <w:tc>
          <w:tcPr>
            <w:tcW w:w="2552" w:type="dxa"/>
            <w:tcBorders>
              <w:top w:val="nil"/>
              <w:left w:val="nil"/>
              <w:bottom w:val="nil"/>
              <w:right w:val="nil"/>
            </w:tcBorders>
            <w:shd w:val="clear" w:color="auto" w:fill="auto"/>
            <w:vAlign w:val="center"/>
          </w:tcPr>
          <w:p w14:paraId="15E07607" w14:textId="77777777" w:rsidR="006A362F" w:rsidRPr="00B83804"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(3</w:t>
            </w:r>
            <w:r>
              <w:rPr>
                <w:rFonts w:cs="Arial"/>
                <w:sz w:val="14"/>
                <w:szCs w:val="14"/>
              </w:rPr>
              <w:t>,</w:t>
            </w:r>
            <w:r w:rsidRPr="00B83804">
              <w:rPr>
                <w:rFonts w:cs="Arial"/>
                <w:sz w:val="14"/>
                <w:szCs w:val="14"/>
              </w:rPr>
              <w:t>851)</w:t>
            </w:r>
          </w:p>
        </w:tc>
        <w:tc>
          <w:tcPr>
            <w:tcW w:w="2693" w:type="dxa"/>
            <w:tcBorders>
              <w:top w:val="nil"/>
              <w:left w:val="nil"/>
              <w:bottom w:val="nil"/>
              <w:right w:val="nil"/>
            </w:tcBorders>
            <w:shd w:val="clear" w:color="auto" w:fill="auto"/>
            <w:vAlign w:val="center"/>
          </w:tcPr>
          <w:p w14:paraId="5F1CA2AA" w14:textId="77777777" w:rsidR="006A362F" w:rsidRPr="00B83804"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83804">
              <w:rPr>
                <w:rFonts w:cs="Arial"/>
                <w:sz w:val="14"/>
                <w:szCs w:val="14"/>
              </w:rPr>
              <w:t>(3</w:t>
            </w:r>
            <w:r>
              <w:rPr>
                <w:rFonts w:cs="Arial"/>
                <w:sz w:val="14"/>
                <w:szCs w:val="14"/>
              </w:rPr>
              <w:t>,</w:t>
            </w:r>
            <w:r w:rsidRPr="00B83804">
              <w:rPr>
                <w:rFonts w:cs="Arial"/>
                <w:sz w:val="14"/>
                <w:szCs w:val="14"/>
              </w:rPr>
              <w:t>682)</w:t>
            </w:r>
          </w:p>
        </w:tc>
      </w:tr>
      <w:tr w:rsidR="006A362F" w:rsidRPr="00B83804" w14:paraId="24101FD6" w14:textId="77777777" w:rsidTr="00190EC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4E79" w:themeColor="accent1" w:themeShade="80"/>
              <w:right w:val="nil"/>
            </w:tcBorders>
            <w:shd w:val="clear" w:color="auto" w:fill="auto"/>
            <w:vAlign w:val="center"/>
          </w:tcPr>
          <w:p w14:paraId="57BEF505" w14:textId="77777777" w:rsidR="006A362F" w:rsidRPr="00B83804" w:rsidRDefault="006A362F" w:rsidP="006928A6">
            <w:pPr>
              <w:keepNext/>
              <w:keepLines/>
              <w:rPr>
                <w:rFonts w:cs="Arial"/>
                <w:color w:val="000000"/>
                <w:sz w:val="14"/>
                <w:szCs w:val="14"/>
              </w:rPr>
            </w:pPr>
            <w:r>
              <w:rPr>
                <w:rFonts w:eastAsia="Times New Roman" w:cs="Arial"/>
                <w:color w:val="000000"/>
                <w:spacing w:val="-2"/>
                <w:sz w:val="14"/>
                <w:szCs w:val="14"/>
                <w:lang w:eastAsia="pt-BR"/>
              </w:rPr>
              <w:t>Equity income</w:t>
            </w:r>
          </w:p>
        </w:tc>
        <w:tc>
          <w:tcPr>
            <w:tcW w:w="2552" w:type="dxa"/>
            <w:tcBorders>
              <w:top w:val="nil"/>
              <w:left w:val="nil"/>
              <w:bottom w:val="single" w:sz="2" w:space="0" w:color="1F4E79" w:themeColor="accent1" w:themeShade="80"/>
              <w:right w:val="nil"/>
            </w:tcBorders>
            <w:shd w:val="clear" w:color="auto" w:fill="auto"/>
            <w:vAlign w:val="center"/>
          </w:tcPr>
          <w:p w14:paraId="53CAA645" w14:textId="77777777" w:rsidR="006A362F" w:rsidRPr="00B83804"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614</w:t>
            </w:r>
            <w:r>
              <w:rPr>
                <w:rFonts w:cs="Arial"/>
                <w:b/>
                <w:bCs/>
                <w:sz w:val="14"/>
                <w:szCs w:val="14"/>
              </w:rPr>
              <w:t>,</w:t>
            </w:r>
            <w:r w:rsidRPr="00B83804">
              <w:rPr>
                <w:rFonts w:cs="Arial"/>
                <w:b/>
                <w:bCs/>
                <w:sz w:val="14"/>
                <w:szCs w:val="14"/>
              </w:rPr>
              <w:t>220</w:t>
            </w:r>
          </w:p>
        </w:tc>
        <w:tc>
          <w:tcPr>
            <w:tcW w:w="2693" w:type="dxa"/>
            <w:tcBorders>
              <w:top w:val="nil"/>
              <w:left w:val="nil"/>
              <w:bottom w:val="single" w:sz="2" w:space="0" w:color="1F4E79" w:themeColor="accent1" w:themeShade="80"/>
              <w:right w:val="nil"/>
            </w:tcBorders>
            <w:shd w:val="clear" w:color="auto" w:fill="auto"/>
            <w:vAlign w:val="center"/>
          </w:tcPr>
          <w:p w14:paraId="20597CA9" w14:textId="77777777" w:rsidR="006A362F" w:rsidRPr="00B83804"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83804">
              <w:rPr>
                <w:rFonts w:cs="Arial"/>
                <w:b/>
                <w:bCs/>
                <w:sz w:val="14"/>
                <w:szCs w:val="14"/>
              </w:rPr>
              <w:t>241</w:t>
            </w:r>
            <w:r>
              <w:rPr>
                <w:rFonts w:cs="Arial"/>
                <w:b/>
                <w:bCs/>
                <w:sz w:val="14"/>
                <w:szCs w:val="14"/>
              </w:rPr>
              <w:t>,</w:t>
            </w:r>
            <w:r w:rsidRPr="00B83804">
              <w:rPr>
                <w:rFonts w:cs="Arial"/>
                <w:b/>
                <w:bCs/>
                <w:sz w:val="14"/>
                <w:szCs w:val="14"/>
              </w:rPr>
              <w:t>698</w:t>
            </w:r>
          </w:p>
        </w:tc>
      </w:tr>
    </w:tbl>
    <w:p w14:paraId="19A21050" w14:textId="77777777" w:rsidR="006A362F" w:rsidRPr="003222DA" w:rsidRDefault="006A362F" w:rsidP="006A362F">
      <w:pPr>
        <w:numPr>
          <w:ilvl w:val="0"/>
          <w:numId w:val="22"/>
        </w:numPr>
        <w:spacing w:line="257" w:lineRule="auto"/>
        <w:ind w:left="284" w:hanging="284"/>
        <w:contextualSpacing/>
        <w:jc w:val="both"/>
        <w:rPr>
          <w:rFonts w:eastAsia="Times New Roman" w:cs="Times New Roman"/>
          <w:spacing w:val="-2"/>
          <w:sz w:val="14"/>
          <w:szCs w:val="18"/>
          <w:lang w:val="en-US" w:eastAsia="pt-BR"/>
        </w:rPr>
      </w:pPr>
      <w:r w:rsidRPr="003222DA">
        <w:rPr>
          <w:rFonts w:eastAsia="Times New Roman" w:cs="Times New Roman"/>
          <w:spacing w:val="-2"/>
          <w:sz w:val="14"/>
          <w:szCs w:val="18"/>
          <w:lang w:val="en-US" w:eastAsia="pt-BR"/>
        </w:rPr>
        <w:t>Arising from the partnership agreement with MAPFRE.</w:t>
      </w:r>
    </w:p>
    <w:p w14:paraId="7958900C" w14:textId="77777777" w:rsidR="006A362F" w:rsidRPr="003222DA" w:rsidRDefault="006A362F" w:rsidP="00076945">
      <w:pPr>
        <w:spacing w:after="0" w:line="240" w:lineRule="auto"/>
        <w:rPr>
          <w:rFonts w:eastAsia="Times New Roman" w:cs="Times New Roman"/>
          <w:b/>
          <w:color w:val="1F4E79" w:themeColor="accent1" w:themeShade="80"/>
          <w:spacing w:val="-2"/>
          <w:szCs w:val="20"/>
          <w:lang w:val="en-US" w:eastAsia="pt-BR"/>
        </w:rPr>
      </w:pPr>
    </w:p>
    <w:p w14:paraId="559B0509"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6DC94823"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4395"/>
        <w:gridCol w:w="2622"/>
        <w:gridCol w:w="2623"/>
      </w:tblGrid>
      <w:tr w:rsidR="006A362F" w:rsidRPr="00AF47CC" w14:paraId="6536CE9B"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DE154A2" w14:textId="77777777" w:rsidR="006A362F" w:rsidRPr="00AF47CC" w:rsidRDefault="006A362F" w:rsidP="006928A6">
            <w:pPr>
              <w:rPr>
                <w:rFonts w:cs="Arial"/>
                <w:sz w:val="14"/>
                <w:szCs w:val="14"/>
              </w:rPr>
            </w:pPr>
          </w:p>
        </w:tc>
        <w:tc>
          <w:tcPr>
            <w:tcW w:w="2622"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878B6AD" w14:textId="77777777" w:rsidR="006A362F" w:rsidRPr="00AF47CC"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Mar 31, 2023</w:t>
            </w:r>
          </w:p>
        </w:tc>
        <w:tc>
          <w:tcPr>
            <w:tcW w:w="262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A04CCEF" w14:textId="77777777" w:rsidR="006A362F" w:rsidRPr="00AF47CC"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Dez 31, 2022 (Restated balances)</w:t>
            </w:r>
          </w:p>
        </w:tc>
      </w:tr>
      <w:tr w:rsidR="006A362F" w:rsidRPr="00AF47CC" w14:paraId="24D429A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4E79" w:themeColor="accent1" w:themeShade="80"/>
              <w:left w:val="nil"/>
              <w:bottom w:val="nil"/>
              <w:right w:val="nil"/>
            </w:tcBorders>
            <w:shd w:val="clear" w:color="auto" w:fill="auto"/>
            <w:vAlign w:val="center"/>
          </w:tcPr>
          <w:p w14:paraId="02A0EBBA" w14:textId="77777777" w:rsidR="006A362F" w:rsidRPr="00AF47CC" w:rsidRDefault="006A362F" w:rsidP="006928A6">
            <w:pPr>
              <w:keepNext/>
              <w:keepLines/>
              <w:rPr>
                <w:rFonts w:eastAsia="Times New Roman" w:cs="Arial"/>
                <w:spacing w:val="-2"/>
                <w:sz w:val="14"/>
                <w:szCs w:val="14"/>
                <w:highlight w:val="yellow"/>
              </w:rPr>
            </w:pPr>
            <w:r>
              <w:rPr>
                <w:rFonts w:cs="Arial"/>
                <w:color w:val="000000"/>
                <w:sz w:val="14"/>
                <w:szCs w:val="14"/>
              </w:rPr>
              <w:t>Current Assets</w:t>
            </w:r>
          </w:p>
        </w:tc>
        <w:tc>
          <w:tcPr>
            <w:tcW w:w="2622" w:type="dxa"/>
            <w:tcBorders>
              <w:top w:val="single" w:sz="2" w:space="0" w:color="1F4E79" w:themeColor="accent1" w:themeShade="80"/>
              <w:left w:val="nil"/>
              <w:bottom w:val="nil"/>
              <w:right w:val="nil"/>
            </w:tcBorders>
            <w:shd w:val="clear" w:color="auto" w:fill="auto"/>
            <w:vAlign w:val="center"/>
          </w:tcPr>
          <w:p w14:paraId="727FE2C2"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23</w:t>
            </w:r>
            <w:r>
              <w:rPr>
                <w:rFonts w:cs="Arial"/>
                <w:b/>
                <w:bCs/>
                <w:color w:val="000000"/>
                <w:sz w:val="14"/>
                <w:szCs w:val="14"/>
              </w:rPr>
              <w:t>,</w:t>
            </w:r>
            <w:r w:rsidRPr="00AF47CC">
              <w:rPr>
                <w:rFonts w:cs="Arial"/>
                <w:b/>
                <w:bCs/>
                <w:color w:val="000000"/>
                <w:sz w:val="14"/>
                <w:szCs w:val="14"/>
              </w:rPr>
              <w:t>37</w:t>
            </w:r>
            <w:r>
              <w:rPr>
                <w:rFonts w:cs="Arial"/>
                <w:b/>
                <w:bCs/>
                <w:color w:val="000000"/>
                <w:sz w:val="14"/>
                <w:szCs w:val="14"/>
              </w:rPr>
              <w:t>9</w:t>
            </w:r>
            <w:r w:rsidRPr="00AF47CC">
              <w:rPr>
                <w:rFonts w:cs="Arial"/>
                <w:b/>
                <w:bCs/>
                <w:color w:val="000000"/>
                <w:sz w:val="14"/>
                <w:szCs w:val="14"/>
              </w:rPr>
              <w:t xml:space="preserve"> </w:t>
            </w:r>
          </w:p>
        </w:tc>
        <w:tc>
          <w:tcPr>
            <w:tcW w:w="2623" w:type="dxa"/>
            <w:tcBorders>
              <w:top w:val="single" w:sz="2" w:space="0" w:color="1F4E79" w:themeColor="accent1" w:themeShade="80"/>
              <w:left w:val="nil"/>
              <w:bottom w:val="nil"/>
              <w:right w:val="nil"/>
            </w:tcBorders>
            <w:shd w:val="clear" w:color="auto" w:fill="auto"/>
            <w:vAlign w:val="center"/>
          </w:tcPr>
          <w:p w14:paraId="2F2B226B"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23</w:t>
            </w:r>
            <w:r>
              <w:rPr>
                <w:rFonts w:cs="Arial"/>
                <w:b/>
                <w:bCs/>
                <w:color w:val="000000"/>
                <w:sz w:val="14"/>
                <w:szCs w:val="14"/>
              </w:rPr>
              <w:t>,</w:t>
            </w:r>
            <w:r w:rsidRPr="00AF47CC">
              <w:rPr>
                <w:rFonts w:cs="Arial"/>
                <w:b/>
                <w:bCs/>
                <w:color w:val="000000"/>
                <w:sz w:val="14"/>
                <w:szCs w:val="14"/>
              </w:rPr>
              <w:t xml:space="preserve">362 </w:t>
            </w:r>
          </w:p>
        </w:tc>
      </w:tr>
      <w:tr w:rsidR="006A362F" w:rsidRPr="00AF47CC" w14:paraId="0434496F"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A4FC4A2" w14:textId="77777777" w:rsidR="006A362F" w:rsidRPr="00AF47CC"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Receivables</w:t>
            </w:r>
          </w:p>
        </w:tc>
        <w:tc>
          <w:tcPr>
            <w:tcW w:w="2622" w:type="dxa"/>
            <w:tcBorders>
              <w:top w:val="nil"/>
              <w:left w:val="nil"/>
              <w:bottom w:val="nil"/>
              <w:right w:val="nil"/>
            </w:tcBorders>
            <w:shd w:val="clear" w:color="auto" w:fill="auto"/>
            <w:vAlign w:val="center"/>
          </w:tcPr>
          <w:p w14:paraId="6137858B"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11</w:t>
            </w:r>
            <w:r>
              <w:rPr>
                <w:rFonts w:cs="Arial"/>
                <w:color w:val="000000"/>
                <w:sz w:val="14"/>
                <w:szCs w:val="14"/>
              </w:rPr>
              <w:t>,</w:t>
            </w:r>
            <w:r w:rsidRPr="00AF47CC">
              <w:rPr>
                <w:rFonts w:cs="Arial"/>
                <w:color w:val="000000"/>
                <w:sz w:val="14"/>
                <w:szCs w:val="14"/>
              </w:rPr>
              <w:t>94</w:t>
            </w:r>
            <w:r>
              <w:rPr>
                <w:rFonts w:cs="Arial"/>
                <w:color w:val="000000"/>
                <w:sz w:val="14"/>
                <w:szCs w:val="14"/>
              </w:rPr>
              <w:t>5</w:t>
            </w:r>
            <w:r w:rsidRPr="00AF47CC">
              <w:rPr>
                <w:rFonts w:cs="Arial"/>
                <w:color w:val="000000"/>
                <w:sz w:val="14"/>
                <w:szCs w:val="14"/>
              </w:rPr>
              <w:t xml:space="preserve"> </w:t>
            </w:r>
          </w:p>
        </w:tc>
        <w:tc>
          <w:tcPr>
            <w:tcW w:w="2623" w:type="dxa"/>
            <w:tcBorders>
              <w:top w:val="nil"/>
              <w:left w:val="nil"/>
              <w:bottom w:val="nil"/>
              <w:right w:val="nil"/>
            </w:tcBorders>
            <w:shd w:val="clear" w:color="auto" w:fill="auto"/>
            <w:vAlign w:val="center"/>
          </w:tcPr>
          <w:p w14:paraId="2A0B07BB"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12</w:t>
            </w:r>
            <w:r>
              <w:rPr>
                <w:rFonts w:cs="Arial"/>
                <w:color w:val="000000"/>
                <w:sz w:val="14"/>
                <w:szCs w:val="14"/>
              </w:rPr>
              <w:t>,</w:t>
            </w:r>
            <w:r w:rsidRPr="00AF47CC">
              <w:rPr>
                <w:rFonts w:cs="Arial"/>
                <w:color w:val="000000"/>
                <w:sz w:val="14"/>
                <w:szCs w:val="14"/>
              </w:rPr>
              <w:t>08</w:t>
            </w:r>
            <w:r>
              <w:rPr>
                <w:rFonts w:cs="Arial"/>
                <w:color w:val="000000"/>
                <w:sz w:val="14"/>
                <w:szCs w:val="14"/>
              </w:rPr>
              <w:t>3</w:t>
            </w:r>
            <w:r w:rsidRPr="00AF47CC">
              <w:rPr>
                <w:rFonts w:cs="Arial"/>
                <w:color w:val="000000"/>
                <w:sz w:val="14"/>
                <w:szCs w:val="14"/>
              </w:rPr>
              <w:t xml:space="preserve"> </w:t>
            </w:r>
          </w:p>
        </w:tc>
      </w:tr>
      <w:tr w:rsidR="006A362F" w:rsidRPr="00AF47CC" w14:paraId="6C3EC52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4F1D926" w14:textId="77777777" w:rsidR="006A362F" w:rsidRPr="00AF47CC"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2622" w:type="dxa"/>
            <w:tcBorders>
              <w:top w:val="nil"/>
              <w:left w:val="nil"/>
              <w:bottom w:val="nil"/>
              <w:right w:val="nil"/>
            </w:tcBorders>
            <w:shd w:val="clear" w:color="auto" w:fill="auto"/>
            <w:vAlign w:val="center"/>
          </w:tcPr>
          <w:p w14:paraId="2D247EFE"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9</w:t>
            </w:r>
            <w:r>
              <w:rPr>
                <w:rFonts w:cs="Arial"/>
                <w:color w:val="000000"/>
                <w:sz w:val="14"/>
                <w:szCs w:val="14"/>
              </w:rPr>
              <w:t>,</w:t>
            </w:r>
            <w:r w:rsidRPr="00AF47CC">
              <w:rPr>
                <w:rFonts w:cs="Arial"/>
                <w:color w:val="000000"/>
                <w:sz w:val="14"/>
                <w:szCs w:val="14"/>
              </w:rPr>
              <w:t xml:space="preserve">715 </w:t>
            </w:r>
          </w:p>
        </w:tc>
        <w:tc>
          <w:tcPr>
            <w:tcW w:w="2623" w:type="dxa"/>
            <w:tcBorders>
              <w:top w:val="nil"/>
              <w:left w:val="nil"/>
              <w:bottom w:val="nil"/>
              <w:right w:val="nil"/>
            </w:tcBorders>
            <w:shd w:val="clear" w:color="auto" w:fill="auto"/>
            <w:vAlign w:val="center"/>
          </w:tcPr>
          <w:p w14:paraId="6C28973C"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9</w:t>
            </w:r>
            <w:r>
              <w:rPr>
                <w:rFonts w:cs="Arial"/>
                <w:color w:val="000000"/>
                <w:sz w:val="14"/>
                <w:szCs w:val="14"/>
              </w:rPr>
              <w:t>,</w:t>
            </w:r>
            <w:r w:rsidRPr="00AF47CC">
              <w:rPr>
                <w:rFonts w:cs="Arial"/>
                <w:color w:val="000000"/>
                <w:sz w:val="14"/>
                <w:szCs w:val="14"/>
              </w:rPr>
              <w:t xml:space="preserve">487 </w:t>
            </w:r>
          </w:p>
        </w:tc>
      </w:tr>
      <w:tr w:rsidR="006A362F" w:rsidRPr="00AF47CC" w14:paraId="0152915D"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F1DE918" w14:textId="77777777" w:rsidR="006A362F" w:rsidRPr="00AF47CC" w:rsidRDefault="006A362F" w:rsidP="006928A6">
            <w:pPr>
              <w:keepNext/>
              <w:keepLines/>
              <w:ind w:left="113"/>
              <w:rPr>
                <w:rFonts w:cs="Arial"/>
                <w:b w:val="0"/>
                <w:bCs w:val="0"/>
                <w:color w:val="000000"/>
                <w:sz w:val="14"/>
                <w:szCs w:val="14"/>
              </w:rPr>
            </w:pPr>
            <w:r w:rsidRPr="00142668">
              <w:rPr>
                <w:rFonts w:cs="Arial"/>
                <w:b w:val="0"/>
                <w:bCs w:val="0"/>
                <w:color w:val="000000"/>
                <w:sz w:val="14"/>
                <w:szCs w:val="14"/>
              </w:rPr>
              <w:t>Current tax asset</w:t>
            </w:r>
          </w:p>
        </w:tc>
        <w:tc>
          <w:tcPr>
            <w:tcW w:w="2622" w:type="dxa"/>
            <w:tcBorders>
              <w:top w:val="nil"/>
              <w:left w:val="nil"/>
              <w:bottom w:val="nil"/>
              <w:right w:val="nil"/>
            </w:tcBorders>
            <w:shd w:val="clear" w:color="auto" w:fill="auto"/>
            <w:vAlign w:val="center"/>
          </w:tcPr>
          <w:p w14:paraId="798410A9" w14:textId="77777777" w:rsidR="006A362F" w:rsidRPr="00AF47C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F47CC">
              <w:rPr>
                <w:rFonts w:cs="Arial"/>
                <w:color w:val="000000"/>
                <w:sz w:val="14"/>
                <w:szCs w:val="14"/>
              </w:rPr>
              <w:t xml:space="preserve">            1</w:t>
            </w:r>
            <w:r>
              <w:rPr>
                <w:rFonts w:cs="Arial"/>
                <w:color w:val="000000"/>
                <w:sz w:val="14"/>
                <w:szCs w:val="14"/>
              </w:rPr>
              <w:t>,</w:t>
            </w:r>
            <w:r w:rsidRPr="00AF47CC">
              <w:rPr>
                <w:rFonts w:cs="Arial"/>
                <w:color w:val="000000"/>
                <w:sz w:val="14"/>
                <w:szCs w:val="14"/>
              </w:rPr>
              <w:t xml:space="preserve">684 </w:t>
            </w:r>
          </w:p>
        </w:tc>
        <w:tc>
          <w:tcPr>
            <w:tcW w:w="2623" w:type="dxa"/>
            <w:tcBorders>
              <w:top w:val="nil"/>
              <w:left w:val="nil"/>
              <w:bottom w:val="nil"/>
              <w:right w:val="nil"/>
            </w:tcBorders>
            <w:shd w:val="clear" w:color="auto" w:fill="auto"/>
            <w:vAlign w:val="center"/>
          </w:tcPr>
          <w:p w14:paraId="5A802685" w14:textId="77777777" w:rsidR="006A362F" w:rsidRPr="00AF47C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F47CC">
              <w:rPr>
                <w:rFonts w:cs="Arial"/>
                <w:color w:val="000000"/>
                <w:sz w:val="14"/>
                <w:szCs w:val="14"/>
              </w:rPr>
              <w:t xml:space="preserve">         1</w:t>
            </w:r>
            <w:r>
              <w:rPr>
                <w:rFonts w:cs="Arial"/>
                <w:color w:val="000000"/>
                <w:sz w:val="14"/>
                <w:szCs w:val="14"/>
              </w:rPr>
              <w:t>,</w:t>
            </w:r>
            <w:r w:rsidRPr="00AF47CC">
              <w:rPr>
                <w:rFonts w:cs="Arial"/>
                <w:color w:val="000000"/>
                <w:sz w:val="14"/>
                <w:szCs w:val="14"/>
              </w:rPr>
              <w:t xml:space="preserve">651 </w:t>
            </w:r>
          </w:p>
        </w:tc>
      </w:tr>
      <w:tr w:rsidR="006A362F" w:rsidRPr="00AF47CC" w14:paraId="61ACF1F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79F567B" w14:textId="77777777" w:rsidR="006A362F" w:rsidRPr="00AF47CC" w:rsidRDefault="006A362F" w:rsidP="006928A6">
            <w:pPr>
              <w:keepNext/>
              <w:keepLines/>
              <w:ind w:left="113"/>
              <w:rPr>
                <w:rFonts w:cs="Arial"/>
                <w:b w:val="0"/>
                <w:bCs w:val="0"/>
                <w:color w:val="000000"/>
                <w:sz w:val="14"/>
                <w:szCs w:val="14"/>
              </w:rPr>
            </w:pPr>
            <w:r>
              <w:rPr>
                <w:rFonts w:cs="Arial"/>
                <w:b w:val="0"/>
                <w:bCs w:val="0"/>
                <w:color w:val="000000"/>
                <w:sz w:val="14"/>
                <w:szCs w:val="14"/>
              </w:rPr>
              <w:t>Other assets</w:t>
            </w:r>
          </w:p>
        </w:tc>
        <w:tc>
          <w:tcPr>
            <w:tcW w:w="2622" w:type="dxa"/>
            <w:tcBorders>
              <w:top w:val="nil"/>
              <w:left w:val="nil"/>
              <w:bottom w:val="nil"/>
              <w:right w:val="nil"/>
            </w:tcBorders>
            <w:shd w:val="clear" w:color="auto" w:fill="auto"/>
            <w:vAlign w:val="center"/>
          </w:tcPr>
          <w:p w14:paraId="16C58148"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35 </w:t>
            </w:r>
          </w:p>
        </w:tc>
        <w:tc>
          <w:tcPr>
            <w:tcW w:w="2623" w:type="dxa"/>
            <w:tcBorders>
              <w:top w:val="nil"/>
              <w:left w:val="nil"/>
              <w:bottom w:val="nil"/>
              <w:right w:val="nil"/>
            </w:tcBorders>
            <w:shd w:val="clear" w:color="auto" w:fill="auto"/>
            <w:vAlign w:val="center"/>
          </w:tcPr>
          <w:p w14:paraId="31FD68DF"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141 </w:t>
            </w:r>
          </w:p>
        </w:tc>
      </w:tr>
      <w:tr w:rsidR="006A362F" w:rsidRPr="00AF47CC" w14:paraId="2B797D4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2CAE74C" w14:textId="77777777" w:rsidR="006A362F" w:rsidRPr="00AF47CC" w:rsidRDefault="006A362F" w:rsidP="006928A6">
            <w:pPr>
              <w:keepNext/>
              <w:keepLines/>
              <w:rPr>
                <w:rFonts w:cs="Arial"/>
                <w:color w:val="000000"/>
                <w:sz w:val="14"/>
                <w:szCs w:val="14"/>
              </w:rPr>
            </w:pPr>
            <w:r>
              <w:rPr>
                <w:rFonts w:cs="Arial"/>
                <w:color w:val="000000"/>
                <w:sz w:val="14"/>
                <w:szCs w:val="14"/>
              </w:rPr>
              <w:t>Non-current assets</w:t>
            </w:r>
          </w:p>
        </w:tc>
        <w:tc>
          <w:tcPr>
            <w:tcW w:w="2622" w:type="dxa"/>
            <w:tcBorders>
              <w:top w:val="nil"/>
              <w:left w:val="nil"/>
              <w:bottom w:val="nil"/>
              <w:right w:val="nil"/>
            </w:tcBorders>
            <w:shd w:val="clear" w:color="auto" w:fill="auto"/>
            <w:vAlign w:val="center"/>
          </w:tcPr>
          <w:p w14:paraId="7D181749"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w:t>
            </w:r>
            <w:r>
              <w:rPr>
                <w:rFonts w:cs="Arial"/>
                <w:b/>
                <w:bCs/>
                <w:color w:val="000000"/>
                <w:sz w:val="14"/>
                <w:szCs w:val="14"/>
              </w:rPr>
              <w:t>,</w:t>
            </w:r>
            <w:r w:rsidRPr="00AF47CC">
              <w:rPr>
                <w:rFonts w:cs="Arial"/>
                <w:b/>
                <w:bCs/>
                <w:color w:val="000000"/>
                <w:sz w:val="14"/>
                <w:szCs w:val="14"/>
              </w:rPr>
              <w:t>874</w:t>
            </w:r>
            <w:r>
              <w:rPr>
                <w:rFonts w:cs="Arial"/>
                <w:b/>
                <w:bCs/>
                <w:color w:val="000000"/>
                <w:sz w:val="14"/>
                <w:szCs w:val="14"/>
              </w:rPr>
              <w:t>,</w:t>
            </w:r>
            <w:r w:rsidRPr="00AF47CC">
              <w:rPr>
                <w:rFonts w:cs="Arial"/>
                <w:b/>
                <w:bCs/>
                <w:color w:val="000000"/>
                <w:sz w:val="14"/>
                <w:szCs w:val="14"/>
              </w:rPr>
              <w:t xml:space="preserve">426 </w:t>
            </w:r>
          </w:p>
        </w:tc>
        <w:tc>
          <w:tcPr>
            <w:tcW w:w="2623" w:type="dxa"/>
            <w:tcBorders>
              <w:top w:val="nil"/>
              <w:left w:val="nil"/>
              <w:bottom w:val="nil"/>
              <w:right w:val="nil"/>
            </w:tcBorders>
            <w:shd w:val="clear" w:color="auto" w:fill="auto"/>
            <w:vAlign w:val="center"/>
          </w:tcPr>
          <w:p w14:paraId="20425311"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C32ED">
              <w:rPr>
                <w:rFonts w:cs="Arial"/>
                <w:b/>
                <w:bCs/>
                <w:color w:val="000000"/>
                <w:sz w:val="14"/>
                <w:szCs w:val="14"/>
              </w:rPr>
              <w:t>2</w:t>
            </w:r>
            <w:r>
              <w:rPr>
                <w:rFonts w:cs="Arial"/>
                <w:b/>
                <w:bCs/>
                <w:color w:val="000000"/>
                <w:sz w:val="14"/>
                <w:szCs w:val="14"/>
              </w:rPr>
              <w:t>,</w:t>
            </w:r>
            <w:r w:rsidRPr="003C32ED">
              <w:rPr>
                <w:rFonts w:cs="Arial"/>
                <w:b/>
                <w:bCs/>
                <w:color w:val="000000"/>
                <w:sz w:val="14"/>
                <w:szCs w:val="14"/>
              </w:rPr>
              <w:t>720</w:t>
            </w:r>
            <w:r>
              <w:rPr>
                <w:rFonts w:cs="Arial"/>
                <w:b/>
                <w:bCs/>
                <w:color w:val="000000"/>
                <w:sz w:val="14"/>
                <w:szCs w:val="14"/>
              </w:rPr>
              <w:t>,</w:t>
            </w:r>
            <w:r w:rsidRPr="003C32ED">
              <w:rPr>
                <w:rFonts w:cs="Arial"/>
                <w:b/>
                <w:bCs/>
                <w:color w:val="000000"/>
                <w:sz w:val="14"/>
                <w:szCs w:val="14"/>
              </w:rPr>
              <w:t>155</w:t>
            </w:r>
          </w:p>
        </w:tc>
      </w:tr>
      <w:tr w:rsidR="006A362F" w:rsidRPr="00AF47CC" w14:paraId="18DF3F5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EC7FF48" w14:textId="77777777" w:rsidR="006A362F" w:rsidRPr="00AF47CC" w:rsidRDefault="006A362F" w:rsidP="006928A6">
            <w:pPr>
              <w:keepNext/>
              <w:keepLines/>
              <w:ind w:left="113"/>
              <w:rPr>
                <w:rFonts w:cs="Arial"/>
                <w:b w:val="0"/>
                <w:bCs w:val="0"/>
                <w:color w:val="000000"/>
                <w:sz w:val="14"/>
                <w:szCs w:val="14"/>
              </w:rPr>
            </w:pPr>
            <w:r>
              <w:rPr>
                <w:rFonts w:cs="Arial"/>
                <w:b w:val="0"/>
                <w:bCs w:val="0"/>
                <w:color w:val="000000"/>
                <w:sz w:val="14"/>
                <w:szCs w:val="14"/>
              </w:rPr>
              <w:t>Investments in associates</w:t>
            </w:r>
          </w:p>
        </w:tc>
        <w:tc>
          <w:tcPr>
            <w:tcW w:w="2622" w:type="dxa"/>
            <w:tcBorders>
              <w:top w:val="nil"/>
              <w:left w:val="nil"/>
              <w:bottom w:val="nil"/>
              <w:right w:val="nil"/>
            </w:tcBorders>
            <w:shd w:val="clear" w:color="auto" w:fill="auto"/>
            <w:vAlign w:val="center"/>
          </w:tcPr>
          <w:p w14:paraId="09995BFB" w14:textId="77777777" w:rsidR="006A362F" w:rsidRPr="00AF47CC"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AF47CC">
              <w:rPr>
                <w:rFonts w:cs="Arial"/>
                <w:color w:val="000000"/>
                <w:sz w:val="14"/>
                <w:szCs w:val="14"/>
              </w:rPr>
              <w:t xml:space="preserve">      2</w:t>
            </w:r>
            <w:r>
              <w:rPr>
                <w:rFonts w:cs="Arial"/>
                <w:color w:val="000000"/>
                <w:sz w:val="14"/>
                <w:szCs w:val="14"/>
              </w:rPr>
              <w:t>,</w:t>
            </w:r>
            <w:r w:rsidRPr="00AF47CC">
              <w:rPr>
                <w:rFonts w:cs="Arial"/>
                <w:color w:val="000000"/>
                <w:sz w:val="14"/>
                <w:szCs w:val="14"/>
              </w:rPr>
              <w:t>874</w:t>
            </w:r>
            <w:r>
              <w:rPr>
                <w:rFonts w:cs="Arial"/>
                <w:color w:val="000000"/>
                <w:sz w:val="14"/>
                <w:szCs w:val="14"/>
              </w:rPr>
              <w:t>,</w:t>
            </w:r>
            <w:r w:rsidRPr="00AF47CC">
              <w:rPr>
                <w:rFonts w:cs="Arial"/>
                <w:color w:val="000000"/>
                <w:sz w:val="14"/>
                <w:szCs w:val="14"/>
              </w:rPr>
              <w:t xml:space="preserve">139 </w:t>
            </w:r>
          </w:p>
        </w:tc>
        <w:tc>
          <w:tcPr>
            <w:tcW w:w="2623" w:type="dxa"/>
            <w:tcBorders>
              <w:top w:val="nil"/>
              <w:left w:val="nil"/>
              <w:bottom w:val="nil"/>
              <w:right w:val="nil"/>
            </w:tcBorders>
            <w:shd w:val="clear" w:color="auto" w:fill="auto"/>
            <w:vAlign w:val="center"/>
          </w:tcPr>
          <w:p w14:paraId="5B6A522C" w14:textId="77777777" w:rsidR="006A362F" w:rsidRPr="003C32E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3C32ED">
              <w:rPr>
                <w:rFonts w:cs="Arial"/>
                <w:color w:val="000000"/>
                <w:sz w:val="14"/>
                <w:szCs w:val="14"/>
              </w:rPr>
              <w:t xml:space="preserve"> 2</w:t>
            </w:r>
            <w:r>
              <w:rPr>
                <w:rFonts w:cs="Arial"/>
                <w:color w:val="000000"/>
                <w:sz w:val="14"/>
                <w:szCs w:val="14"/>
              </w:rPr>
              <w:t>,</w:t>
            </w:r>
            <w:r w:rsidRPr="003C32ED">
              <w:rPr>
                <w:rFonts w:cs="Arial"/>
                <w:color w:val="000000"/>
                <w:sz w:val="14"/>
                <w:szCs w:val="14"/>
              </w:rPr>
              <w:t>719</w:t>
            </w:r>
            <w:r>
              <w:rPr>
                <w:rFonts w:cs="Arial"/>
                <w:color w:val="000000"/>
                <w:sz w:val="14"/>
                <w:szCs w:val="14"/>
              </w:rPr>
              <w:t>,</w:t>
            </w:r>
            <w:r w:rsidRPr="003C32ED">
              <w:rPr>
                <w:rFonts w:cs="Arial"/>
                <w:color w:val="000000"/>
                <w:sz w:val="14"/>
                <w:szCs w:val="14"/>
              </w:rPr>
              <w:t>86</w:t>
            </w:r>
            <w:r>
              <w:rPr>
                <w:rFonts w:cs="Arial"/>
                <w:color w:val="000000"/>
                <w:sz w:val="14"/>
                <w:szCs w:val="14"/>
              </w:rPr>
              <w:t>8</w:t>
            </w:r>
            <w:r w:rsidRPr="003C32ED">
              <w:rPr>
                <w:rFonts w:cs="Arial"/>
                <w:color w:val="000000"/>
                <w:sz w:val="14"/>
                <w:szCs w:val="14"/>
              </w:rPr>
              <w:t xml:space="preserve"> </w:t>
            </w:r>
          </w:p>
        </w:tc>
      </w:tr>
      <w:tr w:rsidR="006A362F" w:rsidRPr="00AF47CC" w14:paraId="230D954E"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78DF93F" w14:textId="77777777" w:rsidR="006A362F" w:rsidRPr="00AF47CC" w:rsidRDefault="006A362F" w:rsidP="006928A6">
            <w:pPr>
              <w:keepNext/>
              <w:keepLines/>
              <w:ind w:left="113"/>
              <w:rPr>
                <w:rFonts w:cs="Arial"/>
                <w:b w:val="0"/>
                <w:bCs w:val="0"/>
                <w:color w:val="000000"/>
                <w:sz w:val="14"/>
                <w:szCs w:val="14"/>
              </w:rPr>
            </w:pPr>
            <w:r>
              <w:rPr>
                <w:rFonts w:cs="Arial"/>
                <w:b w:val="0"/>
                <w:bCs w:val="0"/>
                <w:color w:val="000000"/>
                <w:sz w:val="14"/>
                <w:szCs w:val="14"/>
              </w:rPr>
              <w:t>Other assets</w:t>
            </w:r>
          </w:p>
        </w:tc>
        <w:tc>
          <w:tcPr>
            <w:tcW w:w="2622" w:type="dxa"/>
            <w:tcBorders>
              <w:top w:val="nil"/>
              <w:left w:val="nil"/>
              <w:bottom w:val="nil"/>
              <w:right w:val="nil"/>
            </w:tcBorders>
            <w:shd w:val="clear" w:color="auto" w:fill="auto"/>
            <w:vAlign w:val="center"/>
          </w:tcPr>
          <w:p w14:paraId="2C9FBD68"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287 </w:t>
            </w:r>
          </w:p>
        </w:tc>
        <w:tc>
          <w:tcPr>
            <w:tcW w:w="2623" w:type="dxa"/>
            <w:tcBorders>
              <w:top w:val="nil"/>
              <w:left w:val="nil"/>
              <w:bottom w:val="nil"/>
              <w:right w:val="nil"/>
            </w:tcBorders>
            <w:shd w:val="clear" w:color="auto" w:fill="auto"/>
            <w:vAlign w:val="center"/>
          </w:tcPr>
          <w:p w14:paraId="0731F841" w14:textId="77777777" w:rsidR="006A362F" w:rsidRPr="003C32E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3C32ED">
              <w:rPr>
                <w:rFonts w:cs="Arial"/>
                <w:color w:val="000000"/>
                <w:sz w:val="14"/>
                <w:szCs w:val="14"/>
              </w:rPr>
              <w:t xml:space="preserve"> 287 </w:t>
            </w:r>
          </w:p>
        </w:tc>
      </w:tr>
      <w:tr w:rsidR="006A362F" w:rsidRPr="00AF47CC" w14:paraId="3F529C9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B2593F2" w14:textId="77777777" w:rsidR="006A362F" w:rsidRPr="00AF47CC" w:rsidRDefault="006A362F" w:rsidP="006928A6">
            <w:pPr>
              <w:keepNext/>
              <w:keepLines/>
              <w:rPr>
                <w:rFonts w:cs="Arial"/>
                <w:color w:val="000000"/>
                <w:sz w:val="14"/>
                <w:szCs w:val="14"/>
              </w:rPr>
            </w:pPr>
            <w:r>
              <w:rPr>
                <w:rFonts w:cs="Arial"/>
                <w:color w:val="000000"/>
                <w:sz w:val="14"/>
                <w:szCs w:val="14"/>
              </w:rPr>
              <w:t>Total Assets</w:t>
            </w:r>
          </w:p>
        </w:tc>
        <w:tc>
          <w:tcPr>
            <w:tcW w:w="2622" w:type="dxa"/>
            <w:tcBorders>
              <w:top w:val="nil"/>
              <w:left w:val="nil"/>
              <w:bottom w:val="nil"/>
              <w:right w:val="nil"/>
            </w:tcBorders>
            <w:shd w:val="clear" w:color="auto" w:fill="auto"/>
            <w:vAlign w:val="center"/>
          </w:tcPr>
          <w:p w14:paraId="4BA9971C"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w:t>
            </w:r>
            <w:r>
              <w:rPr>
                <w:rFonts w:cs="Arial"/>
                <w:b/>
                <w:bCs/>
                <w:color w:val="000000"/>
                <w:sz w:val="14"/>
                <w:szCs w:val="14"/>
              </w:rPr>
              <w:t>,</w:t>
            </w:r>
            <w:r w:rsidRPr="00AF47CC">
              <w:rPr>
                <w:rFonts w:cs="Arial"/>
                <w:b/>
                <w:bCs/>
                <w:color w:val="000000"/>
                <w:sz w:val="14"/>
                <w:szCs w:val="14"/>
              </w:rPr>
              <w:t>897</w:t>
            </w:r>
            <w:r>
              <w:rPr>
                <w:rFonts w:cs="Arial"/>
                <w:b/>
                <w:bCs/>
                <w:color w:val="000000"/>
                <w:sz w:val="14"/>
                <w:szCs w:val="14"/>
              </w:rPr>
              <w:t>,</w:t>
            </w:r>
            <w:r w:rsidRPr="00AF47CC">
              <w:rPr>
                <w:rFonts w:cs="Arial"/>
                <w:b/>
                <w:bCs/>
                <w:color w:val="000000"/>
                <w:sz w:val="14"/>
                <w:szCs w:val="14"/>
              </w:rPr>
              <w:t xml:space="preserve">805 </w:t>
            </w:r>
          </w:p>
        </w:tc>
        <w:tc>
          <w:tcPr>
            <w:tcW w:w="2623" w:type="dxa"/>
            <w:tcBorders>
              <w:top w:val="nil"/>
              <w:left w:val="nil"/>
              <w:bottom w:val="nil"/>
              <w:right w:val="nil"/>
            </w:tcBorders>
            <w:shd w:val="clear" w:color="auto" w:fill="auto"/>
            <w:vAlign w:val="center"/>
          </w:tcPr>
          <w:p w14:paraId="4416F21A"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3C32ED">
              <w:rPr>
                <w:rFonts w:cs="Arial"/>
                <w:b/>
                <w:bCs/>
                <w:color w:val="000000"/>
                <w:sz w:val="14"/>
                <w:szCs w:val="14"/>
              </w:rPr>
              <w:t>2</w:t>
            </w:r>
            <w:r>
              <w:rPr>
                <w:rFonts w:cs="Arial"/>
                <w:b/>
                <w:bCs/>
                <w:color w:val="000000"/>
                <w:sz w:val="14"/>
                <w:szCs w:val="14"/>
              </w:rPr>
              <w:t>,</w:t>
            </w:r>
            <w:r w:rsidRPr="003C32ED">
              <w:rPr>
                <w:rFonts w:cs="Arial"/>
                <w:b/>
                <w:bCs/>
                <w:color w:val="000000"/>
                <w:sz w:val="14"/>
                <w:szCs w:val="14"/>
              </w:rPr>
              <w:t>743</w:t>
            </w:r>
            <w:r>
              <w:rPr>
                <w:rFonts w:cs="Arial"/>
                <w:b/>
                <w:bCs/>
                <w:color w:val="000000"/>
                <w:sz w:val="14"/>
                <w:szCs w:val="14"/>
              </w:rPr>
              <w:t>,</w:t>
            </w:r>
            <w:r w:rsidRPr="003C32ED">
              <w:rPr>
                <w:rFonts w:cs="Arial"/>
                <w:b/>
                <w:bCs/>
                <w:color w:val="000000"/>
                <w:sz w:val="14"/>
                <w:szCs w:val="14"/>
              </w:rPr>
              <w:t>517</w:t>
            </w:r>
          </w:p>
        </w:tc>
      </w:tr>
      <w:tr w:rsidR="006A362F" w:rsidRPr="00AF47CC" w14:paraId="5A5EB4F0"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F4F5D0C" w14:textId="77777777" w:rsidR="006A362F" w:rsidRPr="00AF47CC" w:rsidRDefault="006A362F" w:rsidP="006928A6">
            <w:pPr>
              <w:keepNext/>
              <w:keepLines/>
              <w:spacing w:before="40" w:after="40"/>
              <w:ind w:left="113"/>
              <w:rPr>
                <w:rFonts w:eastAsia="Times New Roman" w:cs="Arial"/>
                <w:b w:val="0"/>
                <w:bCs w:val="0"/>
                <w:spacing w:val="-2"/>
                <w:sz w:val="14"/>
                <w:szCs w:val="14"/>
                <w:highlight w:val="yellow"/>
              </w:rPr>
            </w:pPr>
          </w:p>
        </w:tc>
        <w:tc>
          <w:tcPr>
            <w:tcW w:w="2622" w:type="dxa"/>
            <w:tcBorders>
              <w:top w:val="nil"/>
              <w:left w:val="nil"/>
              <w:bottom w:val="nil"/>
              <w:right w:val="nil"/>
            </w:tcBorders>
            <w:shd w:val="clear" w:color="auto" w:fill="auto"/>
            <w:vAlign w:val="center"/>
          </w:tcPr>
          <w:p w14:paraId="02B174AC"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c>
          <w:tcPr>
            <w:tcW w:w="2623" w:type="dxa"/>
            <w:tcBorders>
              <w:top w:val="nil"/>
              <w:left w:val="nil"/>
              <w:bottom w:val="nil"/>
              <w:right w:val="nil"/>
            </w:tcBorders>
            <w:shd w:val="clear" w:color="auto" w:fill="auto"/>
            <w:vAlign w:val="center"/>
          </w:tcPr>
          <w:p w14:paraId="6CD59FC2"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p>
        </w:tc>
      </w:tr>
      <w:tr w:rsidR="006A362F" w:rsidRPr="00AF47CC" w14:paraId="13BA9DF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E503579" w14:textId="77777777" w:rsidR="006A362F" w:rsidRPr="00AF47CC" w:rsidRDefault="006A362F" w:rsidP="006928A6">
            <w:pPr>
              <w:keepNext/>
              <w:keepLines/>
              <w:rPr>
                <w:rFonts w:cs="Arial"/>
                <w:color w:val="000000"/>
                <w:sz w:val="14"/>
                <w:szCs w:val="14"/>
              </w:rPr>
            </w:pPr>
            <w:r>
              <w:rPr>
                <w:rFonts w:cs="Arial"/>
                <w:color w:val="000000"/>
                <w:sz w:val="14"/>
                <w:szCs w:val="14"/>
              </w:rPr>
              <w:t>Current Liabilities</w:t>
            </w:r>
          </w:p>
        </w:tc>
        <w:tc>
          <w:tcPr>
            <w:tcW w:w="2622" w:type="dxa"/>
            <w:tcBorders>
              <w:top w:val="nil"/>
              <w:left w:val="nil"/>
              <w:bottom w:val="nil"/>
              <w:right w:val="nil"/>
            </w:tcBorders>
            <w:shd w:val="clear" w:color="auto" w:fill="auto"/>
            <w:vAlign w:val="center"/>
          </w:tcPr>
          <w:p w14:paraId="66205E70"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195 </w:t>
            </w:r>
          </w:p>
        </w:tc>
        <w:tc>
          <w:tcPr>
            <w:tcW w:w="2623" w:type="dxa"/>
            <w:tcBorders>
              <w:top w:val="nil"/>
              <w:left w:val="nil"/>
              <w:bottom w:val="nil"/>
              <w:right w:val="nil"/>
            </w:tcBorders>
            <w:shd w:val="clear" w:color="auto" w:fill="auto"/>
            <w:vAlign w:val="center"/>
          </w:tcPr>
          <w:p w14:paraId="02D3D5B8"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17</w:t>
            </w:r>
            <w:r>
              <w:rPr>
                <w:rFonts w:cs="Arial"/>
                <w:b/>
                <w:bCs/>
                <w:color w:val="000000"/>
                <w:sz w:val="14"/>
                <w:szCs w:val="14"/>
              </w:rPr>
              <w:t>6</w:t>
            </w:r>
            <w:r w:rsidRPr="00AF47CC">
              <w:rPr>
                <w:rFonts w:cs="Arial"/>
                <w:b/>
                <w:bCs/>
                <w:color w:val="000000"/>
                <w:sz w:val="14"/>
                <w:szCs w:val="14"/>
              </w:rPr>
              <w:t xml:space="preserve"> </w:t>
            </w:r>
          </w:p>
        </w:tc>
      </w:tr>
      <w:tr w:rsidR="006A362F" w:rsidRPr="00AF47CC" w14:paraId="1A3399D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94A76A0" w14:textId="77777777" w:rsidR="006A362F" w:rsidRPr="00AF47CC" w:rsidRDefault="006A362F" w:rsidP="006928A6">
            <w:pPr>
              <w:keepNext/>
              <w:keepLines/>
              <w:spacing w:before="40" w:after="40"/>
              <w:ind w:left="113"/>
              <w:rPr>
                <w:rFonts w:cs="Arial"/>
                <w:b w:val="0"/>
                <w:bCs w:val="0"/>
                <w:color w:val="000000"/>
                <w:sz w:val="14"/>
                <w:szCs w:val="14"/>
              </w:rPr>
            </w:pPr>
            <w:r w:rsidRPr="00142668">
              <w:rPr>
                <w:rFonts w:cs="Arial"/>
                <w:b w:val="0"/>
                <w:bCs w:val="0"/>
                <w:color w:val="000000"/>
                <w:sz w:val="14"/>
                <w:szCs w:val="14"/>
              </w:rPr>
              <w:t>Amounts payable</w:t>
            </w:r>
          </w:p>
        </w:tc>
        <w:tc>
          <w:tcPr>
            <w:tcW w:w="2622" w:type="dxa"/>
            <w:tcBorders>
              <w:top w:val="nil"/>
              <w:left w:val="nil"/>
              <w:bottom w:val="nil"/>
              <w:right w:val="nil"/>
            </w:tcBorders>
            <w:shd w:val="clear" w:color="auto" w:fill="auto"/>
            <w:vAlign w:val="center"/>
          </w:tcPr>
          <w:p w14:paraId="38B5D8ED"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47 </w:t>
            </w:r>
          </w:p>
        </w:tc>
        <w:tc>
          <w:tcPr>
            <w:tcW w:w="2623" w:type="dxa"/>
            <w:tcBorders>
              <w:top w:val="nil"/>
              <w:left w:val="nil"/>
              <w:bottom w:val="nil"/>
              <w:right w:val="nil"/>
            </w:tcBorders>
            <w:shd w:val="clear" w:color="auto" w:fill="auto"/>
            <w:vAlign w:val="center"/>
          </w:tcPr>
          <w:p w14:paraId="334FDF3B"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F47CC">
              <w:rPr>
                <w:rFonts w:cs="Arial"/>
                <w:color w:val="000000"/>
                <w:sz w:val="14"/>
                <w:szCs w:val="14"/>
              </w:rPr>
              <w:t xml:space="preserve">               2 </w:t>
            </w:r>
          </w:p>
        </w:tc>
      </w:tr>
      <w:tr w:rsidR="006A362F" w:rsidRPr="00AF47CC" w14:paraId="6A09AC97"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8A100C1" w14:textId="77777777" w:rsidR="006A362F" w:rsidRPr="00AF47CC"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C</w:t>
            </w:r>
            <w:r w:rsidRPr="00142668">
              <w:rPr>
                <w:rFonts w:cs="Arial"/>
                <w:b w:val="0"/>
                <w:bCs w:val="0"/>
                <w:color w:val="000000"/>
                <w:sz w:val="14"/>
                <w:szCs w:val="14"/>
              </w:rPr>
              <w:t>urrent tax liability</w:t>
            </w:r>
          </w:p>
        </w:tc>
        <w:tc>
          <w:tcPr>
            <w:tcW w:w="2622" w:type="dxa"/>
            <w:tcBorders>
              <w:top w:val="nil"/>
              <w:left w:val="nil"/>
              <w:bottom w:val="nil"/>
              <w:right w:val="nil"/>
            </w:tcBorders>
            <w:shd w:val="clear" w:color="auto" w:fill="auto"/>
            <w:vAlign w:val="center"/>
          </w:tcPr>
          <w:p w14:paraId="63A6C26E"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14</w:t>
            </w:r>
            <w:r>
              <w:rPr>
                <w:rFonts w:cs="Arial"/>
                <w:color w:val="000000"/>
                <w:sz w:val="14"/>
                <w:szCs w:val="14"/>
              </w:rPr>
              <w:t>8</w:t>
            </w:r>
            <w:r w:rsidRPr="00AF47CC">
              <w:rPr>
                <w:rFonts w:cs="Arial"/>
                <w:color w:val="000000"/>
                <w:sz w:val="14"/>
                <w:szCs w:val="14"/>
              </w:rPr>
              <w:t xml:space="preserve"> </w:t>
            </w:r>
          </w:p>
        </w:tc>
        <w:tc>
          <w:tcPr>
            <w:tcW w:w="2623" w:type="dxa"/>
            <w:tcBorders>
              <w:top w:val="nil"/>
              <w:left w:val="nil"/>
              <w:bottom w:val="nil"/>
              <w:right w:val="nil"/>
            </w:tcBorders>
            <w:shd w:val="clear" w:color="auto" w:fill="auto"/>
            <w:vAlign w:val="center"/>
          </w:tcPr>
          <w:p w14:paraId="0F7DD965" w14:textId="77777777" w:rsidR="006A362F" w:rsidRPr="00AF47C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F47CC">
              <w:rPr>
                <w:rFonts w:cs="Arial"/>
                <w:color w:val="000000"/>
                <w:sz w:val="14"/>
                <w:szCs w:val="14"/>
              </w:rPr>
              <w:t xml:space="preserve">           17</w:t>
            </w:r>
            <w:r>
              <w:rPr>
                <w:rFonts w:cs="Arial"/>
                <w:color w:val="000000"/>
                <w:sz w:val="14"/>
                <w:szCs w:val="14"/>
              </w:rPr>
              <w:t>4</w:t>
            </w:r>
            <w:r w:rsidRPr="00AF47CC">
              <w:rPr>
                <w:rFonts w:cs="Arial"/>
                <w:color w:val="000000"/>
                <w:sz w:val="14"/>
                <w:szCs w:val="14"/>
              </w:rPr>
              <w:t xml:space="preserve"> </w:t>
            </w:r>
          </w:p>
        </w:tc>
      </w:tr>
      <w:tr w:rsidR="006A362F" w:rsidRPr="00AF47CC" w14:paraId="16E755E4"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02EFFD7" w14:textId="77777777" w:rsidR="006A362F" w:rsidRPr="00AF47CC" w:rsidRDefault="006A362F" w:rsidP="006928A6">
            <w:pPr>
              <w:keepNext/>
              <w:keepLines/>
              <w:spacing w:before="40" w:after="40"/>
              <w:rPr>
                <w:rFonts w:eastAsia="Times New Roman" w:cs="Arial"/>
                <w:spacing w:val="-2"/>
                <w:sz w:val="14"/>
                <w:szCs w:val="14"/>
                <w:highlight w:val="yellow"/>
              </w:rPr>
            </w:pPr>
            <w:r>
              <w:rPr>
                <w:rFonts w:cs="Arial"/>
                <w:color w:val="000000"/>
                <w:sz w:val="14"/>
                <w:szCs w:val="14"/>
              </w:rPr>
              <w:t>Equity</w:t>
            </w:r>
          </w:p>
        </w:tc>
        <w:tc>
          <w:tcPr>
            <w:tcW w:w="2622" w:type="dxa"/>
            <w:tcBorders>
              <w:top w:val="nil"/>
              <w:left w:val="nil"/>
              <w:bottom w:val="nil"/>
              <w:right w:val="nil"/>
            </w:tcBorders>
            <w:shd w:val="clear" w:color="auto" w:fill="auto"/>
            <w:vAlign w:val="center"/>
          </w:tcPr>
          <w:p w14:paraId="76198C8E"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AF47CC">
              <w:rPr>
                <w:rFonts w:cs="Arial"/>
                <w:b/>
                <w:bCs/>
                <w:color w:val="000000"/>
                <w:sz w:val="14"/>
                <w:szCs w:val="14"/>
              </w:rPr>
              <w:t xml:space="preserve">        2</w:t>
            </w:r>
            <w:r>
              <w:rPr>
                <w:rFonts w:cs="Arial"/>
                <w:b/>
                <w:bCs/>
                <w:color w:val="000000"/>
                <w:sz w:val="14"/>
                <w:szCs w:val="14"/>
              </w:rPr>
              <w:t>,</w:t>
            </w:r>
            <w:r w:rsidRPr="00AF47CC">
              <w:rPr>
                <w:rFonts w:cs="Arial"/>
                <w:b/>
                <w:bCs/>
                <w:color w:val="000000"/>
                <w:sz w:val="14"/>
                <w:szCs w:val="14"/>
              </w:rPr>
              <w:t>897</w:t>
            </w:r>
            <w:r>
              <w:rPr>
                <w:rFonts w:cs="Arial"/>
                <w:b/>
                <w:bCs/>
                <w:color w:val="000000"/>
                <w:sz w:val="14"/>
                <w:szCs w:val="14"/>
              </w:rPr>
              <w:t>,</w:t>
            </w:r>
            <w:r w:rsidRPr="00AF47CC">
              <w:rPr>
                <w:rFonts w:cs="Arial"/>
                <w:b/>
                <w:bCs/>
                <w:color w:val="000000"/>
                <w:sz w:val="14"/>
                <w:szCs w:val="14"/>
              </w:rPr>
              <w:t>6</w:t>
            </w:r>
            <w:r>
              <w:rPr>
                <w:rFonts w:cs="Arial"/>
                <w:b/>
                <w:bCs/>
                <w:color w:val="000000"/>
                <w:sz w:val="14"/>
                <w:szCs w:val="14"/>
              </w:rPr>
              <w:t>10</w:t>
            </w:r>
            <w:r w:rsidRPr="00AF47CC">
              <w:rPr>
                <w:rFonts w:cs="Arial"/>
                <w:b/>
                <w:bCs/>
                <w:color w:val="000000"/>
                <w:sz w:val="14"/>
                <w:szCs w:val="14"/>
              </w:rPr>
              <w:t xml:space="preserve"> </w:t>
            </w:r>
          </w:p>
        </w:tc>
        <w:tc>
          <w:tcPr>
            <w:tcW w:w="2623" w:type="dxa"/>
            <w:tcBorders>
              <w:top w:val="nil"/>
              <w:left w:val="nil"/>
              <w:bottom w:val="nil"/>
              <w:right w:val="nil"/>
            </w:tcBorders>
            <w:shd w:val="clear" w:color="auto" w:fill="auto"/>
            <w:vAlign w:val="center"/>
          </w:tcPr>
          <w:p w14:paraId="4D321F4B" w14:textId="77777777" w:rsidR="006A362F" w:rsidRPr="00AF47C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3C32ED">
              <w:rPr>
                <w:rFonts w:cs="Arial"/>
                <w:b/>
                <w:bCs/>
                <w:color w:val="000000"/>
                <w:sz w:val="14"/>
                <w:szCs w:val="14"/>
              </w:rPr>
              <w:t>2</w:t>
            </w:r>
            <w:r>
              <w:rPr>
                <w:rFonts w:cs="Arial"/>
                <w:b/>
                <w:bCs/>
                <w:color w:val="000000"/>
                <w:sz w:val="14"/>
                <w:szCs w:val="14"/>
              </w:rPr>
              <w:t>,</w:t>
            </w:r>
            <w:r w:rsidRPr="003C32ED">
              <w:rPr>
                <w:rFonts w:cs="Arial"/>
                <w:b/>
                <w:bCs/>
                <w:color w:val="000000"/>
                <w:sz w:val="14"/>
                <w:szCs w:val="14"/>
              </w:rPr>
              <w:t>743</w:t>
            </w:r>
            <w:r>
              <w:rPr>
                <w:rFonts w:cs="Arial"/>
                <w:b/>
                <w:bCs/>
                <w:color w:val="000000"/>
                <w:sz w:val="14"/>
                <w:szCs w:val="14"/>
              </w:rPr>
              <w:t>,</w:t>
            </w:r>
            <w:r w:rsidRPr="003C32ED">
              <w:rPr>
                <w:rFonts w:cs="Arial"/>
                <w:b/>
                <w:bCs/>
                <w:color w:val="000000"/>
                <w:sz w:val="14"/>
                <w:szCs w:val="14"/>
              </w:rPr>
              <w:t>34</w:t>
            </w:r>
            <w:r>
              <w:rPr>
                <w:rFonts w:cs="Arial"/>
                <w:b/>
                <w:bCs/>
                <w:color w:val="000000"/>
                <w:sz w:val="14"/>
                <w:szCs w:val="14"/>
              </w:rPr>
              <w:t>1</w:t>
            </w:r>
          </w:p>
        </w:tc>
      </w:tr>
      <w:tr w:rsidR="006A362F" w:rsidRPr="00AF47CC" w14:paraId="530497F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3D6D6E8" w14:textId="77777777" w:rsidR="006A362F" w:rsidRPr="005B5C95" w:rsidRDefault="006A362F" w:rsidP="006928A6">
            <w:pPr>
              <w:keepNext/>
              <w:keepLines/>
              <w:spacing w:before="40" w:after="40"/>
              <w:ind w:left="113"/>
              <w:rPr>
                <w:rFonts w:eastAsia="Times New Roman" w:cs="Arial"/>
                <w:b w:val="0"/>
                <w:bCs w:val="0"/>
                <w:spacing w:val="-2"/>
                <w:sz w:val="14"/>
                <w:szCs w:val="14"/>
              </w:rPr>
            </w:pPr>
            <w:r>
              <w:rPr>
                <w:rFonts w:cs="Arial"/>
                <w:b w:val="0"/>
                <w:bCs w:val="0"/>
                <w:color w:val="000000"/>
                <w:sz w:val="14"/>
                <w:szCs w:val="14"/>
              </w:rPr>
              <w:t>Capital and reserves</w:t>
            </w:r>
          </w:p>
        </w:tc>
        <w:tc>
          <w:tcPr>
            <w:tcW w:w="2622" w:type="dxa"/>
            <w:tcBorders>
              <w:top w:val="nil"/>
              <w:left w:val="nil"/>
              <w:bottom w:val="nil"/>
              <w:right w:val="nil"/>
            </w:tcBorders>
            <w:shd w:val="clear" w:color="auto" w:fill="auto"/>
            <w:vAlign w:val="center"/>
          </w:tcPr>
          <w:p w14:paraId="23FF5C46" w14:textId="77777777" w:rsidR="006A362F" w:rsidRPr="005B5C9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B5C95">
              <w:rPr>
                <w:rFonts w:cs="Arial"/>
                <w:color w:val="000000"/>
                <w:sz w:val="14"/>
                <w:szCs w:val="14"/>
              </w:rPr>
              <w:t xml:space="preserve">      2</w:t>
            </w:r>
            <w:r>
              <w:rPr>
                <w:rFonts w:cs="Arial"/>
                <w:color w:val="000000"/>
                <w:sz w:val="14"/>
                <w:szCs w:val="14"/>
              </w:rPr>
              <w:t>,</w:t>
            </w:r>
            <w:r w:rsidRPr="005B5C95">
              <w:rPr>
                <w:rFonts w:cs="Arial"/>
                <w:color w:val="000000"/>
                <w:sz w:val="14"/>
                <w:szCs w:val="14"/>
              </w:rPr>
              <w:t>003</w:t>
            </w:r>
            <w:r>
              <w:rPr>
                <w:rFonts w:cs="Arial"/>
                <w:color w:val="000000"/>
                <w:sz w:val="14"/>
                <w:szCs w:val="14"/>
              </w:rPr>
              <w:t>,</w:t>
            </w:r>
            <w:r w:rsidRPr="005B5C95">
              <w:rPr>
                <w:rFonts w:cs="Arial"/>
                <w:color w:val="000000"/>
                <w:sz w:val="14"/>
                <w:szCs w:val="14"/>
              </w:rPr>
              <w:t>44</w:t>
            </w:r>
            <w:r>
              <w:rPr>
                <w:rFonts w:cs="Arial"/>
                <w:color w:val="000000"/>
                <w:sz w:val="14"/>
                <w:szCs w:val="14"/>
              </w:rPr>
              <w:t>7</w:t>
            </w:r>
            <w:r w:rsidRPr="005B5C95">
              <w:rPr>
                <w:rFonts w:cs="Arial"/>
                <w:color w:val="000000"/>
                <w:sz w:val="14"/>
                <w:szCs w:val="14"/>
              </w:rPr>
              <w:t xml:space="preserve"> </w:t>
            </w:r>
          </w:p>
        </w:tc>
        <w:tc>
          <w:tcPr>
            <w:tcW w:w="2623" w:type="dxa"/>
            <w:tcBorders>
              <w:top w:val="nil"/>
              <w:left w:val="nil"/>
              <w:bottom w:val="nil"/>
              <w:right w:val="nil"/>
            </w:tcBorders>
            <w:shd w:val="clear" w:color="auto" w:fill="auto"/>
            <w:vAlign w:val="center"/>
          </w:tcPr>
          <w:p w14:paraId="1683A2AE" w14:textId="77777777" w:rsidR="006A362F" w:rsidRPr="005B5C9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B5C95">
              <w:rPr>
                <w:rFonts w:cs="Arial"/>
                <w:color w:val="000000"/>
                <w:sz w:val="14"/>
                <w:szCs w:val="14"/>
              </w:rPr>
              <w:t xml:space="preserve">  2</w:t>
            </w:r>
            <w:r>
              <w:rPr>
                <w:rFonts w:cs="Arial"/>
                <w:color w:val="000000"/>
                <w:sz w:val="14"/>
                <w:szCs w:val="14"/>
              </w:rPr>
              <w:t>,</w:t>
            </w:r>
            <w:r w:rsidRPr="005B5C95">
              <w:rPr>
                <w:rFonts w:cs="Arial"/>
                <w:color w:val="000000"/>
                <w:sz w:val="14"/>
                <w:szCs w:val="14"/>
              </w:rPr>
              <w:t>686</w:t>
            </w:r>
            <w:r>
              <w:rPr>
                <w:rFonts w:cs="Arial"/>
                <w:color w:val="000000"/>
                <w:sz w:val="14"/>
                <w:szCs w:val="14"/>
              </w:rPr>
              <w:t>,</w:t>
            </w:r>
            <w:r w:rsidRPr="005B5C95">
              <w:rPr>
                <w:rFonts w:cs="Arial"/>
                <w:color w:val="000000"/>
                <w:sz w:val="14"/>
                <w:szCs w:val="14"/>
              </w:rPr>
              <w:t>44</w:t>
            </w:r>
            <w:r>
              <w:rPr>
                <w:rFonts w:cs="Arial"/>
                <w:color w:val="000000"/>
                <w:sz w:val="14"/>
                <w:szCs w:val="14"/>
              </w:rPr>
              <w:t>7</w:t>
            </w:r>
            <w:r w:rsidRPr="005B5C95">
              <w:rPr>
                <w:rFonts w:cs="Arial"/>
                <w:color w:val="000000"/>
                <w:sz w:val="14"/>
                <w:szCs w:val="14"/>
              </w:rPr>
              <w:t xml:space="preserve"> </w:t>
            </w:r>
          </w:p>
        </w:tc>
      </w:tr>
      <w:tr w:rsidR="006A362F" w:rsidRPr="006F1964" w14:paraId="30E39774"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247E09C" w14:textId="77777777" w:rsidR="006A362F" w:rsidRPr="006F1964"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Retained earnings</w:t>
            </w:r>
          </w:p>
        </w:tc>
        <w:tc>
          <w:tcPr>
            <w:tcW w:w="2622" w:type="dxa"/>
            <w:tcBorders>
              <w:top w:val="nil"/>
              <w:left w:val="nil"/>
              <w:bottom w:val="nil"/>
              <w:right w:val="nil"/>
            </w:tcBorders>
            <w:shd w:val="clear" w:color="auto" w:fill="auto"/>
          </w:tcPr>
          <w:p w14:paraId="4A80ABBE" w14:textId="77777777" w:rsidR="006A362F" w:rsidRPr="006F1964"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F1964">
              <w:rPr>
                <w:rFonts w:cs="Arial"/>
                <w:color w:val="000000"/>
                <w:sz w:val="14"/>
                <w:szCs w:val="14"/>
              </w:rPr>
              <w:t>1</w:t>
            </w:r>
            <w:r>
              <w:rPr>
                <w:rFonts w:cs="Arial"/>
                <w:color w:val="000000"/>
                <w:sz w:val="14"/>
                <w:szCs w:val="14"/>
              </w:rPr>
              <w:t>,</w:t>
            </w:r>
            <w:r w:rsidRPr="006F1964">
              <w:rPr>
                <w:rFonts w:cs="Arial"/>
                <w:color w:val="000000"/>
                <w:sz w:val="14"/>
                <w:szCs w:val="14"/>
              </w:rPr>
              <w:t>003</w:t>
            </w:r>
            <w:r>
              <w:rPr>
                <w:rFonts w:cs="Arial"/>
                <w:color w:val="000000"/>
                <w:sz w:val="14"/>
                <w:szCs w:val="14"/>
              </w:rPr>
              <w:t>,</w:t>
            </w:r>
            <w:r w:rsidRPr="006F1964">
              <w:rPr>
                <w:rFonts w:cs="Arial"/>
                <w:color w:val="000000"/>
                <w:sz w:val="14"/>
                <w:szCs w:val="14"/>
              </w:rPr>
              <w:t>273</w:t>
            </w:r>
          </w:p>
        </w:tc>
        <w:tc>
          <w:tcPr>
            <w:tcW w:w="2623" w:type="dxa"/>
            <w:tcBorders>
              <w:top w:val="nil"/>
              <w:left w:val="nil"/>
              <w:bottom w:val="nil"/>
              <w:right w:val="nil"/>
            </w:tcBorders>
            <w:shd w:val="clear" w:color="auto" w:fill="auto"/>
          </w:tcPr>
          <w:p w14:paraId="45498797" w14:textId="77777777" w:rsidR="006A362F" w:rsidRPr="006F1964"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F1964">
              <w:rPr>
                <w:rFonts w:cs="Arial"/>
                <w:sz w:val="14"/>
                <w:szCs w:val="14"/>
              </w:rPr>
              <w:t xml:space="preserve"> 179</w:t>
            </w:r>
            <w:r>
              <w:rPr>
                <w:rFonts w:cs="Arial"/>
                <w:sz w:val="14"/>
                <w:szCs w:val="14"/>
              </w:rPr>
              <w:t>,</w:t>
            </w:r>
            <w:r w:rsidRPr="006F1964">
              <w:rPr>
                <w:rFonts w:cs="Arial"/>
                <w:sz w:val="14"/>
                <w:szCs w:val="14"/>
              </w:rPr>
              <w:t xml:space="preserve">067 </w:t>
            </w:r>
          </w:p>
        </w:tc>
      </w:tr>
      <w:tr w:rsidR="006A362F" w:rsidRPr="006F1964" w14:paraId="7706757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63610B0" w14:textId="77777777" w:rsidR="006A362F" w:rsidRPr="006F1964"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Other comprehensive results</w:t>
            </w:r>
          </w:p>
        </w:tc>
        <w:tc>
          <w:tcPr>
            <w:tcW w:w="2622" w:type="dxa"/>
            <w:tcBorders>
              <w:top w:val="nil"/>
              <w:left w:val="nil"/>
              <w:bottom w:val="nil"/>
              <w:right w:val="nil"/>
            </w:tcBorders>
            <w:shd w:val="clear" w:color="auto" w:fill="auto"/>
          </w:tcPr>
          <w:p w14:paraId="032AF7B9" w14:textId="77777777" w:rsidR="006A362F" w:rsidRPr="006F1964"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F1964">
              <w:rPr>
                <w:rFonts w:cs="Arial"/>
                <w:color w:val="000000"/>
                <w:sz w:val="14"/>
                <w:szCs w:val="14"/>
              </w:rPr>
              <w:t xml:space="preserve"> (109</w:t>
            </w:r>
            <w:r>
              <w:rPr>
                <w:rFonts w:cs="Arial"/>
                <w:color w:val="000000"/>
                <w:sz w:val="14"/>
                <w:szCs w:val="14"/>
              </w:rPr>
              <w:t>,</w:t>
            </w:r>
            <w:r w:rsidRPr="006F1964">
              <w:rPr>
                <w:rFonts w:cs="Arial"/>
                <w:color w:val="000000"/>
                <w:sz w:val="14"/>
                <w:szCs w:val="14"/>
              </w:rPr>
              <w:t>110)</w:t>
            </w:r>
          </w:p>
        </w:tc>
        <w:tc>
          <w:tcPr>
            <w:tcW w:w="2623" w:type="dxa"/>
            <w:tcBorders>
              <w:top w:val="nil"/>
              <w:left w:val="nil"/>
              <w:bottom w:val="nil"/>
              <w:right w:val="nil"/>
            </w:tcBorders>
            <w:shd w:val="clear" w:color="auto" w:fill="auto"/>
          </w:tcPr>
          <w:p w14:paraId="226E2822" w14:textId="77777777" w:rsidR="006A362F" w:rsidRPr="006F1964"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6F1964">
              <w:rPr>
                <w:rFonts w:cs="Arial"/>
                <w:sz w:val="14"/>
                <w:szCs w:val="14"/>
              </w:rPr>
              <w:t xml:space="preserve"> (122</w:t>
            </w:r>
            <w:r>
              <w:rPr>
                <w:rFonts w:cs="Arial"/>
                <w:sz w:val="14"/>
                <w:szCs w:val="14"/>
              </w:rPr>
              <w:t>,</w:t>
            </w:r>
            <w:r w:rsidRPr="006F1964">
              <w:rPr>
                <w:rFonts w:cs="Arial"/>
                <w:sz w:val="14"/>
                <w:szCs w:val="14"/>
              </w:rPr>
              <w:t>173)</w:t>
            </w:r>
          </w:p>
        </w:tc>
      </w:tr>
      <w:tr w:rsidR="006A362F" w:rsidRPr="00AF47CC" w14:paraId="0DE3C97D"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DD57A9F" w14:textId="77777777" w:rsidR="006A362F" w:rsidRPr="00AF47CC" w:rsidRDefault="006A362F" w:rsidP="006928A6">
            <w:pPr>
              <w:keepNext/>
              <w:keepLines/>
              <w:rPr>
                <w:rFonts w:cs="Arial"/>
                <w:color w:val="000000"/>
                <w:sz w:val="14"/>
                <w:szCs w:val="14"/>
              </w:rPr>
            </w:pPr>
            <w:r>
              <w:rPr>
                <w:rFonts w:cs="Arial"/>
                <w:color w:val="000000"/>
                <w:sz w:val="14"/>
                <w:szCs w:val="14"/>
              </w:rPr>
              <w:t>Liabilities and Equity</w:t>
            </w:r>
          </w:p>
        </w:tc>
        <w:tc>
          <w:tcPr>
            <w:tcW w:w="2622" w:type="dxa"/>
            <w:tcBorders>
              <w:top w:val="nil"/>
              <w:left w:val="nil"/>
              <w:bottom w:val="nil"/>
              <w:right w:val="nil"/>
            </w:tcBorders>
            <w:shd w:val="clear" w:color="auto" w:fill="auto"/>
            <w:vAlign w:val="center"/>
          </w:tcPr>
          <w:p w14:paraId="11CE13AF" w14:textId="77777777" w:rsidR="006A362F" w:rsidRPr="00AF47C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AF47CC">
              <w:rPr>
                <w:rFonts w:cs="Arial"/>
                <w:b/>
                <w:bCs/>
                <w:color w:val="000000"/>
                <w:sz w:val="14"/>
                <w:szCs w:val="14"/>
              </w:rPr>
              <w:t xml:space="preserve">        2</w:t>
            </w:r>
            <w:r>
              <w:rPr>
                <w:rFonts w:cs="Arial"/>
                <w:b/>
                <w:bCs/>
                <w:color w:val="000000"/>
                <w:sz w:val="14"/>
                <w:szCs w:val="14"/>
              </w:rPr>
              <w:t>,</w:t>
            </w:r>
            <w:r w:rsidRPr="00AF47CC">
              <w:rPr>
                <w:rFonts w:cs="Arial"/>
                <w:b/>
                <w:bCs/>
                <w:color w:val="000000"/>
                <w:sz w:val="14"/>
                <w:szCs w:val="14"/>
              </w:rPr>
              <w:t>897</w:t>
            </w:r>
            <w:r>
              <w:rPr>
                <w:rFonts w:cs="Arial"/>
                <w:b/>
                <w:bCs/>
                <w:color w:val="000000"/>
                <w:sz w:val="14"/>
                <w:szCs w:val="14"/>
              </w:rPr>
              <w:t>,</w:t>
            </w:r>
            <w:r w:rsidRPr="00AF47CC">
              <w:rPr>
                <w:rFonts w:cs="Arial"/>
                <w:b/>
                <w:bCs/>
                <w:color w:val="000000"/>
                <w:sz w:val="14"/>
                <w:szCs w:val="14"/>
              </w:rPr>
              <w:t xml:space="preserve">805 </w:t>
            </w:r>
          </w:p>
        </w:tc>
        <w:tc>
          <w:tcPr>
            <w:tcW w:w="2623" w:type="dxa"/>
            <w:tcBorders>
              <w:top w:val="nil"/>
              <w:left w:val="nil"/>
              <w:bottom w:val="nil"/>
              <w:right w:val="nil"/>
            </w:tcBorders>
            <w:shd w:val="clear" w:color="auto" w:fill="auto"/>
            <w:vAlign w:val="center"/>
          </w:tcPr>
          <w:p w14:paraId="29D5E5F6" w14:textId="77777777" w:rsidR="006A362F" w:rsidRPr="00AF47C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3C32ED">
              <w:rPr>
                <w:rFonts w:cs="Arial"/>
                <w:b/>
                <w:bCs/>
                <w:color w:val="000000"/>
                <w:sz w:val="14"/>
                <w:szCs w:val="14"/>
              </w:rPr>
              <w:t>2</w:t>
            </w:r>
            <w:r>
              <w:rPr>
                <w:rFonts w:cs="Arial"/>
                <w:b/>
                <w:bCs/>
                <w:color w:val="000000"/>
                <w:sz w:val="14"/>
                <w:szCs w:val="14"/>
              </w:rPr>
              <w:t>,</w:t>
            </w:r>
            <w:r w:rsidRPr="003C32ED">
              <w:rPr>
                <w:rFonts w:cs="Arial"/>
                <w:b/>
                <w:bCs/>
                <w:color w:val="000000"/>
                <w:sz w:val="14"/>
                <w:szCs w:val="14"/>
              </w:rPr>
              <w:t>743</w:t>
            </w:r>
            <w:r>
              <w:rPr>
                <w:rFonts w:cs="Arial"/>
                <w:b/>
                <w:bCs/>
                <w:color w:val="000000"/>
                <w:sz w:val="14"/>
                <w:szCs w:val="14"/>
              </w:rPr>
              <w:t>,</w:t>
            </w:r>
            <w:r w:rsidRPr="003C32ED">
              <w:rPr>
                <w:rFonts w:cs="Arial"/>
                <w:b/>
                <w:bCs/>
                <w:color w:val="000000"/>
                <w:sz w:val="14"/>
                <w:szCs w:val="14"/>
              </w:rPr>
              <w:t>517</w:t>
            </w:r>
          </w:p>
        </w:tc>
      </w:tr>
      <w:tr w:rsidR="006A362F" w:rsidRPr="00AF47CC" w14:paraId="255C278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76B57FF2" w14:textId="77777777" w:rsidR="006A362F" w:rsidRPr="00AF47CC" w:rsidRDefault="006A362F" w:rsidP="006928A6">
            <w:pPr>
              <w:keepNext/>
              <w:keepLines/>
              <w:rPr>
                <w:rFonts w:cs="Arial"/>
                <w:b w:val="0"/>
                <w:bCs w:val="0"/>
                <w:color w:val="000000"/>
                <w:sz w:val="14"/>
                <w:szCs w:val="14"/>
              </w:rPr>
            </w:pPr>
            <w:r>
              <w:rPr>
                <w:rFonts w:cs="Arial"/>
                <w:sz w:val="14"/>
                <w:szCs w:val="14"/>
              </w:rPr>
              <w:t>Attributable to BB Seguridade</w:t>
            </w:r>
          </w:p>
        </w:tc>
        <w:tc>
          <w:tcPr>
            <w:tcW w:w="2622" w:type="dxa"/>
            <w:tcBorders>
              <w:top w:val="nil"/>
              <w:left w:val="nil"/>
              <w:bottom w:val="nil"/>
              <w:right w:val="nil"/>
            </w:tcBorders>
            <w:shd w:val="clear" w:color="auto" w:fill="auto"/>
            <w:vAlign w:val="center"/>
          </w:tcPr>
          <w:p w14:paraId="2BFA6851" w14:textId="77777777" w:rsidR="006A362F" w:rsidRPr="00AF47CC"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877DC">
              <w:rPr>
                <w:rFonts w:cs="Arial"/>
                <w:b/>
                <w:bCs/>
                <w:color w:val="000000"/>
                <w:sz w:val="14"/>
                <w:szCs w:val="14"/>
              </w:rPr>
              <w:t>2</w:t>
            </w:r>
            <w:r>
              <w:rPr>
                <w:rFonts w:cs="Arial"/>
                <w:b/>
                <w:bCs/>
                <w:color w:val="000000"/>
                <w:sz w:val="14"/>
                <w:szCs w:val="14"/>
              </w:rPr>
              <w:t>,</w:t>
            </w:r>
            <w:r w:rsidRPr="00A877DC">
              <w:rPr>
                <w:rFonts w:cs="Arial"/>
                <w:b/>
                <w:bCs/>
                <w:color w:val="000000"/>
                <w:sz w:val="14"/>
                <w:szCs w:val="14"/>
              </w:rPr>
              <w:t>172</w:t>
            </w:r>
            <w:r>
              <w:rPr>
                <w:rFonts w:cs="Arial"/>
                <w:b/>
                <w:bCs/>
                <w:color w:val="000000"/>
                <w:sz w:val="14"/>
                <w:szCs w:val="14"/>
              </w:rPr>
              <w:t>,</w:t>
            </w:r>
            <w:r w:rsidRPr="00A877DC">
              <w:rPr>
                <w:rFonts w:cs="Arial"/>
                <w:b/>
                <w:bCs/>
                <w:color w:val="000000"/>
                <w:sz w:val="14"/>
                <w:szCs w:val="14"/>
              </w:rPr>
              <w:t>91</w:t>
            </w:r>
            <w:r>
              <w:rPr>
                <w:rFonts w:cs="Arial"/>
                <w:b/>
                <w:bCs/>
                <w:color w:val="000000"/>
                <w:sz w:val="14"/>
                <w:szCs w:val="14"/>
              </w:rPr>
              <w:t>8</w:t>
            </w:r>
          </w:p>
        </w:tc>
        <w:tc>
          <w:tcPr>
            <w:tcW w:w="2623" w:type="dxa"/>
            <w:tcBorders>
              <w:top w:val="nil"/>
              <w:left w:val="nil"/>
              <w:bottom w:val="nil"/>
              <w:right w:val="nil"/>
            </w:tcBorders>
            <w:shd w:val="clear" w:color="auto" w:fill="auto"/>
            <w:vAlign w:val="center"/>
          </w:tcPr>
          <w:p w14:paraId="4080B994" w14:textId="77777777" w:rsidR="006A362F" w:rsidRPr="00AF47CC"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3C32ED">
              <w:rPr>
                <w:rFonts w:cs="Arial"/>
                <w:b/>
                <w:bCs/>
                <w:color w:val="000000"/>
                <w:sz w:val="14"/>
                <w:szCs w:val="14"/>
              </w:rPr>
              <w:t>2</w:t>
            </w:r>
            <w:r>
              <w:rPr>
                <w:rFonts w:cs="Arial"/>
                <w:b/>
                <w:bCs/>
                <w:color w:val="000000"/>
                <w:sz w:val="14"/>
                <w:szCs w:val="14"/>
              </w:rPr>
              <w:t>,</w:t>
            </w:r>
            <w:r w:rsidRPr="003C32ED">
              <w:rPr>
                <w:rFonts w:cs="Arial"/>
                <w:b/>
                <w:bCs/>
                <w:color w:val="000000"/>
                <w:sz w:val="14"/>
                <w:szCs w:val="14"/>
              </w:rPr>
              <w:t>057</w:t>
            </w:r>
            <w:r>
              <w:rPr>
                <w:rFonts w:cs="Arial"/>
                <w:b/>
                <w:bCs/>
                <w:color w:val="000000"/>
                <w:sz w:val="14"/>
                <w:szCs w:val="14"/>
              </w:rPr>
              <w:t>,</w:t>
            </w:r>
            <w:r w:rsidRPr="003C32ED">
              <w:rPr>
                <w:rFonts w:cs="Arial"/>
                <w:b/>
                <w:bCs/>
                <w:color w:val="000000"/>
                <w:sz w:val="14"/>
                <w:szCs w:val="14"/>
              </w:rPr>
              <w:t>232</w:t>
            </w:r>
          </w:p>
        </w:tc>
      </w:tr>
      <w:tr w:rsidR="006A362F" w:rsidRPr="00A877DC" w14:paraId="5F57BFA0"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B661C52" w14:textId="77777777" w:rsidR="006A362F" w:rsidRPr="00A877DC" w:rsidRDefault="006A362F" w:rsidP="006928A6">
            <w:pPr>
              <w:keepNext/>
              <w:keepLines/>
              <w:spacing w:before="40" w:after="40"/>
              <w:ind w:left="113"/>
              <w:rPr>
                <w:rFonts w:cs="Arial"/>
                <w:b w:val="0"/>
                <w:bCs w:val="0"/>
                <w:color w:val="000000"/>
                <w:sz w:val="14"/>
                <w:szCs w:val="14"/>
              </w:rPr>
            </w:pPr>
            <w:r w:rsidRPr="00142668">
              <w:rPr>
                <w:rFonts w:cs="Arial"/>
                <w:b w:val="0"/>
                <w:bCs w:val="0"/>
                <w:color w:val="000000"/>
                <w:sz w:val="14"/>
                <w:szCs w:val="14"/>
              </w:rPr>
              <w:t xml:space="preserve">Intangible </w:t>
            </w:r>
            <w:r w:rsidRPr="005B5C95">
              <w:rPr>
                <w:rFonts w:cs="Arial"/>
                <w:b w:val="0"/>
                <w:bCs w:val="0"/>
                <w:color w:val="000000"/>
                <w:sz w:val="14"/>
                <w:szCs w:val="14"/>
                <w:vertAlign w:val="superscript"/>
              </w:rPr>
              <w:t>(1)</w:t>
            </w:r>
          </w:p>
        </w:tc>
        <w:tc>
          <w:tcPr>
            <w:tcW w:w="2622" w:type="dxa"/>
            <w:tcBorders>
              <w:top w:val="nil"/>
              <w:left w:val="nil"/>
              <w:bottom w:val="nil"/>
              <w:right w:val="nil"/>
            </w:tcBorders>
            <w:shd w:val="clear" w:color="auto" w:fill="auto"/>
            <w:vAlign w:val="center"/>
          </w:tcPr>
          <w:p w14:paraId="7759564B" w14:textId="77777777" w:rsidR="006A362F" w:rsidRPr="00A877D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877DC">
              <w:rPr>
                <w:rFonts w:cs="Arial"/>
                <w:sz w:val="14"/>
                <w:szCs w:val="14"/>
              </w:rPr>
              <w:t xml:space="preserve"> 491</w:t>
            </w:r>
            <w:r>
              <w:rPr>
                <w:rFonts w:cs="Arial"/>
                <w:sz w:val="14"/>
                <w:szCs w:val="14"/>
              </w:rPr>
              <w:t>,</w:t>
            </w:r>
            <w:r w:rsidRPr="00A877DC">
              <w:rPr>
                <w:rFonts w:cs="Arial"/>
                <w:sz w:val="14"/>
                <w:szCs w:val="14"/>
              </w:rPr>
              <w:t xml:space="preserve">434 </w:t>
            </w:r>
          </w:p>
        </w:tc>
        <w:tc>
          <w:tcPr>
            <w:tcW w:w="2623" w:type="dxa"/>
            <w:tcBorders>
              <w:top w:val="nil"/>
              <w:left w:val="nil"/>
              <w:bottom w:val="nil"/>
              <w:right w:val="nil"/>
            </w:tcBorders>
            <w:shd w:val="clear" w:color="auto" w:fill="auto"/>
            <w:vAlign w:val="center"/>
          </w:tcPr>
          <w:p w14:paraId="395079A7" w14:textId="77777777" w:rsidR="006A362F" w:rsidRPr="00A877D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877DC">
              <w:rPr>
                <w:rFonts w:cs="Arial"/>
                <w:sz w:val="14"/>
                <w:szCs w:val="14"/>
              </w:rPr>
              <w:t xml:space="preserve"> 495</w:t>
            </w:r>
            <w:r>
              <w:rPr>
                <w:rFonts w:cs="Arial"/>
                <w:sz w:val="14"/>
                <w:szCs w:val="14"/>
              </w:rPr>
              <w:t>,</w:t>
            </w:r>
            <w:r w:rsidRPr="00A877DC">
              <w:rPr>
                <w:rFonts w:cs="Arial"/>
                <w:sz w:val="14"/>
                <w:szCs w:val="14"/>
              </w:rPr>
              <w:t xml:space="preserve">285 </w:t>
            </w:r>
          </w:p>
        </w:tc>
      </w:tr>
      <w:tr w:rsidR="006A362F" w:rsidRPr="004B635B" w14:paraId="5FBB441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4E79" w:themeColor="accent1" w:themeShade="80"/>
              <w:right w:val="nil"/>
            </w:tcBorders>
            <w:shd w:val="clear" w:color="auto" w:fill="auto"/>
            <w:vAlign w:val="center"/>
          </w:tcPr>
          <w:p w14:paraId="445F53A9" w14:textId="77777777" w:rsidR="006A362F" w:rsidRPr="004B635B" w:rsidRDefault="006A362F" w:rsidP="006928A6">
            <w:pPr>
              <w:keepNext/>
              <w:keepLines/>
              <w:rPr>
                <w:rFonts w:cs="Arial"/>
                <w:color w:val="000000"/>
                <w:sz w:val="14"/>
                <w:szCs w:val="14"/>
              </w:rPr>
            </w:pPr>
            <w:r>
              <w:rPr>
                <w:rFonts w:cs="Arial"/>
                <w:sz w:val="14"/>
                <w:szCs w:val="14"/>
              </w:rPr>
              <w:t>Investment balance</w:t>
            </w:r>
          </w:p>
        </w:tc>
        <w:tc>
          <w:tcPr>
            <w:tcW w:w="2622" w:type="dxa"/>
            <w:tcBorders>
              <w:top w:val="nil"/>
              <w:left w:val="nil"/>
              <w:bottom w:val="single" w:sz="2" w:space="0" w:color="1F4E79" w:themeColor="accent1" w:themeShade="80"/>
              <w:right w:val="nil"/>
            </w:tcBorders>
            <w:shd w:val="clear" w:color="auto" w:fill="auto"/>
            <w:vAlign w:val="center"/>
          </w:tcPr>
          <w:p w14:paraId="181961E0" w14:textId="77777777" w:rsidR="006A362F" w:rsidRPr="004B635B"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4B635B">
              <w:rPr>
                <w:rFonts w:cs="Arial"/>
                <w:b/>
                <w:bCs/>
                <w:sz w:val="14"/>
                <w:szCs w:val="14"/>
              </w:rPr>
              <w:t xml:space="preserve"> 2</w:t>
            </w:r>
            <w:r>
              <w:rPr>
                <w:rFonts w:cs="Arial"/>
                <w:b/>
                <w:bCs/>
                <w:sz w:val="14"/>
                <w:szCs w:val="14"/>
              </w:rPr>
              <w:t>,</w:t>
            </w:r>
            <w:r w:rsidRPr="004B635B">
              <w:rPr>
                <w:rFonts w:cs="Arial"/>
                <w:b/>
                <w:bCs/>
                <w:sz w:val="14"/>
                <w:szCs w:val="14"/>
              </w:rPr>
              <w:t>664</w:t>
            </w:r>
            <w:r>
              <w:rPr>
                <w:rFonts w:cs="Arial"/>
                <w:b/>
                <w:bCs/>
                <w:sz w:val="14"/>
                <w:szCs w:val="14"/>
              </w:rPr>
              <w:t>,</w:t>
            </w:r>
            <w:r w:rsidRPr="004B635B">
              <w:rPr>
                <w:rFonts w:cs="Arial"/>
                <w:b/>
                <w:bCs/>
                <w:sz w:val="14"/>
                <w:szCs w:val="14"/>
              </w:rPr>
              <w:t>35</w:t>
            </w:r>
            <w:r>
              <w:rPr>
                <w:rFonts w:cs="Arial"/>
                <w:b/>
                <w:bCs/>
                <w:sz w:val="14"/>
                <w:szCs w:val="14"/>
              </w:rPr>
              <w:t>2</w:t>
            </w:r>
            <w:r w:rsidRPr="004B635B">
              <w:rPr>
                <w:rFonts w:cs="Arial"/>
                <w:b/>
                <w:bCs/>
                <w:sz w:val="14"/>
                <w:szCs w:val="14"/>
              </w:rPr>
              <w:t xml:space="preserve"> </w:t>
            </w:r>
          </w:p>
        </w:tc>
        <w:tc>
          <w:tcPr>
            <w:tcW w:w="2623" w:type="dxa"/>
            <w:tcBorders>
              <w:top w:val="nil"/>
              <w:left w:val="nil"/>
              <w:bottom w:val="single" w:sz="2" w:space="0" w:color="1F4E79" w:themeColor="accent1" w:themeShade="80"/>
              <w:right w:val="nil"/>
            </w:tcBorders>
            <w:shd w:val="clear" w:color="auto" w:fill="auto"/>
            <w:vAlign w:val="center"/>
          </w:tcPr>
          <w:p w14:paraId="20CC7BEF" w14:textId="77777777" w:rsidR="006A362F" w:rsidRPr="004B635B"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4B635B">
              <w:rPr>
                <w:rFonts w:cs="Arial"/>
                <w:b/>
                <w:bCs/>
                <w:sz w:val="14"/>
                <w:szCs w:val="14"/>
              </w:rPr>
              <w:t xml:space="preserve"> 2</w:t>
            </w:r>
            <w:r>
              <w:rPr>
                <w:rFonts w:cs="Arial"/>
                <w:b/>
                <w:bCs/>
                <w:sz w:val="14"/>
                <w:szCs w:val="14"/>
              </w:rPr>
              <w:t>,</w:t>
            </w:r>
            <w:r w:rsidRPr="004B635B">
              <w:rPr>
                <w:rFonts w:cs="Arial"/>
                <w:b/>
                <w:bCs/>
                <w:sz w:val="14"/>
                <w:szCs w:val="14"/>
              </w:rPr>
              <w:t>552</w:t>
            </w:r>
            <w:r>
              <w:rPr>
                <w:rFonts w:cs="Arial"/>
                <w:b/>
                <w:bCs/>
                <w:sz w:val="14"/>
                <w:szCs w:val="14"/>
              </w:rPr>
              <w:t>,</w:t>
            </w:r>
            <w:r w:rsidRPr="004B635B">
              <w:rPr>
                <w:rFonts w:cs="Arial"/>
                <w:b/>
                <w:bCs/>
                <w:sz w:val="14"/>
                <w:szCs w:val="14"/>
              </w:rPr>
              <w:t xml:space="preserve">517 </w:t>
            </w:r>
          </w:p>
        </w:tc>
      </w:tr>
    </w:tbl>
    <w:p w14:paraId="2E2FC5AD" w14:textId="77777777" w:rsidR="006A362F" w:rsidRPr="00196D50" w:rsidRDefault="006A362F" w:rsidP="006A362F">
      <w:pPr>
        <w:numPr>
          <w:ilvl w:val="0"/>
          <w:numId w:val="23"/>
        </w:numPr>
        <w:spacing w:line="257" w:lineRule="auto"/>
        <w:contextualSpacing/>
        <w:jc w:val="both"/>
        <w:rPr>
          <w:rFonts w:eastAsia="Times New Roman" w:cs="Times New Roman"/>
          <w:spacing w:val="-2"/>
          <w:sz w:val="14"/>
          <w:szCs w:val="18"/>
          <w:lang w:val="en-US" w:eastAsia="pt-BR"/>
        </w:rPr>
      </w:pPr>
      <w:r w:rsidRPr="00196D50">
        <w:rPr>
          <w:rFonts w:eastAsia="Times New Roman" w:cs="Times New Roman"/>
          <w:spacing w:val="-2"/>
          <w:sz w:val="14"/>
          <w:szCs w:val="18"/>
          <w:lang w:val="en-US" w:eastAsia="pt-BR"/>
        </w:rPr>
        <w:t>Includes in the book value of the investment, intangible assets with a defined useful life in the amount net of amortizations of R$ 152,430 thousand (R$ 156,281 thousand on Dec 31, 2022) and intangible assets with an indefinite useful life in the amount of R$ 339,004 thousand arising from of the partnership agreement with the MAPFRE Group.</w:t>
      </w:r>
    </w:p>
    <w:p w14:paraId="79BF54D6" w14:textId="77777777" w:rsidR="006A362F" w:rsidRPr="00196D50" w:rsidRDefault="006A362F" w:rsidP="00076945">
      <w:pPr>
        <w:keepNext/>
        <w:keepLines/>
        <w:spacing w:after="0" w:line="240" w:lineRule="auto"/>
        <w:rPr>
          <w:rFonts w:eastAsia="Times New Roman" w:cs="Arial"/>
          <w:spacing w:val="-2"/>
          <w:szCs w:val="20"/>
          <w:highlight w:val="yellow"/>
          <w:lang w:val="en-US" w:eastAsia="zh-CN"/>
        </w:rPr>
      </w:pPr>
    </w:p>
    <w:p w14:paraId="3C269186" w14:textId="77777777" w:rsidR="006A362F"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lastRenderedPageBreak/>
        <w:t>Brasilseg Companhia de Seguros S.A. (Brasilseg)</w:t>
      </w:r>
    </w:p>
    <w:p w14:paraId="2EA99E38"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3C278A55" w14:textId="77777777" w:rsidR="006A362F" w:rsidRPr="003222DA" w:rsidRDefault="006A362F" w:rsidP="00076945">
      <w:pPr>
        <w:jc w:val="both"/>
        <w:rPr>
          <w:rFonts w:eastAsia="Times New Roman" w:cs="Arial"/>
          <w:kern w:val="20"/>
          <w:szCs w:val="20"/>
          <w:lang w:val="en-US" w:eastAsia="pt-BR"/>
        </w:rPr>
      </w:pPr>
      <w:r w:rsidRPr="003222DA">
        <w:rPr>
          <w:rFonts w:eastAsia="Times New Roman" w:cs="Arial"/>
          <w:kern w:val="20"/>
          <w:szCs w:val="20"/>
          <w:lang w:val="en-US" w:eastAsia="pt-BR"/>
        </w:rPr>
        <w:t>Brasilseg evaluated the set of insurance and reinsurance contracts that, due to the characteristics described below, can be treated as a single contract (portfolios).</w:t>
      </w:r>
    </w:p>
    <w:tbl>
      <w:tblPr>
        <w:tblW w:w="9639" w:type="dxa"/>
        <w:tblBorders>
          <w:top w:val="single" w:sz="2" w:space="0" w:color="44546A" w:themeColor="text2"/>
          <w:bottom w:val="single" w:sz="2" w:space="0" w:color="44546A" w:themeColor="text2"/>
        </w:tblBorders>
        <w:tblLook w:val="04A0" w:firstRow="1" w:lastRow="0" w:firstColumn="1" w:lastColumn="0" w:noHBand="0" w:noVBand="1"/>
      </w:tblPr>
      <w:tblGrid>
        <w:gridCol w:w="2296"/>
        <w:gridCol w:w="5328"/>
        <w:gridCol w:w="2015"/>
      </w:tblGrid>
      <w:tr w:rsidR="006A362F" w:rsidRPr="009E6042" w14:paraId="465E03C4" w14:textId="77777777" w:rsidTr="00A263A7">
        <w:trPr>
          <w:trHeight w:val="170"/>
        </w:trPr>
        <w:tc>
          <w:tcPr>
            <w:tcW w:w="1191" w:type="pct"/>
            <w:tcBorders>
              <w:top w:val="single" w:sz="2" w:space="0" w:color="44546A" w:themeColor="text2"/>
              <w:bottom w:val="single" w:sz="2" w:space="0" w:color="44546A" w:themeColor="text2"/>
            </w:tcBorders>
            <w:vAlign w:val="center"/>
          </w:tcPr>
          <w:p w14:paraId="53F2BD5D" w14:textId="77777777" w:rsidR="006A362F" w:rsidRPr="009E6042" w:rsidRDefault="006A362F" w:rsidP="00A263A7">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Portfolios</w:t>
            </w:r>
          </w:p>
        </w:tc>
        <w:tc>
          <w:tcPr>
            <w:tcW w:w="2764" w:type="pct"/>
            <w:tcBorders>
              <w:top w:val="single" w:sz="2" w:space="0" w:color="44546A" w:themeColor="text2"/>
              <w:bottom w:val="single" w:sz="2" w:space="0" w:color="44546A" w:themeColor="text2"/>
            </w:tcBorders>
            <w:vAlign w:val="center"/>
          </w:tcPr>
          <w:p w14:paraId="22577480" w14:textId="77777777" w:rsidR="006A362F" w:rsidRPr="009E6042" w:rsidRDefault="006A362F" w:rsidP="00A263A7">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D</w:t>
            </w:r>
            <w:r w:rsidRPr="00811964">
              <w:rPr>
                <w:rFonts w:eastAsia="Times New Roman" w:cs="Arial"/>
                <w:b/>
                <w:snapToGrid w:val="0"/>
                <w:sz w:val="14"/>
                <w:szCs w:val="14"/>
                <w:lang w:val="es-ES" w:eastAsia="pt-BR"/>
              </w:rPr>
              <w:t>escription</w:t>
            </w:r>
          </w:p>
        </w:tc>
        <w:tc>
          <w:tcPr>
            <w:tcW w:w="1045" w:type="pct"/>
            <w:tcBorders>
              <w:top w:val="single" w:sz="2" w:space="0" w:color="44546A" w:themeColor="text2"/>
              <w:bottom w:val="single" w:sz="2" w:space="0" w:color="44546A" w:themeColor="text2"/>
            </w:tcBorders>
            <w:vAlign w:val="center"/>
          </w:tcPr>
          <w:p w14:paraId="101D1291" w14:textId="77777777" w:rsidR="006A362F" w:rsidRPr="009E6042" w:rsidRDefault="006A362F" w:rsidP="00A263A7">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M</w:t>
            </w:r>
            <w:r w:rsidRPr="00811964">
              <w:rPr>
                <w:rFonts w:eastAsia="Times New Roman" w:cs="Arial"/>
                <w:b/>
                <w:snapToGrid w:val="0"/>
                <w:sz w:val="14"/>
                <w:szCs w:val="14"/>
                <w:lang w:val="es-ES" w:eastAsia="pt-BR"/>
              </w:rPr>
              <w:t xml:space="preserve">easurement model </w:t>
            </w:r>
            <w:r w:rsidRPr="006C77C2">
              <w:rPr>
                <w:rFonts w:eastAsia="Times New Roman" w:cs="Arial"/>
                <w:b/>
                <w:snapToGrid w:val="0"/>
                <w:sz w:val="14"/>
                <w:szCs w:val="14"/>
                <w:vertAlign w:val="superscript"/>
                <w:lang w:val="es-ES" w:eastAsia="pt-BR"/>
              </w:rPr>
              <w:t>(1)</w:t>
            </w:r>
          </w:p>
        </w:tc>
      </w:tr>
      <w:tr w:rsidR="006A362F" w:rsidRPr="009E6042" w14:paraId="25A5FDBC" w14:textId="77777777" w:rsidTr="006928A6">
        <w:trPr>
          <w:trHeight w:val="170"/>
        </w:trPr>
        <w:tc>
          <w:tcPr>
            <w:tcW w:w="1191" w:type="pct"/>
            <w:tcBorders>
              <w:top w:val="single" w:sz="2" w:space="0" w:color="44546A" w:themeColor="text2"/>
            </w:tcBorders>
          </w:tcPr>
          <w:p w14:paraId="1FC34DCC"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142668">
              <w:rPr>
                <w:rFonts w:eastAsia="Times New Roman" w:cs="Arial"/>
                <w:bCs/>
                <w:snapToGrid w:val="0"/>
                <w:sz w:val="14"/>
                <w:szCs w:val="14"/>
                <w:lang w:val="es-ES" w:eastAsia="pt-BR"/>
              </w:rPr>
              <w:t>Annual Risk (TAR)</w:t>
            </w:r>
          </w:p>
        </w:tc>
        <w:tc>
          <w:tcPr>
            <w:tcW w:w="2764" w:type="pct"/>
            <w:tcBorders>
              <w:top w:val="single" w:sz="2" w:space="0" w:color="44546A" w:themeColor="text2"/>
            </w:tcBorders>
          </w:tcPr>
          <w:p w14:paraId="228C4B8D"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142668">
              <w:rPr>
                <w:rFonts w:eastAsia="Times New Roman" w:cs="Arial"/>
                <w:bCs/>
                <w:snapToGrid w:val="0"/>
                <w:sz w:val="14"/>
                <w:szCs w:val="14"/>
                <w:lang w:val="es-ES" w:eastAsia="pt-BR"/>
              </w:rPr>
              <w:t>imilar characteristics and operations that present life products with short-term duration and duration equal to or less than one year.</w:t>
            </w:r>
          </w:p>
        </w:tc>
        <w:tc>
          <w:tcPr>
            <w:tcW w:w="1045" w:type="pct"/>
            <w:tcBorders>
              <w:top w:val="single" w:sz="2" w:space="0" w:color="44546A" w:themeColor="text2"/>
            </w:tcBorders>
          </w:tcPr>
          <w:p w14:paraId="7B3B1BCA"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eastAsia="pt-BR"/>
              </w:rPr>
            </w:pPr>
            <w:r w:rsidRPr="009E6042">
              <w:rPr>
                <w:rFonts w:eastAsia="Times New Roman" w:cs="Arial"/>
                <w:bCs/>
                <w:snapToGrid w:val="0"/>
                <w:sz w:val="14"/>
                <w:szCs w:val="14"/>
                <w:lang w:val="es-ES" w:eastAsia="pt-BR"/>
              </w:rPr>
              <w:t>PAA</w:t>
            </w:r>
          </w:p>
        </w:tc>
      </w:tr>
      <w:tr w:rsidR="006A362F" w:rsidRPr="009E6042" w14:paraId="3DF13FC3" w14:textId="77777777" w:rsidTr="006928A6">
        <w:trPr>
          <w:trHeight w:val="170"/>
        </w:trPr>
        <w:tc>
          <w:tcPr>
            <w:tcW w:w="1191" w:type="pct"/>
          </w:tcPr>
          <w:p w14:paraId="6C03D7C2" w14:textId="77777777" w:rsidR="006A362F" w:rsidRPr="009E6042" w:rsidRDefault="006A362F" w:rsidP="006928A6">
            <w:pPr>
              <w:widowControl w:val="0"/>
              <w:spacing w:after="120" w:line="240" w:lineRule="auto"/>
              <w:ind w:left="57"/>
              <w:rPr>
                <w:rFonts w:eastAsia="Times New Roman" w:cs="Arial"/>
                <w:bCs/>
                <w:snapToGrid w:val="0"/>
                <w:sz w:val="14"/>
                <w:szCs w:val="14"/>
                <w:highlight w:val="green"/>
                <w:lang w:val="es-ES" w:eastAsia="pt-BR"/>
              </w:rPr>
            </w:pPr>
            <w:r w:rsidRPr="00142668">
              <w:rPr>
                <w:rFonts w:eastAsia="Times New Roman" w:cs="Arial"/>
                <w:bCs/>
                <w:snapToGrid w:val="0"/>
                <w:sz w:val="14"/>
                <w:szCs w:val="14"/>
                <w:lang w:val="es-ES" w:eastAsia="pt-BR"/>
              </w:rPr>
              <w:t>Annual Risk (TAR) - Onerous</w:t>
            </w:r>
          </w:p>
        </w:tc>
        <w:tc>
          <w:tcPr>
            <w:tcW w:w="2764" w:type="pct"/>
          </w:tcPr>
          <w:p w14:paraId="6A790BBC" w14:textId="77777777" w:rsidR="006A362F" w:rsidRPr="009E6042" w:rsidRDefault="006A362F" w:rsidP="006928A6">
            <w:pPr>
              <w:widowControl w:val="0"/>
              <w:spacing w:after="120" w:line="240" w:lineRule="auto"/>
              <w:ind w:left="57"/>
              <w:rPr>
                <w:rFonts w:eastAsia="Times New Roman" w:cs="Arial"/>
                <w:bCs/>
                <w:snapToGrid w:val="0"/>
                <w:sz w:val="14"/>
                <w:szCs w:val="14"/>
                <w:highlight w:val="green"/>
                <w:lang w:val="es-ES" w:eastAsia="pt-BR"/>
              </w:rPr>
            </w:pPr>
            <w:r w:rsidRPr="00142668">
              <w:rPr>
                <w:rFonts w:eastAsia="Times New Roman" w:cs="Arial"/>
                <w:bCs/>
                <w:snapToGrid w:val="0"/>
                <w:sz w:val="14"/>
                <w:szCs w:val="14"/>
                <w:lang w:val="es-ES" w:eastAsia="pt-BR"/>
              </w:rPr>
              <w:t>Concerning the Ouro Vida Antigo and Ouro Vida Revisado products that are in deficit.</w:t>
            </w:r>
          </w:p>
        </w:tc>
        <w:tc>
          <w:tcPr>
            <w:tcW w:w="1045" w:type="pct"/>
          </w:tcPr>
          <w:p w14:paraId="40C4189E"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6A362F" w:rsidRPr="009E6042" w14:paraId="2F405E28" w14:textId="77777777" w:rsidTr="006928A6">
        <w:trPr>
          <w:trHeight w:val="170"/>
        </w:trPr>
        <w:tc>
          <w:tcPr>
            <w:tcW w:w="1191" w:type="pct"/>
          </w:tcPr>
          <w:p w14:paraId="6B27F7ED"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142668">
              <w:rPr>
                <w:rFonts w:eastAsia="Times New Roman" w:cs="Arial"/>
                <w:bCs/>
                <w:snapToGrid w:val="0"/>
                <w:sz w:val="14"/>
                <w:szCs w:val="14"/>
                <w:lang w:val="es-ES" w:eastAsia="pt-BR"/>
              </w:rPr>
              <w:t>Non-Immunized Multi-Year Risk</w:t>
            </w:r>
          </w:p>
        </w:tc>
        <w:tc>
          <w:tcPr>
            <w:tcW w:w="2764" w:type="pct"/>
          </w:tcPr>
          <w:p w14:paraId="775F2200"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142668">
              <w:rPr>
                <w:rFonts w:eastAsia="Times New Roman" w:cs="Arial"/>
                <w:bCs/>
                <w:snapToGrid w:val="0"/>
                <w:sz w:val="14"/>
                <w:szCs w:val="14"/>
                <w:lang w:val="es-ES" w:eastAsia="pt-BR"/>
              </w:rPr>
              <w:t>imilar characteristics and operations that feature credit life products with terms longer than one year, mostly linked to the policyholder's loan.</w:t>
            </w:r>
          </w:p>
        </w:tc>
        <w:tc>
          <w:tcPr>
            <w:tcW w:w="1045" w:type="pct"/>
          </w:tcPr>
          <w:p w14:paraId="17A85137"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BBA</w:t>
            </w:r>
          </w:p>
        </w:tc>
      </w:tr>
      <w:tr w:rsidR="006A362F" w:rsidRPr="009E6042" w14:paraId="007F21BF" w14:textId="77777777" w:rsidTr="006928A6">
        <w:trPr>
          <w:trHeight w:val="170"/>
        </w:trPr>
        <w:tc>
          <w:tcPr>
            <w:tcW w:w="1191" w:type="pct"/>
          </w:tcPr>
          <w:p w14:paraId="536900B1"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142668">
              <w:rPr>
                <w:rFonts w:eastAsia="Times New Roman" w:cs="Arial"/>
                <w:bCs/>
                <w:snapToGrid w:val="0"/>
                <w:sz w:val="14"/>
                <w:szCs w:val="14"/>
                <w:lang w:val="es-ES" w:eastAsia="pt-BR"/>
              </w:rPr>
              <w:t>Simple Risk - Housing</w:t>
            </w:r>
          </w:p>
        </w:tc>
        <w:tc>
          <w:tcPr>
            <w:tcW w:w="2764" w:type="pct"/>
          </w:tcPr>
          <w:p w14:paraId="7E4C702C" w14:textId="77777777" w:rsidR="006A362F" w:rsidRPr="009E6042" w:rsidRDefault="006A362F" w:rsidP="006928A6">
            <w:pPr>
              <w:widowControl w:val="0"/>
              <w:spacing w:after="120" w:line="240" w:lineRule="auto"/>
              <w:ind w:left="57"/>
              <w:rPr>
                <w:rFonts w:eastAsia="Times New Roman" w:cs="Arial"/>
                <w:b/>
                <w:bCs/>
                <w:snapToGrid w:val="0"/>
                <w:sz w:val="14"/>
                <w:szCs w:val="14"/>
                <w:lang w:val="es-ES" w:eastAsia="pt-BR"/>
              </w:rPr>
            </w:pPr>
            <w:r>
              <w:rPr>
                <w:rFonts w:eastAsia="Times New Roman" w:cs="Arial"/>
                <w:bCs/>
                <w:snapToGrid w:val="0"/>
                <w:sz w:val="14"/>
                <w:szCs w:val="14"/>
                <w:lang w:val="es-ES" w:eastAsia="pt-BR"/>
              </w:rPr>
              <w:t>S</w:t>
            </w:r>
            <w:r w:rsidRPr="00142668">
              <w:rPr>
                <w:rFonts w:eastAsia="Times New Roman" w:cs="Arial"/>
                <w:bCs/>
                <w:snapToGrid w:val="0"/>
                <w:sz w:val="14"/>
                <w:szCs w:val="14"/>
                <w:lang w:val="es-ES" w:eastAsia="pt-BR"/>
              </w:rPr>
              <w:t>imilar characteristics and operations that present housing products with terms linked to the financing of the property.</w:t>
            </w:r>
          </w:p>
        </w:tc>
        <w:tc>
          <w:tcPr>
            <w:tcW w:w="1045" w:type="pct"/>
          </w:tcPr>
          <w:p w14:paraId="55783B13"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BBA</w:t>
            </w:r>
          </w:p>
        </w:tc>
      </w:tr>
      <w:tr w:rsidR="006A362F" w:rsidRPr="009E6042" w14:paraId="172B8901" w14:textId="77777777" w:rsidTr="006928A6">
        <w:trPr>
          <w:trHeight w:val="170"/>
        </w:trPr>
        <w:tc>
          <w:tcPr>
            <w:tcW w:w="1191" w:type="pct"/>
          </w:tcPr>
          <w:p w14:paraId="283E47B2"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142668">
              <w:rPr>
                <w:rFonts w:eastAsia="Times New Roman" w:cs="Arial"/>
                <w:bCs/>
                <w:snapToGrid w:val="0"/>
                <w:sz w:val="14"/>
                <w:szCs w:val="14"/>
                <w:lang w:val="es-ES" w:eastAsia="pt-BR"/>
              </w:rPr>
              <w:t>Agricultural Insurance and Other Damages</w:t>
            </w:r>
          </w:p>
        </w:tc>
        <w:tc>
          <w:tcPr>
            <w:tcW w:w="2764" w:type="pct"/>
          </w:tcPr>
          <w:p w14:paraId="7851510D"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142668">
              <w:rPr>
                <w:rFonts w:eastAsia="Times New Roman" w:cs="Arial"/>
                <w:bCs/>
                <w:snapToGrid w:val="0"/>
                <w:sz w:val="14"/>
                <w:szCs w:val="14"/>
                <w:lang w:val="es-ES" w:eastAsia="pt-BR"/>
              </w:rPr>
              <w:t>imilar characteristics and operations that are valid for one year.</w:t>
            </w:r>
          </w:p>
        </w:tc>
        <w:tc>
          <w:tcPr>
            <w:tcW w:w="1045" w:type="pct"/>
          </w:tcPr>
          <w:p w14:paraId="629F5FD0"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6A362F" w:rsidRPr="009E6042" w14:paraId="2C29B69D" w14:textId="77777777" w:rsidTr="006928A6">
        <w:trPr>
          <w:trHeight w:val="170"/>
        </w:trPr>
        <w:tc>
          <w:tcPr>
            <w:tcW w:w="1191" w:type="pct"/>
          </w:tcPr>
          <w:p w14:paraId="7C33A80D"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142668">
              <w:rPr>
                <w:rFonts w:eastAsia="Times New Roman" w:cs="Arial"/>
                <w:bCs/>
                <w:snapToGrid w:val="0"/>
                <w:sz w:val="14"/>
                <w:szCs w:val="14"/>
                <w:lang w:val="es-ES" w:eastAsia="pt-BR"/>
              </w:rPr>
              <w:t>Agricultural Insurance and Other Damages - Rural</w:t>
            </w:r>
          </w:p>
        </w:tc>
        <w:tc>
          <w:tcPr>
            <w:tcW w:w="2764" w:type="pct"/>
          </w:tcPr>
          <w:p w14:paraId="64C2FFDE"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142668">
              <w:rPr>
                <w:rFonts w:eastAsia="Times New Roman" w:cs="Arial"/>
                <w:bCs/>
                <w:snapToGrid w:val="0"/>
                <w:sz w:val="14"/>
                <w:szCs w:val="14"/>
                <w:lang w:val="es-ES" w:eastAsia="pt-BR"/>
              </w:rPr>
              <w:t>imilar characteristics and operations that mostly feature rural products with catastrophe coverage, and durations of one year.</w:t>
            </w:r>
          </w:p>
        </w:tc>
        <w:tc>
          <w:tcPr>
            <w:tcW w:w="1045" w:type="pct"/>
          </w:tcPr>
          <w:p w14:paraId="27DEDF50"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6A362F" w:rsidRPr="009E6042" w14:paraId="2B9EE67E" w14:textId="77777777" w:rsidTr="006928A6">
        <w:trPr>
          <w:trHeight w:val="170"/>
        </w:trPr>
        <w:tc>
          <w:tcPr>
            <w:tcW w:w="1191" w:type="pct"/>
          </w:tcPr>
          <w:p w14:paraId="574F6180"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142668">
              <w:rPr>
                <w:rFonts w:eastAsia="Times New Roman" w:cs="Arial"/>
                <w:bCs/>
                <w:snapToGrid w:val="0"/>
                <w:sz w:val="14"/>
                <w:szCs w:val="14"/>
                <w:lang w:val="es-ES" w:eastAsia="pt-BR"/>
              </w:rPr>
              <w:t>Agricultural Insurance and Other Damages - Life</w:t>
            </w:r>
          </w:p>
        </w:tc>
        <w:tc>
          <w:tcPr>
            <w:tcW w:w="2764" w:type="pct"/>
          </w:tcPr>
          <w:p w14:paraId="1B5C5BBF"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142668">
              <w:rPr>
                <w:rFonts w:eastAsia="Times New Roman" w:cs="Arial"/>
                <w:bCs/>
                <w:snapToGrid w:val="0"/>
                <w:sz w:val="14"/>
                <w:szCs w:val="14"/>
                <w:lang w:val="es-ES" w:eastAsia="pt-BR"/>
              </w:rPr>
              <w:t>imilar characteristics and operations that mostly feature rural products with death coverage, and durations of one year.</w:t>
            </w:r>
          </w:p>
        </w:tc>
        <w:tc>
          <w:tcPr>
            <w:tcW w:w="1045" w:type="pct"/>
          </w:tcPr>
          <w:p w14:paraId="4138659C"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bl>
    <w:p w14:paraId="09FD3AEE" w14:textId="77777777" w:rsidR="006A362F" w:rsidRPr="00211752" w:rsidRDefault="006A362F" w:rsidP="006A362F">
      <w:pPr>
        <w:pStyle w:val="PargrafodaLista"/>
        <w:numPr>
          <w:ilvl w:val="0"/>
          <w:numId w:val="37"/>
        </w:numPr>
        <w:spacing w:after="0" w:line="240" w:lineRule="auto"/>
        <w:rPr>
          <w:rFonts w:ascii="Arial" w:eastAsia="Times New Roman" w:hAnsi="Arial" w:cs="Times New Roman"/>
          <w:bCs/>
          <w:spacing w:val="-2"/>
          <w:sz w:val="14"/>
          <w:szCs w:val="16"/>
          <w:lang w:val="en-US" w:eastAsia="pt-BR"/>
        </w:rPr>
      </w:pPr>
      <w:r w:rsidRPr="00211752">
        <w:rPr>
          <w:rFonts w:ascii="Arial" w:eastAsia="Times New Roman" w:hAnsi="Arial" w:cs="Times New Roman"/>
          <w:bCs/>
          <w:spacing w:val="-2"/>
          <w:sz w:val="14"/>
          <w:szCs w:val="16"/>
          <w:lang w:val="en-US" w:eastAsia="pt-BR"/>
        </w:rPr>
        <w:t xml:space="preserve">BBA - </w:t>
      </w:r>
      <w:r w:rsidRPr="00211752">
        <w:rPr>
          <w:rFonts w:ascii="Arial" w:eastAsia="Times New Roman" w:hAnsi="Arial" w:cs="Times New Roman"/>
          <w:bCs/>
          <w:i/>
          <w:iCs/>
          <w:spacing w:val="-2"/>
          <w:sz w:val="14"/>
          <w:szCs w:val="16"/>
          <w:lang w:val="en-US" w:eastAsia="pt-BR"/>
        </w:rPr>
        <w:t xml:space="preserve">Building Block Approach </w:t>
      </w:r>
      <w:r w:rsidRPr="00211752">
        <w:rPr>
          <w:rFonts w:ascii="Arial" w:eastAsia="Times New Roman" w:hAnsi="Arial" w:cs="Times New Roman"/>
          <w:bCs/>
          <w:spacing w:val="-2"/>
          <w:sz w:val="14"/>
          <w:szCs w:val="16"/>
          <w:lang w:val="en-US" w:eastAsia="pt-BR"/>
        </w:rPr>
        <w:t>and PAA</w:t>
      </w:r>
      <w:r w:rsidRPr="00211752">
        <w:rPr>
          <w:lang w:val="en-US"/>
        </w:rPr>
        <w:t xml:space="preserve"> - </w:t>
      </w:r>
      <w:r w:rsidRPr="00211752">
        <w:rPr>
          <w:rFonts w:ascii="Arial" w:eastAsia="Times New Roman" w:hAnsi="Arial" w:cs="Times New Roman"/>
          <w:bCs/>
          <w:i/>
          <w:iCs/>
          <w:spacing w:val="-2"/>
          <w:sz w:val="14"/>
          <w:szCs w:val="16"/>
          <w:lang w:val="en-US" w:eastAsia="pt-BR"/>
        </w:rPr>
        <w:t>Premium Allocation Approach</w:t>
      </w:r>
      <w:r w:rsidRPr="00211752">
        <w:rPr>
          <w:rFonts w:ascii="Arial" w:eastAsia="Times New Roman" w:hAnsi="Arial" w:cs="Times New Roman"/>
          <w:bCs/>
          <w:spacing w:val="-2"/>
          <w:sz w:val="14"/>
          <w:szCs w:val="16"/>
          <w:lang w:val="en-US" w:eastAsia="pt-BR"/>
        </w:rPr>
        <w:t>.</w:t>
      </w:r>
    </w:p>
    <w:p w14:paraId="52CA770E" w14:textId="77777777" w:rsidR="006A362F" w:rsidRPr="00211752" w:rsidRDefault="006A362F" w:rsidP="00076945">
      <w:pPr>
        <w:keepNext/>
        <w:keepLines/>
        <w:spacing w:after="0" w:line="240" w:lineRule="auto"/>
        <w:rPr>
          <w:rFonts w:eastAsia="Times New Roman" w:cs="Times New Roman"/>
          <w:b/>
          <w:color w:val="1F4E79" w:themeColor="accent1" w:themeShade="80"/>
          <w:spacing w:val="-2"/>
          <w:szCs w:val="20"/>
          <w:lang w:val="en-US" w:eastAsia="pt-BR"/>
        </w:rPr>
      </w:pPr>
    </w:p>
    <w:p w14:paraId="3C462F93" w14:textId="77777777" w:rsidR="006A362F" w:rsidRPr="003222DA" w:rsidRDefault="006A362F" w:rsidP="00076945">
      <w:pPr>
        <w:jc w:val="both"/>
        <w:rPr>
          <w:rFonts w:eastAsia="Times New Roman" w:cs="Arial"/>
          <w:kern w:val="20"/>
          <w:szCs w:val="20"/>
          <w:lang w:val="en-US" w:eastAsia="pt-BR"/>
        </w:rPr>
      </w:pPr>
      <w:r w:rsidRPr="003222DA">
        <w:rPr>
          <w:rFonts w:eastAsia="Times New Roman" w:cs="Arial"/>
          <w:kern w:val="20"/>
          <w:szCs w:val="20"/>
          <w:lang w:val="en-US" w:eastAsia="pt-BR"/>
        </w:rPr>
        <w:t>The Company recognized the contracts that present a loss component as onerous and, therefore, recognized the corresponding loss that impacted shareholders' equity in the transition, related to the Ouro Vida Antigo and Ouro Vida Revisado products. These products are blocked for new sales.</w:t>
      </w:r>
    </w:p>
    <w:p w14:paraId="6B9BEBEC" w14:textId="77777777" w:rsidR="006A362F" w:rsidRPr="003222DA" w:rsidRDefault="006A362F" w:rsidP="00076945">
      <w:pPr>
        <w:spacing w:after="0" w:line="240" w:lineRule="auto"/>
        <w:rPr>
          <w:rFonts w:eastAsia="Times New Roman" w:cs="Arial"/>
          <w:b/>
          <w:color w:val="1F4E79" w:themeColor="accent1" w:themeShade="80"/>
          <w:spacing w:val="-2"/>
          <w:szCs w:val="18"/>
          <w:lang w:val="en-US" w:eastAsia="pt-BR"/>
        </w:rPr>
      </w:pPr>
      <w:r w:rsidRPr="003222DA">
        <w:rPr>
          <w:rFonts w:eastAsia="Times New Roman" w:cs="Arial"/>
          <w:b/>
          <w:color w:val="1F4E79" w:themeColor="accent1" w:themeShade="80"/>
          <w:spacing w:val="-2"/>
          <w:szCs w:val="18"/>
          <w:lang w:val="en-US" w:eastAsia="pt-BR"/>
        </w:rPr>
        <w:t>Initial Adoption of CPC 50 [IFRS 17] and CPC 48 [IFRS 9]</w:t>
      </w:r>
    </w:p>
    <w:p w14:paraId="57B6AE8D" w14:textId="77777777" w:rsidR="006A362F" w:rsidRPr="003222DA" w:rsidRDefault="006A362F" w:rsidP="00076945">
      <w:pPr>
        <w:spacing w:after="0" w:line="240" w:lineRule="auto"/>
        <w:rPr>
          <w:rFonts w:eastAsia="Times New Roman" w:cs="Arial"/>
          <w:b/>
          <w:color w:val="1F4E79" w:themeColor="accent1" w:themeShade="80"/>
          <w:spacing w:val="-2"/>
          <w:szCs w:val="18"/>
          <w:lang w:val="en-US" w:eastAsia="pt-BR"/>
        </w:rPr>
      </w:pPr>
    </w:p>
    <w:p w14:paraId="16532DC5" w14:textId="77777777" w:rsidR="006A362F" w:rsidRDefault="006A362F" w:rsidP="003222DA">
      <w:pPr>
        <w:jc w:val="both"/>
        <w:rPr>
          <w:rFonts w:eastAsia="Times New Roman" w:cs="Arial"/>
          <w:kern w:val="20"/>
          <w:szCs w:val="20"/>
          <w:lang w:val="en-US" w:eastAsia="pt-BR"/>
        </w:rPr>
      </w:pPr>
      <w:r w:rsidRPr="003222DA">
        <w:rPr>
          <w:rFonts w:eastAsia="Times New Roman" w:cs="Arial"/>
          <w:kern w:val="20"/>
          <w:szCs w:val="20"/>
          <w:lang w:val="en-US" w:eastAsia="pt-BR"/>
        </w:rPr>
        <w:t>The changes in accounting policies, resulting from CPC 50 [IFRS 17], are applied using a Fair Value approach for the groups of contracts valued by the general BBA model and a complete retrospective approach for the groups of contracts valued by the model PAA, with recognition date on January 1, 2022.</w:t>
      </w:r>
    </w:p>
    <w:p w14:paraId="100F8A2E" w14:textId="77777777" w:rsidR="006A362F" w:rsidRPr="003222DA" w:rsidRDefault="006A362F" w:rsidP="003222DA">
      <w:pPr>
        <w:jc w:val="both"/>
        <w:rPr>
          <w:rFonts w:eastAsia="Times New Roman" w:cs="Arial"/>
          <w:kern w:val="20"/>
          <w:szCs w:val="20"/>
          <w:lang w:val="en-US" w:eastAsia="pt-BR"/>
        </w:rPr>
      </w:pPr>
      <w:r w:rsidRPr="003222DA">
        <w:rPr>
          <w:rFonts w:eastAsia="Times New Roman" w:cs="Arial"/>
          <w:kern w:val="20"/>
          <w:szCs w:val="20"/>
          <w:lang w:val="en-US" w:eastAsia="pt-BR"/>
        </w:rPr>
        <w:t>Regarding the Fair Value approach on the date of transition to CPC 50 [IFRS 17], the value of the contractual service margin or loss component (onerosity) with which the portfolios in effect on that date were accounted for in accordance with with the new standard. Accordingly, the contractual service margin or loss component on the transition date was obtained as the difference between the Fair Value of the group of contracts and its fulfillment cash flows on the transition date. In the complete retrospective approach, the insurance and reinsurance contract groups were recognized and measured as if CPC 50 [IFRS 17] had always been applied, and the entire difference was recognized in equity.</w:t>
      </w:r>
    </w:p>
    <w:p w14:paraId="3F34AF3F" w14:textId="77777777" w:rsidR="006A362F" w:rsidRPr="003222DA" w:rsidRDefault="006A362F" w:rsidP="003222DA">
      <w:pPr>
        <w:jc w:val="both"/>
        <w:rPr>
          <w:rFonts w:eastAsia="Times New Roman" w:cs="Arial"/>
          <w:kern w:val="20"/>
          <w:szCs w:val="20"/>
          <w:lang w:val="en-US" w:eastAsia="pt-BR"/>
        </w:rPr>
      </w:pPr>
      <w:r w:rsidRPr="003222DA">
        <w:rPr>
          <w:rFonts w:eastAsia="Times New Roman" w:cs="Arial"/>
          <w:kern w:val="20"/>
          <w:szCs w:val="20"/>
          <w:lang w:val="en-US" w:eastAsia="pt-BR"/>
        </w:rPr>
        <w:t>Regarding the impacts of CPC 48 [IFRS 9], the classification of financial assets is based on the business model in which a financial asset is managed together with the contractual cash flow characteristics. In this sense, the Company's total shareholders' equity was not affected, as there was no reclassification between measurement categories and no recognition of expected loss on financial instruments.</w:t>
      </w:r>
    </w:p>
    <w:p w14:paraId="6333E7FD" w14:textId="77777777" w:rsidR="006A362F" w:rsidRPr="003222DA" w:rsidRDefault="006A362F" w:rsidP="00076945">
      <w:pPr>
        <w:jc w:val="both"/>
        <w:rPr>
          <w:rFonts w:eastAsia="Times New Roman" w:cs="Arial"/>
          <w:kern w:val="20"/>
          <w:szCs w:val="20"/>
          <w:lang w:val="en-US" w:eastAsia="pt-BR"/>
        </w:rPr>
      </w:pPr>
      <w:r w:rsidRPr="003222DA">
        <w:rPr>
          <w:rFonts w:eastAsia="Times New Roman" w:cs="Arial"/>
          <w:kern w:val="20"/>
          <w:szCs w:val="20"/>
          <w:lang w:val="en-US" w:eastAsia="pt-BR"/>
        </w:rPr>
        <w:t>The impacts of the transition on shareholders' equity are shown in the tables below:</w:t>
      </w:r>
    </w:p>
    <w:p w14:paraId="5957C886" w14:textId="77777777" w:rsidR="006A362F" w:rsidRPr="00B77F46" w:rsidRDefault="006A362F" w:rsidP="00076945">
      <w:pPr>
        <w:pStyle w:val="01-TtulodeNota"/>
        <w:spacing w:before="0" w:after="0"/>
        <w:jc w:val="right"/>
        <w:rPr>
          <w:sz w:val="14"/>
          <w:szCs w:val="14"/>
        </w:rPr>
      </w:pPr>
      <w:r w:rsidRPr="00B77F46">
        <w:rPr>
          <w:sz w:val="14"/>
          <w:szCs w:val="14"/>
        </w:rPr>
        <w:t xml:space="preserve">R$ </w:t>
      </w:r>
      <w:r>
        <w:rPr>
          <w:sz w:val="14"/>
          <w:szCs w:val="14"/>
        </w:rPr>
        <w:t>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466C18" w14:paraId="078ECC04" w14:textId="77777777" w:rsidTr="006928A6">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17B4A0F0" w14:textId="77777777" w:rsidR="006A362F" w:rsidRPr="003222DA" w:rsidRDefault="006A362F" w:rsidP="006928A6">
            <w:pPr>
              <w:pStyle w:val="08-Tabelageral"/>
              <w:jc w:val="center"/>
              <w:rPr>
                <w:rFonts w:cs="Arial"/>
                <w:b/>
                <w:szCs w:val="14"/>
                <w:lang w:val="en-US"/>
              </w:rPr>
            </w:pPr>
            <w:r w:rsidRPr="003222DA">
              <w:rPr>
                <w:rFonts w:cs="Arial"/>
                <w:b/>
                <w:szCs w:val="14"/>
                <w:lang w:val="en-US"/>
              </w:rPr>
              <w:t>Equity Reconciliation - Effects of the adoption of CPC 50 [IFRS 17] and CPC 48 [IFRS 9]</w:t>
            </w:r>
          </w:p>
        </w:tc>
      </w:tr>
      <w:tr w:rsidR="006A362F" w:rsidRPr="000644A1" w14:paraId="47C7A492"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0C356B1B" w14:textId="77777777" w:rsidR="006A362F" w:rsidRPr="00B540FF" w:rsidRDefault="006A362F" w:rsidP="006928A6">
            <w:pPr>
              <w:pStyle w:val="08-Tabelageral"/>
              <w:jc w:val="left"/>
              <w:rPr>
                <w:rFonts w:cs="Arial"/>
                <w:b/>
                <w:bCs/>
                <w:szCs w:val="14"/>
              </w:rPr>
            </w:pPr>
            <w:r>
              <w:rPr>
                <w:rFonts w:cs="Arial"/>
                <w:b/>
                <w:bCs/>
                <w:szCs w:val="14"/>
              </w:rPr>
              <w:t>Equity on Dec 31,2021</w:t>
            </w:r>
          </w:p>
        </w:tc>
        <w:tc>
          <w:tcPr>
            <w:tcW w:w="2267" w:type="dxa"/>
            <w:tcBorders>
              <w:top w:val="single" w:sz="2" w:space="0" w:color="1F4E79" w:themeColor="accent1" w:themeShade="80"/>
            </w:tcBorders>
            <w:shd w:val="clear" w:color="auto" w:fill="auto"/>
            <w:vAlign w:val="center"/>
          </w:tcPr>
          <w:p w14:paraId="785AA061" w14:textId="77777777" w:rsidR="006A362F" w:rsidRPr="00B86917" w:rsidRDefault="006A362F" w:rsidP="006928A6">
            <w:pPr>
              <w:pStyle w:val="08-Tabelageral"/>
              <w:rPr>
                <w:rFonts w:cs="Arial"/>
                <w:b/>
                <w:bCs/>
                <w:szCs w:val="14"/>
              </w:rPr>
            </w:pPr>
            <w:r w:rsidRPr="003A10B2">
              <w:rPr>
                <w:rFonts w:cs="Arial"/>
                <w:b/>
                <w:bCs/>
                <w:szCs w:val="14"/>
              </w:rPr>
              <w:t>1</w:t>
            </w:r>
            <w:r>
              <w:rPr>
                <w:rFonts w:cs="Arial"/>
                <w:b/>
                <w:bCs/>
                <w:szCs w:val="14"/>
              </w:rPr>
              <w:t>,</w:t>
            </w:r>
            <w:r w:rsidRPr="003A10B2">
              <w:rPr>
                <w:rFonts w:cs="Arial"/>
                <w:b/>
                <w:bCs/>
                <w:szCs w:val="14"/>
              </w:rPr>
              <w:t>673</w:t>
            </w:r>
            <w:r>
              <w:rPr>
                <w:rFonts w:cs="Arial"/>
                <w:b/>
                <w:bCs/>
                <w:szCs w:val="14"/>
              </w:rPr>
              <w:t>,</w:t>
            </w:r>
            <w:r w:rsidRPr="003A10B2">
              <w:rPr>
                <w:rFonts w:cs="Arial"/>
                <w:b/>
                <w:bCs/>
                <w:szCs w:val="14"/>
              </w:rPr>
              <w:t>395</w:t>
            </w:r>
          </w:p>
        </w:tc>
      </w:tr>
      <w:tr w:rsidR="006A362F" w:rsidRPr="00E2012E" w14:paraId="33C34969"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51014E47" w14:textId="77777777" w:rsidR="006A362F" w:rsidRPr="00E2012E" w:rsidRDefault="006A362F" w:rsidP="006928A6">
            <w:pPr>
              <w:pStyle w:val="08-Tabelageral"/>
              <w:ind w:left="113"/>
              <w:jc w:val="left"/>
              <w:rPr>
                <w:rFonts w:cs="Arial"/>
                <w:szCs w:val="14"/>
              </w:rPr>
            </w:pPr>
            <w:r>
              <w:rPr>
                <w:rFonts w:cs="Arial"/>
                <w:szCs w:val="14"/>
              </w:rPr>
              <w:t>Total impact</w:t>
            </w:r>
          </w:p>
        </w:tc>
        <w:tc>
          <w:tcPr>
            <w:tcW w:w="2267" w:type="dxa"/>
            <w:tcBorders>
              <w:top w:val="single" w:sz="2" w:space="0" w:color="1F4E79" w:themeColor="accent1" w:themeShade="80"/>
            </w:tcBorders>
            <w:shd w:val="clear" w:color="auto" w:fill="auto"/>
            <w:vAlign w:val="center"/>
          </w:tcPr>
          <w:p w14:paraId="3A24E072" w14:textId="77777777" w:rsidR="006A362F" w:rsidRPr="00E2012E" w:rsidRDefault="006A362F" w:rsidP="006928A6">
            <w:pPr>
              <w:pStyle w:val="08-Tabelageral"/>
              <w:rPr>
                <w:rFonts w:cs="Arial"/>
                <w:szCs w:val="14"/>
              </w:rPr>
            </w:pPr>
            <w:r w:rsidRPr="00E2012E">
              <w:rPr>
                <w:rFonts w:cs="Arial"/>
                <w:szCs w:val="14"/>
              </w:rPr>
              <w:t>376</w:t>
            </w:r>
            <w:r>
              <w:rPr>
                <w:rFonts w:cs="Arial"/>
                <w:szCs w:val="14"/>
              </w:rPr>
              <w:t>,</w:t>
            </w:r>
            <w:r w:rsidRPr="00E2012E">
              <w:rPr>
                <w:rFonts w:cs="Arial"/>
                <w:szCs w:val="14"/>
              </w:rPr>
              <w:t>358</w:t>
            </w:r>
          </w:p>
        </w:tc>
      </w:tr>
      <w:tr w:rsidR="006A362F" w:rsidRPr="0048242D" w14:paraId="4C3B200E" w14:textId="77777777" w:rsidTr="006928A6">
        <w:trPr>
          <w:trHeight w:val="238"/>
          <w:jc w:val="center"/>
        </w:trPr>
        <w:tc>
          <w:tcPr>
            <w:tcW w:w="7372" w:type="dxa"/>
            <w:shd w:val="clear" w:color="auto" w:fill="auto"/>
          </w:tcPr>
          <w:p w14:paraId="65E40C5F" w14:textId="77777777" w:rsidR="006A362F" w:rsidRPr="00190ECA" w:rsidRDefault="006A362F" w:rsidP="006928A6">
            <w:pPr>
              <w:pStyle w:val="08-Tabelageral"/>
              <w:jc w:val="left"/>
              <w:rPr>
                <w:rFonts w:cs="Arial"/>
                <w:b/>
                <w:bCs/>
                <w:szCs w:val="14"/>
                <w:lang w:val="en-US"/>
              </w:rPr>
            </w:pPr>
            <w:r w:rsidRPr="00190ECA">
              <w:rPr>
                <w:rFonts w:cs="Arial"/>
                <w:b/>
                <w:bCs/>
                <w:szCs w:val="14"/>
                <w:lang w:val="en-US"/>
              </w:rPr>
              <w:t>Equity on Jan 01, 2022, after adjustments of CPC 50 [IFRS 17] and CPC 48 [IFRS 9]</w:t>
            </w:r>
          </w:p>
        </w:tc>
        <w:tc>
          <w:tcPr>
            <w:tcW w:w="2267" w:type="dxa"/>
            <w:shd w:val="clear" w:color="auto" w:fill="auto"/>
          </w:tcPr>
          <w:p w14:paraId="78BB806F" w14:textId="77777777" w:rsidR="006A362F" w:rsidRPr="00B86917" w:rsidRDefault="006A362F" w:rsidP="006928A6">
            <w:pPr>
              <w:pStyle w:val="08-Tabelageral"/>
              <w:rPr>
                <w:rFonts w:cs="Arial"/>
                <w:b/>
                <w:bCs/>
                <w:szCs w:val="14"/>
              </w:rPr>
            </w:pPr>
            <w:r w:rsidRPr="003A10B2">
              <w:rPr>
                <w:rFonts w:cs="Arial"/>
                <w:b/>
                <w:bCs/>
                <w:szCs w:val="14"/>
              </w:rPr>
              <w:t>2</w:t>
            </w:r>
            <w:r>
              <w:rPr>
                <w:rFonts w:cs="Arial"/>
                <w:b/>
                <w:bCs/>
                <w:szCs w:val="14"/>
              </w:rPr>
              <w:t>,</w:t>
            </w:r>
            <w:r w:rsidRPr="003A10B2">
              <w:rPr>
                <w:rFonts w:cs="Arial"/>
                <w:b/>
                <w:bCs/>
                <w:szCs w:val="14"/>
              </w:rPr>
              <w:t>049</w:t>
            </w:r>
            <w:r>
              <w:rPr>
                <w:rFonts w:cs="Arial"/>
                <w:b/>
                <w:bCs/>
                <w:szCs w:val="14"/>
              </w:rPr>
              <w:t>,</w:t>
            </w:r>
            <w:r w:rsidRPr="003A10B2">
              <w:rPr>
                <w:rFonts w:cs="Arial"/>
                <w:b/>
                <w:bCs/>
                <w:szCs w:val="14"/>
              </w:rPr>
              <w:t>753</w:t>
            </w:r>
          </w:p>
        </w:tc>
      </w:tr>
    </w:tbl>
    <w:p w14:paraId="13498B23"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076B6D39" w14:textId="77777777" w:rsidR="006A362F" w:rsidRDefault="006A362F" w:rsidP="00076945">
      <w:pPr>
        <w:keepNext/>
        <w:keepLines/>
        <w:pageBreakBefore/>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lastRenderedPageBreak/>
        <w:t>Income Statement Information</w:t>
      </w:r>
    </w:p>
    <w:p w14:paraId="0FBCAD25"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6A362F" w:rsidRPr="009C18D9" w14:paraId="10721DD9"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44B1ECF" w14:textId="77777777" w:rsidR="006A362F" w:rsidRPr="004B635B" w:rsidRDefault="006A362F" w:rsidP="006928A6">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0E9D825" w14:textId="77777777" w:rsidR="006A362F" w:rsidRPr="004B635B"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1</w:t>
            </w:r>
            <w:r w:rsidRPr="00A263A7">
              <w:rPr>
                <w:rFonts w:cs="Arial"/>
                <w:sz w:val="14"/>
                <w:szCs w:val="14"/>
                <w:vertAlign w:val="superscript"/>
              </w:rPr>
              <w:t>st</w:t>
            </w:r>
            <w:r>
              <w:rPr>
                <w:rFonts w:cs="Arial"/>
                <w:sz w:val="14"/>
                <w:szCs w:val="14"/>
              </w:rPr>
              <w:t xml:space="preserve"> Quarter 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615E155" w14:textId="77777777" w:rsidR="006A362F" w:rsidRPr="004B635B"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w:t>
            </w:r>
            <w:r w:rsidRPr="00A263A7">
              <w:rPr>
                <w:rFonts w:cs="Arial"/>
                <w:sz w:val="14"/>
                <w:szCs w:val="14"/>
                <w:vertAlign w:val="superscript"/>
              </w:rPr>
              <w:t>st</w:t>
            </w:r>
            <w:r>
              <w:rPr>
                <w:rFonts w:cs="Arial"/>
                <w:sz w:val="14"/>
                <w:szCs w:val="14"/>
              </w:rPr>
              <w:t xml:space="preserve"> Quarter 2022</w:t>
            </w:r>
            <w:r w:rsidRPr="004B635B">
              <w:rPr>
                <w:rFonts w:cs="Arial"/>
                <w:sz w:val="14"/>
                <w:szCs w:val="14"/>
              </w:rPr>
              <w:t xml:space="preserve"> (</w:t>
            </w:r>
            <w:r>
              <w:rPr>
                <w:rFonts w:cs="Arial"/>
                <w:sz w:val="14"/>
                <w:szCs w:val="14"/>
              </w:rPr>
              <w:t>Restated balances</w:t>
            </w:r>
            <w:r w:rsidRPr="004B635B">
              <w:rPr>
                <w:rFonts w:cs="Arial"/>
                <w:sz w:val="14"/>
                <w:szCs w:val="14"/>
              </w:rPr>
              <w:t>)</w:t>
            </w:r>
          </w:p>
        </w:tc>
      </w:tr>
      <w:tr w:rsidR="006A362F" w:rsidRPr="00AC3343" w14:paraId="029CCDB0"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04EFC881" w14:textId="77777777" w:rsidR="006A362F" w:rsidRPr="00AC3343" w:rsidRDefault="006A362F" w:rsidP="006928A6">
            <w:pPr>
              <w:keepNext/>
              <w:keepLines/>
              <w:rPr>
                <w:rFonts w:eastAsia="Times New Roman" w:cs="Arial"/>
                <w:spacing w:val="-2"/>
                <w:sz w:val="14"/>
                <w:szCs w:val="14"/>
                <w:highlight w:val="yellow"/>
              </w:rPr>
            </w:pPr>
            <w:r>
              <w:rPr>
                <w:rFonts w:cs="Arial"/>
                <w:color w:val="000000"/>
                <w:sz w:val="14"/>
                <w:szCs w:val="14"/>
              </w:rPr>
              <w:t>Result of insurance contracts</w:t>
            </w:r>
          </w:p>
        </w:tc>
        <w:tc>
          <w:tcPr>
            <w:tcW w:w="2906" w:type="dxa"/>
            <w:tcBorders>
              <w:top w:val="single" w:sz="2" w:space="0" w:color="1F4E79" w:themeColor="accent1" w:themeShade="80"/>
              <w:left w:val="nil"/>
              <w:bottom w:val="nil"/>
              <w:right w:val="nil"/>
            </w:tcBorders>
            <w:shd w:val="clear" w:color="auto" w:fill="auto"/>
            <w:vAlign w:val="center"/>
          </w:tcPr>
          <w:p w14:paraId="7DEBB8F4" w14:textId="77777777" w:rsidR="006A362F" w:rsidRPr="00AC3343" w:rsidRDefault="006A362F" w:rsidP="003222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AC3343">
              <w:rPr>
                <w:rFonts w:cs="Arial"/>
                <w:b/>
                <w:bCs/>
                <w:color w:val="000000"/>
                <w:sz w:val="14"/>
                <w:szCs w:val="14"/>
              </w:rPr>
              <w:t xml:space="preserve">               3</w:t>
            </w:r>
            <w:r>
              <w:rPr>
                <w:rFonts w:cs="Arial"/>
                <w:b/>
                <w:bCs/>
                <w:color w:val="000000"/>
                <w:sz w:val="14"/>
                <w:szCs w:val="14"/>
              </w:rPr>
              <w:t>,</w:t>
            </w:r>
            <w:r w:rsidRPr="00AC3343">
              <w:rPr>
                <w:rFonts w:cs="Arial"/>
                <w:b/>
                <w:bCs/>
                <w:color w:val="000000"/>
                <w:sz w:val="14"/>
                <w:szCs w:val="14"/>
              </w:rPr>
              <w:t>530</w:t>
            </w:r>
            <w:r>
              <w:rPr>
                <w:rFonts w:cs="Arial"/>
                <w:b/>
                <w:bCs/>
                <w:color w:val="000000"/>
                <w:sz w:val="14"/>
                <w:szCs w:val="14"/>
              </w:rPr>
              <w:t>,</w:t>
            </w:r>
            <w:r w:rsidRPr="00AC3343">
              <w:rPr>
                <w:rFonts w:cs="Arial"/>
                <w:b/>
                <w:bCs/>
                <w:color w:val="000000"/>
                <w:sz w:val="14"/>
                <w:szCs w:val="14"/>
              </w:rPr>
              <w:t xml:space="preserve">801 </w:t>
            </w:r>
          </w:p>
        </w:tc>
        <w:tc>
          <w:tcPr>
            <w:tcW w:w="2906" w:type="dxa"/>
            <w:tcBorders>
              <w:top w:val="single" w:sz="2" w:space="0" w:color="1F4E79" w:themeColor="accent1" w:themeShade="80"/>
              <w:left w:val="nil"/>
              <w:bottom w:val="nil"/>
              <w:right w:val="nil"/>
            </w:tcBorders>
            <w:shd w:val="clear" w:color="auto" w:fill="auto"/>
            <w:vAlign w:val="center"/>
          </w:tcPr>
          <w:p w14:paraId="57235C67" w14:textId="77777777" w:rsidR="006A362F" w:rsidRPr="00B45E1D" w:rsidRDefault="006A362F" w:rsidP="003222DA">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B45E1D">
              <w:rPr>
                <w:rFonts w:cs="Arial"/>
                <w:b/>
                <w:bCs/>
                <w:color w:val="000000"/>
                <w:sz w:val="14"/>
                <w:szCs w:val="14"/>
              </w:rPr>
              <w:t xml:space="preserve">               2</w:t>
            </w:r>
            <w:r>
              <w:rPr>
                <w:rFonts w:cs="Arial"/>
                <w:b/>
                <w:bCs/>
                <w:color w:val="000000"/>
                <w:sz w:val="14"/>
                <w:szCs w:val="14"/>
              </w:rPr>
              <w:t>,</w:t>
            </w:r>
            <w:r w:rsidRPr="00B45E1D">
              <w:rPr>
                <w:rFonts w:cs="Arial"/>
                <w:b/>
                <w:bCs/>
                <w:color w:val="000000"/>
                <w:sz w:val="14"/>
                <w:szCs w:val="14"/>
              </w:rPr>
              <w:t>780</w:t>
            </w:r>
            <w:r>
              <w:rPr>
                <w:rFonts w:cs="Arial"/>
                <w:b/>
                <w:bCs/>
                <w:color w:val="000000"/>
                <w:sz w:val="14"/>
                <w:szCs w:val="14"/>
              </w:rPr>
              <w:t>,</w:t>
            </w:r>
            <w:r w:rsidRPr="00B45E1D">
              <w:rPr>
                <w:rFonts w:cs="Arial"/>
                <w:b/>
                <w:bCs/>
                <w:color w:val="000000"/>
                <w:sz w:val="14"/>
                <w:szCs w:val="14"/>
              </w:rPr>
              <w:t xml:space="preserve">874 </w:t>
            </w:r>
          </w:p>
        </w:tc>
      </w:tr>
      <w:tr w:rsidR="006A362F" w:rsidRPr="009C18D9" w14:paraId="3CB6922C"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48B8C7D" w14:textId="77777777" w:rsidR="006A362F" w:rsidRPr="009C18D9" w:rsidRDefault="006A362F" w:rsidP="006928A6">
            <w:pPr>
              <w:keepNext/>
              <w:keepLines/>
              <w:ind w:left="113"/>
              <w:rPr>
                <w:rFonts w:cs="Arial"/>
                <w:b w:val="0"/>
                <w:bCs w:val="0"/>
                <w:color w:val="000000"/>
                <w:sz w:val="14"/>
                <w:szCs w:val="14"/>
              </w:rPr>
            </w:pPr>
            <w:r>
              <w:rPr>
                <w:rFonts w:cs="Arial"/>
                <w:b w:val="0"/>
                <w:bCs w:val="0"/>
                <w:color w:val="000000"/>
                <w:sz w:val="14"/>
                <w:szCs w:val="14"/>
              </w:rPr>
              <w:t>Result of contracts</w:t>
            </w:r>
            <w:r w:rsidRPr="009C18D9">
              <w:rPr>
                <w:rFonts w:cs="Arial"/>
                <w:b w:val="0"/>
                <w:bCs w:val="0"/>
                <w:color w:val="000000"/>
                <w:sz w:val="14"/>
                <w:szCs w:val="14"/>
              </w:rPr>
              <w:t xml:space="preserve"> BBA</w:t>
            </w:r>
          </w:p>
        </w:tc>
        <w:tc>
          <w:tcPr>
            <w:tcW w:w="2906" w:type="dxa"/>
            <w:tcBorders>
              <w:top w:val="nil"/>
              <w:left w:val="nil"/>
              <w:bottom w:val="nil"/>
              <w:right w:val="nil"/>
            </w:tcBorders>
            <w:shd w:val="clear" w:color="auto" w:fill="auto"/>
            <w:vAlign w:val="center"/>
          </w:tcPr>
          <w:p w14:paraId="0899700E" w14:textId="77777777" w:rsidR="006A362F" w:rsidRPr="009C18D9"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74040">
              <w:rPr>
                <w:rFonts w:cs="Arial"/>
                <w:color w:val="000000"/>
                <w:sz w:val="14"/>
                <w:szCs w:val="14"/>
              </w:rPr>
              <w:t>608</w:t>
            </w:r>
            <w:r>
              <w:rPr>
                <w:rFonts w:cs="Arial"/>
                <w:color w:val="000000"/>
                <w:sz w:val="14"/>
                <w:szCs w:val="14"/>
              </w:rPr>
              <w:t>,</w:t>
            </w:r>
            <w:r w:rsidRPr="00574040">
              <w:rPr>
                <w:rFonts w:cs="Arial"/>
                <w:color w:val="000000"/>
                <w:sz w:val="14"/>
                <w:szCs w:val="14"/>
              </w:rPr>
              <w:t>593</w:t>
            </w:r>
          </w:p>
        </w:tc>
        <w:tc>
          <w:tcPr>
            <w:tcW w:w="2906" w:type="dxa"/>
            <w:tcBorders>
              <w:top w:val="nil"/>
              <w:left w:val="nil"/>
              <w:bottom w:val="nil"/>
              <w:right w:val="nil"/>
            </w:tcBorders>
            <w:shd w:val="clear" w:color="auto" w:fill="auto"/>
            <w:vAlign w:val="center"/>
          </w:tcPr>
          <w:p w14:paraId="016C8F00"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528</w:t>
            </w:r>
            <w:r>
              <w:rPr>
                <w:rFonts w:cs="Arial"/>
                <w:color w:val="000000"/>
                <w:sz w:val="14"/>
                <w:szCs w:val="14"/>
              </w:rPr>
              <w:t>,</w:t>
            </w:r>
            <w:r w:rsidRPr="00B45E1D">
              <w:rPr>
                <w:rFonts w:cs="Arial"/>
                <w:color w:val="000000"/>
                <w:sz w:val="14"/>
                <w:szCs w:val="14"/>
              </w:rPr>
              <w:t>652</w:t>
            </w:r>
          </w:p>
        </w:tc>
      </w:tr>
      <w:tr w:rsidR="006A362F" w:rsidRPr="009C18D9" w14:paraId="0E7E9A94"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3126B0A" w14:textId="77777777" w:rsidR="006A362F" w:rsidRPr="009C18D9" w:rsidRDefault="006A362F" w:rsidP="006928A6">
            <w:pPr>
              <w:keepNext/>
              <w:keepLines/>
              <w:ind w:left="113"/>
              <w:rPr>
                <w:rFonts w:cs="Arial"/>
                <w:b w:val="0"/>
                <w:bCs w:val="0"/>
                <w:color w:val="000000"/>
                <w:sz w:val="14"/>
                <w:szCs w:val="14"/>
              </w:rPr>
            </w:pPr>
            <w:r>
              <w:rPr>
                <w:rFonts w:cs="Arial"/>
                <w:b w:val="0"/>
                <w:bCs w:val="0"/>
                <w:color w:val="000000"/>
                <w:sz w:val="14"/>
                <w:szCs w:val="14"/>
              </w:rPr>
              <w:t>Result of contracts</w:t>
            </w:r>
            <w:r w:rsidRPr="009C18D9">
              <w:rPr>
                <w:rFonts w:cs="Arial"/>
                <w:b w:val="0"/>
                <w:bCs w:val="0"/>
                <w:color w:val="000000"/>
                <w:sz w:val="14"/>
                <w:szCs w:val="14"/>
              </w:rPr>
              <w:t xml:space="preserve"> PAA</w:t>
            </w:r>
          </w:p>
        </w:tc>
        <w:tc>
          <w:tcPr>
            <w:tcW w:w="2906" w:type="dxa"/>
            <w:tcBorders>
              <w:top w:val="nil"/>
              <w:left w:val="nil"/>
              <w:bottom w:val="nil"/>
              <w:right w:val="nil"/>
            </w:tcBorders>
            <w:shd w:val="clear" w:color="auto" w:fill="auto"/>
            <w:vAlign w:val="center"/>
          </w:tcPr>
          <w:p w14:paraId="34A147C2" w14:textId="77777777" w:rsidR="006A362F" w:rsidRPr="009C18D9"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74040">
              <w:rPr>
                <w:rFonts w:cs="Arial"/>
                <w:color w:val="000000"/>
                <w:sz w:val="14"/>
                <w:szCs w:val="14"/>
              </w:rPr>
              <w:t>2</w:t>
            </w:r>
            <w:r>
              <w:rPr>
                <w:rFonts w:cs="Arial"/>
                <w:color w:val="000000"/>
                <w:sz w:val="14"/>
                <w:szCs w:val="14"/>
              </w:rPr>
              <w:t>,</w:t>
            </w:r>
            <w:r w:rsidRPr="00574040">
              <w:rPr>
                <w:rFonts w:cs="Arial"/>
                <w:color w:val="000000"/>
                <w:sz w:val="14"/>
                <w:szCs w:val="14"/>
              </w:rPr>
              <w:t>922</w:t>
            </w:r>
            <w:r>
              <w:rPr>
                <w:rFonts w:cs="Arial"/>
                <w:color w:val="000000"/>
                <w:sz w:val="14"/>
                <w:szCs w:val="14"/>
              </w:rPr>
              <w:t>,</w:t>
            </w:r>
            <w:r w:rsidRPr="00574040">
              <w:rPr>
                <w:rFonts w:cs="Arial"/>
                <w:color w:val="000000"/>
                <w:sz w:val="14"/>
                <w:szCs w:val="14"/>
              </w:rPr>
              <w:t>208</w:t>
            </w:r>
          </w:p>
        </w:tc>
        <w:tc>
          <w:tcPr>
            <w:tcW w:w="2906" w:type="dxa"/>
            <w:tcBorders>
              <w:top w:val="nil"/>
              <w:left w:val="nil"/>
              <w:bottom w:val="nil"/>
              <w:right w:val="nil"/>
            </w:tcBorders>
            <w:shd w:val="clear" w:color="auto" w:fill="auto"/>
            <w:vAlign w:val="center"/>
          </w:tcPr>
          <w:p w14:paraId="2A4AB13F"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2</w:t>
            </w:r>
            <w:r>
              <w:rPr>
                <w:rFonts w:cs="Arial"/>
                <w:color w:val="000000"/>
                <w:sz w:val="14"/>
                <w:szCs w:val="14"/>
              </w:rPr>
              <w:t>,</w:t>
            </w:r>
            <w:r w:rsidRPr="00B45E1D">
              <w:rPr>
                <w:rFonts w:cs="Arial"/>
                <w:color w:val="000000"/>
                <w:sz w:val="14"/>
                <w:szCs w:val="14"/>
              </w:rPr>
              <w:t>252</w:t>
            </w:r>
            <w:r>
              <w:rPr>
                <w:rFonts w:cs="Arial"/>
                <w:color w:val="000000"/>
                <w:sz w:val="14"/>
                <w:szCs w:val="14"/>
              </w:rPr>
              <w:t>,</w:t>
            </w:r>
            <w:r w:rsidRPr="00B45E1D">
              <w:rPr>
                <w:rFonts w:cs="Arial"/>
                <w:color w:val="000000"/>
                <w:sz w:val="14"/>
                <w:szCs w:val="14"/>
              </w:rPr>
              <w:t>223</w:t>
            </w:r>
          </w:p>
        </w:tc>
      </w:tr>
      <w:tr w:rsidR="006A362F" w:rsidRPr="009C18D9" w14:paraId="24D9FB93"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9FCC754" w14:textId="77777777" w:rsidR="006A362F" w:rsidRPr="009C18D9" w:rsidRDefault="006A362F" w:rsidP="006928A6">
            <w:pPr>
              <w:keepNext/>
              <w:keepLines/>
              <w:rPr>
                <w:rFonts w:cs="Arial"/>
                <w:b w:val="0"/>
                <w:bCs w:val="0"/>
                <w:color w:val="000000"/>
                <w:sz w:val="14"/>
                <w:szCs w:val="14"/>
              </w:rPr>
            </w:pPr>
            <w:r>
              <w:rPr>
                <w:rFonts w:cs="Arial"/>
                <w:b w:val="0"/>
                <w:bCs w:val="0"/>
                <w:color w:val="000000"/>
                <w:sz w:val="14"/>
                <w:szCs w:val="14"/>
              </w:rPr>
              <w:t>Insurance expenses</w:t>
            </w:r>
          </w:p>
        </w:tc>
        <w:tc>
          <w:tcPr>
            <w:tcW w:w="2906" w:type="dxa"/>
            <w:tcBorders>
              <w:top w:val="nil"/>
              <w:left w:val="nil"/>
              <w:bottom w:val="nil"/>
              <w:right w:val="nil"/>
            </w:tcBorders>
            <w:shd w:val="clear" w:color="auto" w:fill="auto"/>
            <w:vAlign w:val="center"/>
          </w:tcPr>
          <w:p w14:paraId="6177B7C2" w14:textId="77777777" w:rsidR="006A362F" w:rsidRPr="009C18D9"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9C18D9">
              <w:rPr>
                <w:rFonts w:cs="Arial"/>
                <w:color w:val="000000"/>
                <w:sz w:val="14"/>
                <w:szCs w:val="14"/>
              </w:rPr>
              <w:t xml:space="preserve">              (2</w:t>
            </w:r>
            <w:r>
              <w:rPr>
                <w:rFonts w:cs="Arial"/>
                <w:color w:val="000000"/>
                <w:sz w:val="14"/>
                <w:szCs w:val="14"/>
              </w:rPr>
              <w:t>,</w:t>
            </w:r>
            <w:r w:rsidRPr="009C18D9">
              <w:rPr>
                <w:rFonts w:cs="Arial"/>
                <w:color w:val="000000"/>
                <w:sz w:val="14"/>
                <w:szCs w:val="14"/>
              </w:rPr>
              <w:t>360</w:t>
            </w:r>
            <w:r>
              <w:rPr>
                <w:rFonts w:cs="Arial"/>
                <w:color w:val="000000"/>
                <w:sz w:val="14"/>
                <w:szCs w:val="14"/>
              </w:rPr>
              <w:t>,</w:t>
            </w:r>
            <w:r w:rsidRPr="009C18D9">
              <w:rPr>
                <w:rFonts w:cs="Arial"/>
                <w:color w:val="000000"/>
                <w:sz w:val="14"/>
                <w:szCs w:val="14"/>
              </w:rPr>
              <w:t>315)</w:t>
            </w:r>
          </w:p>
        </w:tc>
        <w:tc>
          <w:tcPr>
            <w:tcW w:w="2906" w:type="dxa"/>
            <w:tcBorders>
              <w:top w:val="nil"/>
              <w:left w:val="nil"/>
              <w:bottom w:val="nil"/>
              <w:right w:val="nil"/>
            </w:tcBorders>
            <w:shd w:val="clear" w:color="auto" w:fill="auto"/>
            <w:vAlign w:val="center"/>
          </w:tcPr>
          <w:p w14:paraId="48D169F0"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(2</w:t>
            </w:r>
            <w:r>
              <w:rPr>
                <w:rFonts w:cs="Arial"/>
                <w:color w:val="000000"/>
                <w:sz w:val="14"/>
                <w:szCs w:val="14"/>
              </w:rPr>
              <w:t>,</w:t>
            </w:r>
            <w:r w:rsidRPr="00B45E1D">
              <w:rPr>
                <w:rFonts w:cs="Arial"/>
                <w:color w:val="000000"/>
                <w:sz w:val="14"/>
                <w:szCs w:val="14"/>
              </w:rPr>
              <w:t>264</w:t>
            </w:r>
            <w:r>
              <w:rPr>
                <w:rFonts w:cs="Arial"/>
                <w:color w:val="000000"/>
                <w:sz w:val="14"/>
                <w:szCs w:val="14"/>
              </w:rPr>
              <w:t>,</w:t>
            </w:r>
            <w:r w:rsidRPr="00B45E1D">
              <w:rPr>
                <w:rFonts w:cs="Arial"/>
                <w:color w:val="000000"/>
                <w:sz w:val="14"/>
                <w:szCs w:val="14"/>
              </w:rPr>
              <w:t>278)</w:t>
            </w:r>
          </w:p>
        </w:tc>
      </w:tr>
      <w:tr w:rsidR="006A362F" w:rsidRPr="00AC3343" w14:paraId="3F213CB8"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994F2A5" w14:textId="77777777" w:rsidR="006A362F" w:rsidRPr="00AC3343" w:rsidRDefault="006A362F" w:rsidP="006928A6">
            <w:pPr>
              <w:keepNext/>
              <w:keepLines/>
              <w:rPr>
                <w:rFonts w:cs="Arial"/>
                <w:color w:val="000000"/>
                <w:sz w:val="14"/>
                <w:szCs w:val="14"/>
              </w:rPr>
            </w:pPr>
            <w:r>
              <w:rPr>
                <w:rFonts w:cs="Arial"/>
                <w:color w:val="000000"/>
                <w:sz w:val="14"/>
                <w:szCs w:val="14"/>
              </w:rPr>
              <w:t>Insurance margin</w:t>
            </w:r>
          </w:p>
        </w:tc>
        <w:tc>
          <w:tcPr>
            <w:tcW w:w="2906" w:type="dxa"/>
            <w:tcBorders>
              <w:top w:val="nil"/>
              <w:left w:val="nil"/>
              <w:bottom w:val="nil"/>
              <w:right w:val="nil"/>
            </w:tcBorders>
            <w:shd w:val="clear" w:color="auto" w:fill="auto"/>
            <w:vAlign w:val="center"/>
          </w:tcPr>
          <w:p w14:paraId="422D7F47" w14:textId="77777777" w:rsidR="006A362F" w:rsidRPr="00AC3343"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1</w:t>
            </w:r>
            <w:r>
              <w:rPr>
                <w:rFonts w:cs="Arial"/>
                <w:b/>
                <w:bCs/>
                <w:color w:val="000000"/>
                <w:sz w:val="14"/>
                <w:szCs w:val="14"/>
              </w:rPr>
              <w:t>,</w:t>
            </w:r>
            <w:r w:rsidRPr="00AC3343">
              <w:rPr>
                <w:rFonts w:cs="Arial"/>
                <w:b/>
                <w:bCs/>
                <w:color w:val="000000"/>
                <w:sz w:val="14"/>
                <w:szCs w:val="14"/>
              </w:rPr>
              <w:t>170</w:t>
            </w:r>
            <w:r>
              <w:rPr>
                <w:rFonts w:cs="Arial"/>
                <w:b/>
                <w:bCs/>
                <w:color w:val="000000"/>
                <w:sz w:val="14"/>
                <w:szCs w:val="14"/>
              </w:rPr>
              <w:t>,</w:t>
            </w:r>
            <w:r w:rsidRPr="00AC3343">
              <w:rPr>
                <w:rFonts w:cs="Arial"/>
                <w:b/>
                <w:bCs/>
                <w:color w:val="000000"/>
                <w:sz w:val="14"/>
                <w:szCs w:val="14"/>
              </w:rPr>
              <w:t xml:space="preserve">486 </w:t>
            </w:r>
          </w:p>
        </w:tc>
        <w:tc>
          <w:tcPr>
            <w:tcW w:w="2906" w:type="dxa"/>
            <w:tcBorders>
              <w:top w:val="nil"/>
              <w:left w:val="nil"/>
              <w:bottom w:val="nil"/>
              <w:right w:val="nil"/>
            </w:tcBorders>
            <w:shd w:val="clear" w:color="auto" w:fill="auto"/>
            <w:vAlign w:val="center"/>
          </w:tcPr>
          <w:p w14:paraId="6678B0BD"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516</w:t>
            </w:r>
            <w:r>
              <w:rPr>
                <w:rFonts w:cs="Arial"/>
                <w:b/>
                <w:bCs/>
                <w:color w:val="000000"/>
                <w:sz w:val="14"/>
                <w:szCs w:val="14"/>
              </w:rPr>
              <w:t>,</w:t>
            </w:r>
            <w:r w:rsidRPr="00B45E1D">
              <w:rPr>
                <w:rFonts w:cs="Arial"/>
                <w:b/>
                <w:bCs/>
                <w:color w:val="000000"/>
                <w:sz w:val="14"/>
                <w:szCs w:val="14"/>
              </w:rPr>
              <w:t>59</w:t>
            </w:r>
            <w:r>
              <w:rPr>
                <w:rFonts w:cs="Arial"/>
                <w:b/>
                <w:bCs/>
                <w:color w:val="000000"/>
                <w:sz w:val="14"/>
                <w:szCs w:val="14"/>
              </w:rPr>
              <w:t>7</w:t>
            </w:r>
            <w:r w:rsidRPr="00B45E1D">
              <w:rPr>
                <w:rFonts w:cs="Arial"/>
                <w:b/>
                <w:bCs/>
                <w:color w:val="000000"/>
                <w:sz w:val="14"/>
                <w:szCs w:val="14"/>
              </w:rPr>
              <w:t xml:space="preserve"> </w:t>
            </w:r>
          </w:p>
        </w:tc>
      </w:tr>
      <w:tr w:rsidR="006A362F" w:rsidRPr="00AC3343" w14:paraId="6F00B3BC"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923348F" w14:textId="77777777" w:rsidR="006A362F" w:rsidRPr="00AC3343" w:rsidRDefault="006A362F" w:rsidP="006928A6">
            <w:pPr>
              <w:keepNext/>
              <w:keepLines/>
              <w:rPr>
                <w:rFonts w:cs="Arial"/>
                <w:color w:val="000000"/>
                <w:sz w:val="14"/>
                <w:szCs w:val="14"/>
              </w:rPr>
            </w:pPr>
            <w:r>
              <w:rPr>
                <w:rFonts w:cs="Arial"/>
                <w:color w:val="000000"/>
                <w:sz w:val="14"/>
                <w:szCs w:val="14"/>
              </w:rPr>
              <w:t>Financial result</w:t>
            </w:r>
          </w:p>
        </w:tc>
        <w:tc>
          <w:tcPr>
            <w:tcW w:w="2906" w:type="dxa"/>
            <w:tcBorders>
              <w:top w:val="nil"/>
              <w:left w:val="nil"/>
              <w:bottom w:val="nil"/>
              <w:right w:val="nil"/>
            </w:tcBorders>
            <w:shd w:val="clear" w:color="auto" w:fill="auto"/>
            <w:vAlign w:val="center"/>
          </w:tcPr>
          <w:p w14:paraId="56A44A5C" w14:textId="77777777" w:rsidR="006A362F" w:rsidRPr="00AC3343"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152</w:t>
            </w:r>
            <w:r>
              <w:rPr>
                <w:rFonts w:cs="Arial"/>
                <w:b/>
                <w:bCs/>
                <w:color w:val="000000"/>
                <w:sz w:val="14"/>
                <w:szCs w:val="14"/>
              </w:rPr>
              <w:t>,</w:t>
            </w:r>
            <w:r w:rsidRPr="00AC3343">
              <w:rPr>
                <w:rFonts w:cs="Arial"/>
                <w:b/>
                <w:bCs/>
                <w:color w:val="000000"/>
                <w:sz w:val="14"/>
                <w:szCs w:val="14"/>
              </w:rPr>
              <w:t xml:space="preserve">626 </w:t>
            </w:r>
          </w:p>
        </w:tc>
        <w:tc>
          <w:tcPr>
            <w:tcW w:w="2906" w:type="dxa"/>
            <w:tcBorders>
              <w:top w:val="nil"/>
              <w:left w:val="nil"/>
              <w:bottom w:val="nil"/>
              <w:right w:val="nil"/>
            </w:tcBorders>
            <w:shd w:val="clear" w:color="auto" w:fill="auto"/>
            <w:vAlign w:val="center"/>
          </w:tcPr>
          <w:p w14:paraId="77C5815D"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95</w:t>
            </w:r>
            <w:r>
              <w:rPr>
                <w:rFonts w:cs="Arial"/>
                <w:b/>
                <w:bCs/>
                <w:color w:val="000000"/>
                <w:sz w:val="14"/>
                <w:szCs w:val="14"/>
              </w:rPr>
              <w:t>,</w:t>
            </w:r>
            <w:r w:rsidRPr="00B45E1D">
              <w:rPr>
                <w:rFonts w:cs="Arial"/>
                <w:b/>
                <w:bCs/>
                <w:color w:val="000000"/>
                <w:sz w:val="14"/>
                <w:szCs w:val="14"/>
              </w:rPr>
              <w:t xml:space="preserve">437 </w:t>
            </w:r>
          </w:p>
        </w:tc>
      </w:tr>
      <w:tr w:rsidR="006A362F" w:rsidRPr="009C18D9" w14:paraId="23B8FB32"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8FC2352" w14:textId="77777777" w:rsidR="006A362F" w:rsidRPr="009C18D9" w:rsidRDefault="006A362F" w:rsidP="006928A6">
            <w:pPr>
              <w:keepNext/>
              <w:keepLines/>
              <w:ind w:left="113"/>
              <w:rPr>
                <w:rFonts w:cs="Arial"/>
                <w:b w:val="0"/>
                <w:bCs w:val="0"/>
                <w:color w:val="000000"/>
                <w:sz w:val="14"/>
                <w:szCs w:val="14"/>
              </w:rPr>
            </w:pPr>
            <w:r>
              <w:rPr>
                <w:rFonts w:cs="Arial"/>
                <w:b w:val="0"/>
                <w:bCs w:val="0"/>
                <w:color w:val="000000"/>
                <w:sz w:val="14"/>
                <w:szCs w:val="14"/>
              </w:rPr>
              <w:t>Financial income</w:t>
            </w:r>
          </w:p>
        </w:tc>
        <w:tc>
          <w:tcPr>
            <w:tcW w:w="2906" w:type="dxa"/>
            <w:tcBorders>
              <w:top w:val="nil"/>
              <w:left w:val="nil"/>
              <w:bottom w:val="nil"/>
              <w:right w:val="nil"/>
            </w:tcBorders>
            <w:shd w:val="clear" w:color="auto" w:fill="auto"/>
            <w:vAlign w:val="center"/>
          </w:tcPr>
          <w:p w14:paraId="4BE3A32E" w14:textId="77777777" w:rsidR="006A362F" w:rsidRPr="009C18D9"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9C18D9">
              <w:rPr>
                <w:rFonts w:cs="Arial"/>
                <w:color w:val="000000"/>
                <w:sz w:val="14"/>
                <w:szCs w:val="14"/>
              </w:rPr>
              <w:t xml:space="preserve">                249</w:t>
            </w:r>
            <w:r>
              <w:rPr>
                <w:rFonts w:cs="Arial"/>
                <w:color w:val="000000"/>
                <w:sz w:val="14"/>
                <w:szCs w:val="14"/>
              </w:rPr>
              <w:t>,</w:t>
            </w:r>
            <w:r w:rsidRPr="009C18D9">
              <w:rPr>
                <w:rFonts w:cs="Arial"/>
                <w:color w:val="000000"/>
                <w:sz w:val="14"/>
                <w:szCs w:val="14"/>
              </w:rPr>
              <w:t xml:space="preserve">073 </w:t>
            </w:r>
          </w:p>
        </w:tc>
        <w:tc>
          <w:tcPr>
            <w:tcW w:w="2906" w:type="dxa"/>
            <w:tcBorders>
              <w:top w:val="nil"/>
              <w:left w:val="nil"/>
              <w:bottom w:val="nil"/>
              <w:right w:val="nil"/>
            </w:tcBorders>
            <w:shd w:val="clear" w:color="auto" w:fill="auto"/>
            <w:vAlign w:val="center"/>
          </w:tcPr>
          <w:p w14:paraId="76F803DC"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sz w:val="14"/>
                <w:szCs w:val="14"/>
              </w:rPr>
              <w:t xml:space="preserve"> 173</w:t>
            </w:r>
            <w:r>
              <w:rPr>
                <w:rFonts w:cs="Arial"/>
                <w:sz w:val="14"/>
                <w:szCs w:val="14"/>
              </w:rPr>
              <w:t>,</w:t>
            </w:r>
            <w:r w:rsidRPr="00B45E1D">
              <w:rPr>
                <w:rFonts w:cs="Arial"/>
                <w:sz w:val="14"/>
                <w:szCs w:val="14"/>
              </w:rPr>
              <w:t xml:space="preserve">291 </w:t>
            </w:r>
          </w:p>
        </w:tc>
      </w:tr>
      <w:tr w:rsidR="006A362F" w:rsidRPr="009C18D9" w14:paraId="53AC0FDF"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A8972C7" w14:textId="77777777" w:rsidR="006A362F" w:rsidRPr="009C18D9" w:rsidRDefault="006A362F" w:rsidP="006928A6">
            <w:pPr>
              <w:keepNext/>
              <w:keepLines/>
              <w:ind w:left="113"/>
              <w:rPr>
                <w:rFonts w:cs="Arial"/>
                <w:b w:val="0"/>
                <w:bCs w:val="0"/>
                <w:color w:val="000000"/>
                <w:sz w:val="14"/>
                <w:szCs w:val="14"/>
              </w:rPr>
            </w:pPr>
            <w:r>
              <w:rPr>
                <w:rFonts w:cs="Arial"/>
                <w:b w:val="0"/>
                <w:bCs w:val="0"/>
                <w:color w:val="000000"/>
                <w:sz w:val="14"/>
                <w:szCs w:val="14"/>
              </w:rPr>
              <w:t>Financial expenses</w:t>
            </w:r>
          </w:p>
        </w:tc>
        <w:tc>
          <w:tcPr>
            <w:tcW w:w="2906" w:type="dxa"/>
            <w:tcBorders>
              <w:top w:val="nil"/>
              <w:left w:val="nil"/>
              <w:bottom w:val="nil"/>
              <w:right w:val="nil"/>
            </w:tcBorders>
            <w:shd w:val="clear" w:color="auto" w:fill="auto"/>
            <w:vAlign w:val="center"/>
          </w:tcPr>
          <w:p w14:paraId="5604E5F4" w14:textId="77777777" w:rsidR="006A362F" w:rsidRPr="009C18D9" w:rsidRDefault="006A362F" w:rsidP="003222DA">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9C18D9">
              <w:rPr>
                <w:rFonts w:cs="Arial"/>
                <w:color w:val="000000"/>
                <w:sz w:val="14"/>
                <w:szCs w:val="14"/>
              </w:rPr>
              <w:t xml:space="preserve">                (96</w:t>
            </w:r>
            <w:r>
              <w:rPr>
                <w:rFonts w:cs="Arial"/>
                <w:color w:val="000000"/>
                <w:sz w:val="14"/>
                <w:szCs w:val="14"/>
              </w:rPr>
              <w:t>,</w:t>
            </w:r>
            <w:r w:rsidRPr="009C18D9">
              <w:rPr>
                <w:rFonts w:cs="Arial"/>
                <w:color w:val="000000"/>
                <w:sz w:val="14"/>
                <w:szCs w:val="14"/>
              </w:rPr>
              <w:t>447)</w:t>
            </w:r>
          </w:p>
        </w:tc>
        <w:tc>
          <w:tcPr>
            <w:tcW w:w="2906" w:type="dxa"/>
            <w:tcBorders>
              <w:top w:val="nil"/>
              <w:left w:val="nil"/>
              <w:bottom w:val="nil"/>
              <w:right w:val="nil"/>
            </w:tcBorders>
            <w:shd w:val="clear" w:color="auto" w:fill="auto"/>
            <w:vAlign w:val="center"/>
          </w:tcPr>
          <w:p w14:paraId="14F69B2F" w14:textId="77777777" w:rsidR="006A362F" w:rsidRPr="00B45E1D" w:rsidRDefault="006A362F" w:rsidP="003222DA">
            <w:pPr>
              <w:keepNext/>
              <w:keepLines/>
              <w:ind w:left="113"/>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sz w:val="14"/>
                <w:szCs w:val="14"/>
              </w:rPr>
              <w:t xml:space="preserve"> (77</w:t>
            </w:r>
            <w:r>
              <w:rPr>
                <w:rFonts w:cs="Arial"/>
                <w:sz w:val="14"/>
                <w:szCs w:val="14"/>
              </w:rPr>
              <w:t>,</w:t>
            </w:r>
            <w:r w:rsidRPr="00B45E1D">
              <w:rPr>
                <w:rFonts w:cs="Arial"/>
                <w:sz w:val="14"/>
                <w:szCs w:val="14"/>
              </w:rPr>
              <w:t>854)</w:t>
            </w:r>
          </w:p>
        </w:tc>
      </w:tr>
      <w:tr w:rsidR="006A362F" w:rsidRPr="00AC3343" w14:paraId="26D92E40"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AE9C7E4" w14:textId="77777777" w:rsidR="006A362F" w:rsidRPr="00AC3343" w:rsidRDefault="006A362F" w:rsidP="006928A6">
            <w:pPr>
              <w:keepNext/>
              <w:keepLines/>
              <w:rPr>
                <w:rFonts w:cs="Arial"/>
                <w:b w:val="0"/>
                <w:bCs w:val="0"/>
                <w:color w:val="000000"/>
                <w:sz w:val="14"/>
                <w:szCs w:val="14"/>
              </w:rPr>
            </w:pPr>
            <w:r>
              <w:rPr>
                <w:rFonts w:cs="Arial"/>
                <w:b w:val="0"/>
                <w:bCs w:val="0"/>
                <w:color w:val="000000"/>
                <w:sz w:val="14"/>
                <w:szCs w:val="14"/>
              </w:rPr>
              <w:t>Non-Attributable Expenses</w:t>
            </w:r>
          </w:p>
        </w:tc>
        <w:tc>
          <w:tcPr>
            <w:tcW w:w="2906" w:type="dxa"/>
            <w:tcBorders>
              <w:top w:val="nil"/>
              <w:left w:val="nil"/>
              <w:bottom w:val="nil"/>
              <w:right w:val="nil"/>
            </w:tcBorders>
            <w:shd w:val="clear" w:color="auto" w:fill="auto"/>
            <w:vAlign w:val="center"/>
          </w:tcPr>
          <w:p w14:paraId="45A61C31" w14:textId="77777777" w:rsidR="006A362F" w:rsidRPr="00AC3343"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AC3343">
              <w:rPr>
                <w:rFonts w:cs="Arial"/>
                <w:color w:val="000000"/>
                <w:sz w:val="14"/>
                <w:szCs w:val="14"/>
              </w:rPr>
              <w:t xml:space="preserve">                 (224</w:t>
            </w:r>
            <w:r>
              <w:rPr>
                <w:rFonts w:cs="Arial"/>
                <w:color w:val="000000"/>
                <w:sz w:val="14"/>
                <w:szCs w:val="14"/>
              </w:rPr>
              <w:t>,</w:t>
            </w:r>
            <w:r w:rsidRPr="00AC3343">
              <w:rPr>
                <w:rFonts w:cs="Arial"/>
                <w:color w:val="000000"/>
                <w:sz w:val="14"/>
                <w:szCs w:val="14"/>
              </w:rPr>
              <w:t>225)</w:t>
            </w:r>
          </w:p>
        </w:tc>
        <w:tc>
          <w:tcPr>
            <w:tcW w:w="2906" w:type="dxa"/>
            <w:tcBorders>
              <w:top w:val="nil"/>
              <w:left w:val="nil"/>
              <w:bottom w:val="nil"/>
              <w:right w:val="nil"/>
            </w:tcBorders>
            <w:shd w:val="clear" w:color="auto" w:fill="auto"/>
            <w:vAlign w:val="center"/>
          </w:tcPr>
          <w:p w14:paraId="10945DA5"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 xml:space="preserve">                 (108</w:t>
            </w:r>
            <w:r>
              <w:rPr>
                <w:rFonts w:cs="Arial"/>
                <w:color w:val="000000"/>
                <w:sz w:val="14"/>
                <w:szCs w:val="14"/>
              </w:rPr>
              <w:t>,</w:t>
            </w:r>
            <w:r w:rsidRPr="00B45E1D">
              <w:rPr>
                <w:rFonts w:cs="Arial"/>
                <w:color w:val="000000"/>
                <w:sz w:val="14"/>
                <w:szCs w:val="14"/>
              </w:rPr>
              <w:t>720)</w:t>
            </w:r>
          </w:p>
        </w:tc>
      </w:tr>
      <w:tr w:rsidR="006A362F" w:rsidRPr="00AC3343" w14:paraId="74F315E8"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4D026A3" w14:textId="77777777" w:rsidR="006A362F" w:rsidRPr="00AC3343" w:rsidRDefault="006A362F" w:rsidP="006928A6">
            <w:pPr>
              <w:keepNext/>
              <w:keepLines/>
              <w:rPr>
                <w:rFonts w:cs="Arial"/>
                <w:b w:val="0"/>
                <w:bCs w:val="0"/>
                <w:color w:val="000000"/>
                <w:sz w:val="14"/>
                <w:szCs w:val="14"/>
              </w:rPr>
            </w:pPr>
            <w:r>
              <w:rPr>
                <w:rFonts w:cs="Arial"/>
                <w:b w:val="0"/>
                <w:bCs w:val="0"/>
                <w:color w:val="000000"/>
                <w:sz w:val="14"/>
                <w:szCs w:val="14"/>
              </w:rPr>
              <w:t>Other income and expenses</w:t>
            </w:r>
          </w:p>
        </w:tc>
        <w:tc>
          <w:tcPr>
            <w:tcW w:w="2906" w:type="dxa"/>
            <w:tcBorders>
              <w:top w:val="nil"/>
              <w:left w:val="nil"/>
              <w:bottom w:val="nil"/>
              <w:right w:val="nil"/>
            </w:tcBorders>
            <w:shd w:val="clear" w:color="auto" w:fill="auto"/>
            <w:vAlign w:val="center"/>
          </w:tcPr>
          <w:p w14:paraId="70672FCD" w14:textId="77777777" w:rsidR="006A362F" w:rsidRPr="00AC3343"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840)</w:t>
            </w:r>
          </w:p>
        </w:tc>
        <w:tc>
          <w:tcPr>
            <w:tcW w:w="2906" w:type="dxa"/>
            <w:tcBorders>
              <w:top w:val="nil"/>
              <w:left w:val="nil"/>
              <w:bottom w:val="nil"/>
              <w:right w:val="nil"/>
            </w:tcBorders>
            <w:shd w:val="clear" w:color="auto" w:fill="auto"/>
            <w:vAlign w:val="center"/>
          </w:tcPr>
          <w:p w14:paraId="41A1BD97"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 xml:space="preserve">                         (73)</w:t>
            </w:r>
          </w:p>
        </w:tc>
      </w:tr>
      <w:tr w:rsidR="006A362F" w:rsidRPr="00AC3343" w14:paraId="066318E9"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C9C4D22" w14:textId="77777777" w:rsidR="006A362F" w:rsidRPr="00AC3343" w:rsidRDefault="006A362F" w:rsidP="006928A6">
            <w:pPr>
              <w:keepNext/>
              <w:keepLines/>
              <w:rPr>
                <w:rFonts w:cs="Arial"/>
                <w:color w:val="000000"/>
                <w:sz w:val="14"/>
                <w:szCs w:val="14"/>
              </w:rPr>
            </w:pPr>
            <w:r>
              <w:rPr>
                <w:rFonts w:cs="Arial"/>
                <w:color w:val="000000"/>
                <w:sz w:val="14"/>
                <w:szCs w:val="14"/>
              </w:rPr>
              <w:t>Income before taxes</w:t>
            </w:r>
          </w:p>
        </w:tc>
        <w:tc>
          <w:tcPr>
            <w:tcW w:w="2906" w:type="dxa"/>
            <w:tcBorders>
              <w:top w:val="nil"/>
              <w:left w:val="nil"/>
              <w:bottom w:val="nil"/>
              <w:right w:val="nil"/>
            </w:tcBorders>
            <w:shd w:val="clear" w:color="auto" w:fill="auto"/>
            <w:vAlign w:val="center"/>
          </w:tcPr>
          <w:p w14:paraId="0347E1E7" w14:textId="77777777" w:rsidR="006A362F" w:rsidRPr="00AC3343"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1</w:t>
            </w:r>
            <w:r>
              <w:rPr>
                <w:rFonts w:cs="Arial"/>
                <w:b/>
                <w:bCs/>
                <w:color w:val="000000"/>
                <w:sz w:val="14"/>
                <w:szCs w:val="14"/>
              </w:rPr>
              <w:t>,</w:t>
            </w:r>
            <w:r w:rsidRPr="00AC3343">
              <w:rPr>
                <w:rFonts w:cs="Arial"/>
                <w:b/>
                <w:bCs/>
                <w:color w:val="000000"/>
                <w:sz w:val="14"/>
                <w:szCs w:val="14"/>
              </w:rPr>
              <w:t>097</w:t>
            </w:r>
            <w:r>
              <w:rPr>
                <w:rFonts w:cs="Arial"/>
                <w:b/>
                <w:bCs/>
                <w:color w:val="000000"/>
                <w:sz w:val="14"/>
                <w:szCs w:val="14"/>
              </w:rPr>
              <w:t>,</w:t>
            </w:r>
            <w:r w:rsidRPr="00AC3343">
              <w:rPr>
                <w:rFonts w:cs="Arial"/>
                <w:b/>
                <w:bCs/>
                <w:color w:val="000000"/>
                <w:sz w:val="14"/>
                <w:szCs w:val="14"/>
              </w:rPr>
              <w:t xml:space="preserve">047 </w:t>
            </w:r>
          </w:p>
        </w:tc>
        <w:tc>
          <w:tcPr>
            <w:tcW w:w="2906" w:type="dxa"/>
            <w:tcBorders>
              <w:top w:val="nil"/>
              <w:left w:val="nil"/>
              <w:bottom w:val="nil"/>
              <w:right w:val="nil"/>
            </w:tcBorders>
            <w:shd w:val="clear" w:color="auto" w:fill="auto"/>
            <w:vAlign w:val="center"/>
          </w:tcPr>
          <w:p w14:paraId="77B21882"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503</w:t>
            </w:r>
            <w:r>
              <w:rPr>
                <w:rFonts w:cs="Arial"/>
                <w:b/>
                <w:bCs/>
                <w:color w:val="000000"/>
                <w:sz w:val="14"/>
                <w:szCs w:val="14"/>
              </w:rPr>
              <w:t>,</w:t>
            </w:r>
            <w:r w:rsidRPr="00B45E1D">
              <w:rPr>
                <w:rFonts w:cs="Arial"/>
                <w:b/>
                <w:bCs/>
                <w:color w:val="000000"/>
                <w:sz w:val="14"/>
                <w:szCs w:val="14"/>
              </w:rPr>
              <w:t xml:space="preserve">239 </w:t>
            </w:r>
          </w:p>
        </w:tc>
      </w:tr>
      <w:tr w:rsidR="006A362F" w:rsidRPr="004B635B" w14:paraId="7FDCEB20"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2BF596B" w14:textId="77777777" w:rsidR="006A362F" w:rsidRPr="004B635B" w:rsidRDefault="006A362F" w:rsidP="006928A6">
            <w:pPr>
              <w:keepNext/>
              <w:keepLines/>
              <w:ind w:left="113"/>
              <w:rPr>
                <w:rFonts w:cs="Arial"/>
                <w:b w:val="0"/>
                <w:bCs w:val="0"/>
                <w:color w:val="000000"/>
                <w:sz w:val="14"/>
                <w:szCs w:val="14"/>
              </w:rPr>
            </w:pPr>
            <w:r>
              <w:rPr>
                <w:rFonts w:cs="Arial"/>
                <w:b w:val="0"/>
                <w:bCs w:val="0"/>
                <w:color w:val="000000"/>
                <w:sz w:val="14"/>
                <w:szCs w:val="14"/>
              </w:rPr>
              <w:t>Taxes</w:t>
            </w:r>
          </w:p>
        </w:tc>
        <w:tc>
          <w:tcPr>
            <w:tcW w:w="2906" w:type="dxa"/>
            <w:tcBorders>
              <w:top w:val="nil"/>
              <w:left w:val="nil"/>
              <w:bottom w:val="nil"/>
              <w:right w:val="nil"/>
            </w:tcBorders>
            <w:shd w:val="clear" w:color="auto" w:fill="auto"/>
            <w:vAlign w:val="center"/>
          </w:tcPr>
          <w:p w14:paraId="21D62F3F" w14:textId="77777777" w:rsidR="006A362F" w:rsidRPr="004B635B"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B635B">
              <w:rPr>
                <w:rFonts w:cs="Arial"/>
                <w:color w:val="000000"/>
                <w:sz w:val="14"/>
                <w:szCs w:val="14"/>
              </w:rPr>
              <w:t>(269</w:t>
            </w:r>
            <w:r>
              <w:rPr>
                <w:rFonts w:cs="Arial"/>
                <w:color w:val="000000"/>
                <w:sz w:val="14"/>
                <w:szCs w:val="14"/>
              </w:rPr>
              <w:t>,</w:t>
            </w:r>
            <w:r w:rsidRPr="004B635B">
              <w:rPr>
                <w:rFonts w:cs="Arial"/>
                <w:color w:val="000000"/>
                <w:sz w:val="14"/>
                <w:szCs w:val="14"/>
              </w:rPr>
              <w:t>627)</w:t>
            </w:r>
          </w:p>
        </w:tc>
        <w:tc>
          <w:tcPr>
            <w:tcW w:w="2906" w:type="dxa"/>
            <w:tcBorders>
              <w:top w:val="nil"/>
              <w:left w:val="nil"/>
              <w:bottom w:val="nil"/>
              <w:right w:val="nil"/>
            </w:tcBorders>
            <w:shd w:val="clear" w:color="auto" w:fill="auto"/>
            <w:vAlign w:val="center"/>
          </w:tcPr>
          <w:p w14:paraId="30DF4167"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B45E1D">
              <w:rPr>
                <w:rFonts w:cs="Arial"/>
                <w:color w:val="000000"/>
                <w:sz w:val="14"/>
                <w:szCs w:val="14"/>
              </w:rPr>
              <w:t>(178</w:t>
            </w:r>
            <w:r>
              <w:rPr>
                <w:rFonts w:cs="Arial"/>
                <w:color w:val="000000"/>
                <w:sz w:val="14"/>
                <w:szCs w:val="14"/>
              </w:rPr>
              <w:t>,</w:t>
            </w:r>
            <w:r w:rsidRPr="00B45E1D">
              <w:rPr>
                <w:rFonts w:cs="Arial"/>
                <w:color w:val="000000"/>
                <w:sz w:val="14"/>
                <w:szCs w:val="14"/>
              </w:rPr>
              <w:t>201)</w:t>
            </w:r>
          </w:p>
        </w:tc>
      </w:tr>
      <w:tr w:rsidR="006A362F" w:rsidRPr="009C18D9" w14:paraId="1AADF175"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9351B3E" w14:textId="77777777" w:rsidR="006A362F" w:rsidRPr="004B635B" w:rsidRDefault="006A362F" w:rsidP="006928A6">
            <w:pPr>
              <w:keepNext/>
              <w:keepLines/>
              <w:ind w:left="113"/>
              <w:rPr>
                <w:rFonts w:cs="Arial"/>
                <w:b w:val="0"/>
                <w:bCs w:val="0"/>
                <w:color w:val="000000"/>
                <w:sz w:val="14"/>
                <w:szCs w:val="14"/>
              </w:rPr>
            </w:pPr>
            <w:r>
              <w:rPr>
                <w:rFonts w:cs="Arial"/>
                <w:b w:val="0"/>
                <w:bCs w:val="0"/>
                <w:color w:val="000000"/>
                <w:sz w:val="14"/>
                <w:szCs w:val="14"/>
              </w:rPr>
              <w:t>Shares on the result</w:t>
            </w:r>
          </w:p>
        </w:tc>
        <w:tc>
          <w:tcPr>
            <w:tcW w:w="2906" w:type="dxa"/>
            <w:tcBorders>
              <w:top w:val="nil"/>
              <w:left w:val="nil"/>
              <w:bottom w:val="nil"/>
              <w:right w:val="nil"/>
            </w:tcBorders>
            <w:shd w:val="clear" w:color="auto" w:fill="auto"/>
            <w:vAlign w:val="center"/>
          </w:tcPr>
          <w:p w14:paraId="6562F3A9" w14:textId="77777777" w:rsidR="006A362F" w:rsidRPr="004B635B"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4B635B">
              <w:rPr>
                <w:rFonts w:cs="Arial"/>
                <w:color w:val="000000"/>
                <w:sz w:val="14"/>
                <w:szCs w:val="14"/>
              </w:rPr>
              <w:t xml:space="preserve">                  (3</w:t>
            </w:r>
            <w:r>
              <w:rPr>
                <w:rFonts w:cs="Arial"/>
                <w:color w:val="000000"/>
                <w:sz w:val="14"/>
                <w:szCs w:val="14"/>
              </w:rPr>
              <w:t>,</w:t>
            </w:r>
            <w:r w:rsidRPr="004B635B">
              <w:rPr>
                <w:rFonts w:cs="Arial"/>
                <w:color w:val="000000"/>
                <w:sz w:val="14"/>
                <w:szCs w:val="14"/>
              </w:rPr>
              <w:t>925)</w:t>
            </w:r>
          </w:p>
        </w:tc>
        <w:tc>
          <w:tcPr>
            <w:tcW w:w="2906" w:type="dxa"/>
            <w:tcBorders>
              <w:top w:val="nil"/>
              <w:left w:val="nil"/>
              <w:bottom w:val="nil"/>
              <w:right w:val="nil"/>
            </w:tcBorders>
            <w:shd w:val="clear" w:color="auto" w:fill="auto"/>
            <w:vAlign w:val="center"/>
          </w:tcPr>
          <w:p w14:paraId="202A87F1"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 xml:space="preserve">                  (6</w:t>
            </w:r>
            <w:r>
              <w:rPr>
                <w:rFonts w:cs="Arial"/>
                <w:color w:val="000000"/>
                <w:sz w:val="14"/>
                <w:szCs w:val="14"/>
              </w:rPr>
              <w:t>,</w:t>
            </w:r>
            <w:r w:rsidRPr="00B45E1D">
              <w:rPr>
                <w:rFonts w:cs="Arial"/>
                <w:color w:val="000000"/>
                <w:sz w:val="14"/>
                <w:szCs w:val="14"/>
              </w:rPr>
              <w:t>230)</w:t>
            </w:r>
          </w:p>
        </w:tc>
      </w:tr>
      <w:tr w:rsidR="006A362F" w:rsidRPr="00AC3343" w14:paraId="6FDC5CF1"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E14E53B" w14:textId="77777777" w:rsidR="006A362F" w:rsidRPr="00AC3343" w:rsidRDefault="006A362F" w:rsidP="006928A6">
            <w:pPr>
              <w:keepNext/>
              <w:keepLines/>
              <w:rPr>
                <w:rFonts w:cs="Arial"/>
                <w:color w:val="000000"/>
                <w:sz w:val="14"/>
                <w:szCs w:val="14"/>
              </w:rPr>
            </w:pPr>
            <w:r>
              <w:rPr>
                <w:rFonts w:cs="Arial"/>
                <w:color w:val="000000"/>
                <w:sz w:val="14"/>
                <w:szCs w:val="14"/>
              </w:rPr>
              <w:t>Net income</w:t>
            </w:r>
          </w:p>
        </w:tc>
        <w:tc>
          <w:tcPr>
            <w:tcW w:w="2906" w:type="dxa"/>
            <w:tcBorders>
              <w:top w:val="nil"/>
              <w:left w:val="nil"/>
              <w:bottom w:val="nil"/>
              <w:right w:val="nil"/>
            </w:tcBorders>
            <w:shd w:val="clear" w:color="auto" w:fill="auto"/>
            <w:vAlign w:val="center"/>
          </w:tcPr>
          <w:p w14:paraId="22AAC61A" w14:textId="77777777" w:rsidR="006A362F" w:rsidRPr="00AC3343"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823</w:t>
            </w:r>
            <w:r>
              <w:rPr>
                <w:rFonts w:cs="Arial"/>
                <w:b/>
                <w:bCs/>
                <w:color w:val="000000"/>
                <w:sz w:val="14"/>
                <w:szCs w:val="14"/>
              </w:rPr>
              <w:t>,</w:t>
            </w:r>
            <w:r w:rsidRPr="00AC3343">
              <w:rPr>
                <w:rFonts w:cs="Arial"/>
                <w:b/>
                <w:bCs/>
                <w:color w:val="000000"/>
                <w:sz w:val="14"/>
                <w:szCs w:val="14"/>
              </w:rPr>
              <w:t xml:space="preserve">496 </w:t>
            </w:r>
          </w:p>
        </w:tc>
        <w:tc>
          <w:tcPr>
            <w:tcW w:w="2906" w:type="dxa"/>
            <w:tcBorders>
              <w:top w:val="nil"/>
              <w:left w:val="nil"/>
              <w:bottom w:val="nil"/>
              <w:right w:val="nil"/>
            </w:tcBorders>
            <w:shd w:val="clear" w:color="auto" w:fill="auto"/>
            <w:vAlign w:val="center"/>
          </w:tcPr>
          <w:p w14:paraId="0C7E99BB"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318</w:t>
            </w:r>
            <w:r>
              <w:rPr>
                <w:rFonts w:cs="Arial"/>
                <w:b/>
                <w:bCs/>
                <w:color w:val="000000"/>
                <w:sz w:val="14"/>
                <w:szCs w:val="14"/>
              </w:rPr>
              <w:t>,</w:t>
            </w:r>
            <w:r w:rsidRPr="00B45E1D">
              <w:rPr>
                <w:rFonts w:cs="Arial"/>
                <w:b/>
                <w:bCs/>
                <w:color w:val="000000"/>
                <w:sz w:val="14"/>
                <w:szCs w:val="14"/>
              </w:rPr>
              <w:t xml:space="preserve">808 </w:t>
            </w:r>
          </w:p>
        </w:tc>
      </w:tr>
      <w:tr w:rsidR="006A362F" w:rsidRPr="009C18D9" w14:paraId="7642A6F3" w14:textId="77777777" w:rsidTr="003222D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3E68AB9" w14:textId="77777777" w:rsidR="006A362F" w:rsidRPr="009C18D9" w:rsidRDefault="006A362F" w:rsidP="006928A6">
            <w:pPr>
              <w:keepNext/>
              <w:keepLines/>
              <w:ind w:left="113"/>
              <w:rPr>
                <w:rFonts w:cs="Arial"/>
                <w:b w:val="0"/>
                <w:bCs w:val="0"/>
                <w:color w:val="000000"/>
                <w:sz w:val="14"/>
                <w:szCs w:val="14"/>
              </w:rPr>
            </w:pPr>
            <w:r>
              <w:rPr>
                <w:rFonts w:cs="Arial"/>
                <w:b w:val="0"/>
                <w:bCs w:val="0"/>
                <w:color w:val="000000"/>
                <w:sz w:val="14"/>
                <w:szCs w:val="14"/>
              </w:rPr>
              <w:t>Other comprehensive results</w:t>
            </w:r>
          </w:p>
        </w:tc>
        <w:tc>
          <w:tcPr>
            <w:tcW w:w="2906" w:type="dxa"/>
            <w:tcBorders>
              <w:top w:val="nil"/>
              <w:left w:val="nil"/>
              <w:bottom w:val="nil"/>
              <w:right w:val="nil"/>
            </w:tcBorders>
            <w:shd w:val="clear" w:color="auto" w:fill="auto"/>
            <w:vAlign w:val="center"/>
          </w:tcPr>
          <w:p w14:paraId="6E64E11A" w14:textId="77777777" w:rsidR="006A362F" w:rsidRPr="009C18D9"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9C18D9">
              <w:rPr>
                <w:rFonts w:cs="Arial"/>
                <w:color w:val="000000"/>
                <w:sz w:val="14"/>
                <w:szCs w:val="14"/>
              </w:rPr>
              <w:t xml:space="preserve">                  13</w:t>
            </w:r>
            <w:r>
              <w:rPr>
                <w:rFonts w:cs="Arial"/>
                <w:color w:val="000000"/>
                <w:sz w:val="14"/>
                <w:szCs w:val="14"/>
              </w:rPr>
              <w:t>,</w:t>
            </w:r>
            <w:r w:rsidRPr="009C18D9">
              <w:rPr>
                <w:rFonts w:cs="Arial"/>
                <w:color w:val="000000"/>
                <w:sz w:val="14"/>
                <w:szCs w:val="14"/>
              </w:rPr>
              <w:t xml:space="preserve">012 </w:t>
            </w:r>
          </w:p>
        </w:tc>
        <w:tc>
          <w:tcPr>
            <w:tcW w:w="2906" w:type="dxa"/>
            <w:tcBorders>
              <w:top w:val="nil"/>
              <w:left w:val="nil"/>
              <w:bottom w:val="nil"/>
              <w:right w:val="nil"/>
            </w:tcBorders>
            <w:shd w:val="clear" w:color="auto" w:fill="auto"/>
            <w:vAlign w:val="center"/>
          </w:tcPr>
          <w:p w14:paraId="2F1C9310" w14:textId="77777777" w:rsidR="006A362F" w:rsidRPr="00B45E1D" w:rsidRDefault="006A362F" w:rsidP="003222DA">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B45E1D">
              <w:rPr>
                <w:rFonts w:cs="Arial"/>
                <w:color w:val="000000"/>
                <w:sz w:val="14"/>
                <w:szCs w:val="14"/>
              </w:rPr>
              <w:t xml:space="preserve">                (15</w:t>
            </w:r>
            <w:r>
              <w:rPr>
                <w:rFonts w:cs="Arial"/>
                <w:color w:val="000000"/>
                <w:sz w:val="14"/>
                <w:szCs w:val="14"/>
              </w:rPr>
              <w:t>,</w:t>
            </w:r>
            <w:r w:rsidRPr="00B45E1D">
              <w:rPr>
                <w:rFonts w:cs="Arial"/>
                <w:color w:val="000000"/>
                <w:sz w:val="14"/>
                <w:szCs w:val="14"/>
              </w:rPr>
              <w:t>689)</w:t>
            </w:r>
          </w:p>
        </w:tc>
      </w:tr>
      <w:tr w:rsidR="006A362F" w:rsidRPr="00AC3343" w14:paraId="453E9F2A" w14:textId="77777777" w:rsidTr="003222D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760BA5D2" w14:textId="77777777" w:rsidR="006A362F" w:rsidRPr="00AC3343" w:rsidRDefault="006A362F" w:rsidP="006928A6">
            <w:pPr>
              <w:keepNext/>
              <w:keepLines/>
              <w:rPr>
                <w:rFonts w:cs="Arial"/>
                <w:color w:val="000000"/>
                <w:sz w:val="14"/>
                <w:szCs w:val="14"/>
              </w:rPr>
            </w:pPr>
            <w:r>
              <w:rPr>
                <w:rFonts w:cs="Arial"/>
                <w:color w:val="000000"/>
                <w:sz w:val="14"/>
                <w:szCs w:val="14"/>
              </w:rPr>
              <w:t>Comprehensive income</w:t>
            </w:r>
          </w:p>
        </w:tc>
        <w:tc>
          <w:tcPr>
            <w:tcW w:w="2906" w:type="dxa"/>
            <w:tcBorders>
              <w:top w:val="nil"/>
              <w:left w:val="nil"/>
              <w:bottom w:val="single" w:sz="2" w:space="0" w:color="1F4E79" w:themeColor="accent1" w:themeShade="80"/>
              <w:right w:val="nil"/>
            </w:tcBorders>
            <w:shd w:val="clear" w:color="auto" w:fill="auto"/>
            <w:vAlign w:val="center"/>
          </w:tcPr>
          <w:p w14:paraId="37E558B5" w14:textId="77777777" w:rsidR="006A362F" w:rsidRPr="00AC3343"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AC3343">
              <w:rPr>
                <w:rFonts w:cs="Arial"/>
                <w:b/>
                <w:bCs/>
                <w:color w:val="000000"/>
                <w:sz w:val="14"/>
                <w:szCs w:val="14"/>
              </w:rPr>
              <w:t xml:space="preserve">                  836</w:t>
            </w:r>
            <w:r>
              <w:rPr>
                <w:rFonts w:cs="Arial"/>
                <w:b/>
                <w:bCs/>
                <w:color w:val="000000"/>
                <w:sz w:val="14"/>
                <w:szCs w:val="14"/>
              </w:rPr>
              <w:t>,</w:t>
            </w:r>
            <w:r w:rsidRPr="00AC3343">
              <w:rPr>
                <w:rFonts w:cs="Arial"/>
                <w:b/>
                <w:bCs/>
                <w:color w:val="000000"/>
                <w:sz w:val="14"/>
                <w:szCs w:val="14"/>
              </w:rPr>
              <w:t xml:space="preserve">508 </w:t>
            </w:r>
          </w:p>
        </w:tc>
        <w:tc>
          <w:tcPr>
            <w:tcW w:w="2906" w:type="dxa"/>
            <w:tcBorders>
              <w:top w:val="nil"/>
              <w:left w:val="nil"/>
              <w:bottom w:val="single" w:sz="2" w:space="0" w:color="1F4E79" w:themeColor="accent1" w:themeShade="80"/>
              <w:right w:val="nil"/>
            </w:tcBorders>
            <w:shd w:val="clear" w:color="auto" w:fill="auto"/>
            <w:vAlign w:val="center"/>
          </w:tcPr>
          <w:p w14:paraId="7488F57C" w14:textId="77777777" w:rsidR="006A362F" w:rsidRPr="00B45E1D" w:rsidRDefault="006A362F" w:rsidP="003222DA">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B45E1D">
              <w:rPr>
                <w:rFonts w:cs="Arial"/>
                <w:b/>
                <w:bCs/>
                <w:color w:val="000000"/>
                <w:sz w:val="14"/>
                <w:szCs w:val="14"/>
              </w:rPr>
              <w:t xml:space="preserve">                  303</w:t>
            </w:r>
            <w:r>
              <w:rPr>
                <w:rFonts w:cs="Arial"/>
                <w:b/>
                <w:bCs/>
                <w:color w:val="000000"/>
                <w:sz w:val="14"/>
                <w:szCs w:val="14"/>
              </w:rPr>
              <w:t>,</w:t>
            </w:r>
            <w:r w:rsidRPr="00B45E1D">
              <w:rPr>
                <w:rFonts w:cs="Arial"/>
                <w:b/>
                <w:bCs/>
                <w:color w:val="000000"/>
                <w:sz w:val="14"/>
                <w:szCs w:val="14"/>
              </w:rPr>
              <w:t xml:space="preserve">119 </w:t>
            </w:r>
          </w:p>
        </w:tc>
      </w:tr>
    </w:tbl>
    <w:p w14:paraId="0E6CF7AF" w14:textId="77777777" w:rsidR="006A362F" w:rsidRPr="00A263A7" w:rsidRDefault="006A362F" w:rsidP="006A362F">
      <w:pPr>
        <w:pStyle w:val="PargrafodaLista"/>
        <w:numPr>
          <w:ilvl w:val="0"/>
          <w:numId w:val="42"/>
        </w:numPr>
        <w:spacing w:after="0" w:line="240" w:lineRule="auto"/>
        <w:rPr>
          <w:rFonts w:ascii="Arial" w:eastAsia="Times New Roman" w:hAnsi="Arial" w:cs="Times New Roman"/>
          <w:bCs/>
          <w:spacing w:val="-2"/>
          <w:sz w:val="14"/>
          <w:szCs w:val="16"/>
          <w:lang w:val="en-US" w:eastAsia="pt-BR"/>
        </w:rPr>
      </w:pPr>
      <w:r w:rsidRPr="00A263A7">
        <w:rPr>
          <w:rFonts w:ascii="Arial" w:eastAsia="Times New Roman" w:hAnsi="Arial" w:cs="Times New Roman"/>
          <w:bCs/>
          <w:spacing w:val="-2"/>
          <w:sz w:val="14"/>
          <w:szCs w:val="16"/>
          <w:lang w:val="en-US" w:eastAsia="pt-BR"/>
        </w:rPr>
        <w:t xml:space="preserve">BBA - </w:t>
      </w:r>
      <w:r w:rsidRPr="00A263A7">
        <w:rPr>
          <w:rFonts w:ascii="Arial" w:eastAsia="Times New Roman" w:hAnsi="Arial" w:cs="Times New Roman"/>
          <w:bCs/>
          <w:i/>
          <w:iCs/>
          <w:spacing w:val="-2"/>
          <w:sz w:val="14"/>
          <w:szCs w:val="16"/>
          <w:lang w:val="en-US" w:eastAsia="pt-BR"/>
        </w:rPr>
        <w:t>Building Block Approach</w:t>
      </w:r>
      <w:r w:rsidRPr="00A263A7">
        <w:rPr>
          <w:rFonts w:ascii="Arial" w:eastAsia="Times New Roman" w:hAnsi="Arial" w:cs="Times New Roman"/>
          <w:bCs/>
          <w:spacing w:val="-2"/>
          <w:sz w:val="14"/>
          <w:szCs w:val="16"/>
          <w:lang w:val="en-US" w:eastAsia="pt-BR"/>
        </w:rPr>
        <w:t xml:space="preserve"> and </w:t>
      </w:r>
      <w:r w:rsidRPr="00A263A7">
        <w:rPr>
          <w:rFonts w:ascii="Arial" w:eastAsia="Times New Roman" w:hAnsi="Arial" w:cs="Arial"/>
          <w:kern w:val="20"/>
          <w:sz w:val="14"/>
          <w:szCs w:val="16"/>
          <w:lang w:val="en-US" w:eastAsia="pt-BR"/>
        </w:rPr>
        <w:t xml:space="preserve">PAA - </w:t>
      </w:r>
      <w:r w:rsidRPr="00A263A7">
        <w:rPr>
          <w:rFonts w:ascii="Arial" w:eastAsia="Times New Roman" w:hAnsi="Arial" w:cs="Arial"/>
          <w:i/>
          <w:iCs/>
          <w:kern w:val="20"/>
          <w:sz w:val="14"/>
          <w:szCs w:val="16"/>
          <w:lang w:val="en-US" w:eastAsia="pt-BR"/>
        </w:rPr>
        <w:t>Premium Allocation Approach</w:t>
      </w:r>
      <w:r w:rsidRPr="00A263A7">
        <w:rPr>
          <w:rFonts w:ascii="Arial" w:eastAsia="Times New Roman" w:hAnsi="Arial" w:cs="Arial"/>
          <w:kern w:val="20"/>
          <w:sz w:val="14"/>
          <w:szCs w:val="16"/>
          <w:lang w:val="en-US" w:eastAsia="pt-BR"/>
        </w:rPr>
        <w:t>.</w:t>
      </w:r>
    </w:p>
    <w:p w14:paraId="0566BDDC" w14:textId="77777777" w:rsidR="006A362F" w:rsidRPr="00A263A7" w:rsidRDefault="006A362F" w:rsidP="00076945">
      <w:pPr>
        <w:spacing w:after="0" w:line="240" w:lineRule="auto"/>
        <w:rPr>
          <w:rFonts w:cs="Times New Roman"/>
          <w:b/>
          <w:color w:val="1F4E79" w:themeColor="accent1" w:themeShade="80"/>
          <w:spacing w:val="-2"/>
          <w:szCs w:val="20"/>
          <w:lang w:val="en-US" w:eastAsia="pt-BR"/>
        </w:rPr>
      </w:pPr>
    </w:p>
    <w:p w14:paraId="518E46C3"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02EED6DD"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6A362F" w:rsidRPr="00AC3343" w14:paraId="6AFC0264"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FB58CB1" w14:textId="77777777" w:rsidR="006A362F" w:rsidRPr="00AC3343" w:rsidRDefault="006A362F" w:rsidP="006928A6">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2E322D2" w14:textId="77777777" w:rsidR="006A362F" w:rsidRPr="00AC3343"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Mar 31, 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EBB8577" w14:textId="77777777" w:rsidR="006A362F" w:rsidRPr="00AC3343"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Dez 31, 2022 (Restated balances)</w:t>
            </w:r>
          </w:p>
        </w:tc>
      </w:tr>
      <w:tr w:rsidR="006A362F" w:rsidRPr="004B635B" w14:paraId="531819B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tcPr>
          <w:p w14:paraId="60F4A033" w14:textId="77777777" w:rsidR="006A362F" w:rsidRPr="004B635B" w:rsidRDefault="006A362F" w:rsidP="006928A6">
            <w:pPr>
              <w:keepNext/>
              <w:keepLines/>
              <w:rPr>
                <w:rFonts w:eastAsia="Times New Roman" w:cs="Arial"/>
                <w:spacing w:val="-2"/>
                <w:sz w:val="14"/>
                <w:szCs w:val="14"/>
                <w:highlight w:val="yellow"/>
              </w:rPr>
            </w:pPr>
            <w:r>
              <w:rPr>
                <w:rFonts w:cs="Arial"/>
                <w:color w:val="000000"/>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23B2B7B2"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9</w:t>
            </w:r>
            <w:r>
              <w:rPr>
                <w:rFonts w:cs="Arial"/>
                <w:b/>
                <w:bCs/>
                <w:color w:val="000000"/>
                <w:sz w:val="14"/>
                <w:szCs w:val="14"/>
              </w:rPr>
              <w:t>,</w:t>
            </w:r>
            <w:r w:rsidRPr="004B635B">
              <w:rPr>
                <w:rFonts w:cs="Arial"/>
                <w:b/>
                <w:bCs/>
                <w:color w:val="000000"/>
                <w:sz w:val="14"/>
                <w:szCs w:val="14"/>
              </w:rPr>
              <w:t>388</w:t>
            </w:r>
            <w:r>
              <w:rPr>
                <w:rFonts w:cs="Arial"/>
                <w:b/>
                <w:bCs/>
                <w:color w:val="000000"/>
                <w:sz w:val="14"/>
                <w:szCs w:val="14"/>
              </w:rPr>
              <w:t>,</w:t>
            </w:r>
            <w:r w:rsidRPr="004B635B">
              <w:rPr>
                <w:rFonts w:cs="Arial"/>
                <w:b/>
                <w:bCs/>
                <w:color w:val="000000"/>
                <w:sz w:val="14"/>
                <w:szCs w:val="14"/>
              </w:rPr>
              <w:t>69</w:t>
            </w:r>
            <w:r>
              <w:rPr>
                <w:rFonts w:cs="Arial"/>
                <w:b/>
                <w:bCs/>
                <w:color w:val="000000"/>
                <w:sz w:val="14"/>
                <w:szCs w:val="14"/>
              </w:rPr>
              <w:t>2</w:t>
            </w:r>
            <w:r w:rsidRPr="004B635B">
              <w:rPr>
                <w:rFonts w:cs="Arial"/>
                <w:b/>
                <w:bCs/>
                <w:color w:val="000000"/>
                <w:sz w:val="14"/>
                <w:szCs w:val="14"/>
              </w:rPr>
              <w:t xml:space="preserve"> </w:t>
            </w:r>
          </w:p>
        </w:tc>
        <w:tc>
          <w:tcPr>
            <w:tcW w:w="3260" w:type="dxa"/>
            <w:tcBorders>
              <w:top w:val="single" w:sz="2" w:space="0" w:color="1F4E79" w:themeColor="accent1" w:themeShade="80"/>
              <w:left w:val="nil"/>
              <w:bottom w:val="nil"/>
              <w:right w:val="nil"/>
            </w:tcBorders>
            <w:shd w:val="clear" w:color="auto" w:fill="auto"/>
            <w:vAlign w:val="center"/>
          </w:tcPr>
          <w:p w14:paraId="1A3DE21C"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8</w:t>
            </w:r>
            <w:r>
              <w:rPr>
                <w:rFonts w:cs="Arial"/>
                <w:b/>
                <w:bCs/>
                <w:color w:val="000000"/>
                <w:sz w:val="14"/>
                <w:szCs w:val="14"/>
              </w:rPr>
              <w:t>,</w:t>
            </w:r>
            <w:r w:rsidRPr="004B635B">
              <w:rPr>
                <w:rFonts w:cs="Arial"/>
                <w:b/>
                <w:bCs/>
                <w:color w:val="000000"/>
                <w:sz w:val="14"/>
                <w:szCs w:val="14"/>
              </w:rPr>
              <w:t>876</w:t>
            </w:r>
            <w:r>
              <w:rPr>
                <w:rFonts w:cs="Arial"/>
                <w:b/>
                <w:bCs/>
                <w:color w:val="000000"/>
                <w:sz w:val="14"/>
                <w:szCs w:val="14"/>
              </w:rPr>
              <w:t>,</w:t>
            </w:r>
            <w:r w:rsidRPr="004B635B">
              <w:rPr>
                <w:rFonts w:cs="Arial"/>
                <w:b/>
                <w:bCs/>
                <w:color w:val="000000"/>
                <w:sz w:val="14"/>
                <w:szCs w:val="14"/>
              </w:rPr>
              <w:t>40</w:t>
            </w:r>
            <w:r>
              <w:rPr>
                <w:rFonts w:cs="Arial"/>
                <w:b/>
                <w:bCs/>
                <w:color w:val="000000"/>
                <w:sz w:val="14"/>
                <w:szCs w:val="14"/>
              </w:rPr>
              <w:t>5</w:t>
            </w:r>
            <w:r w:rsidRPr="004B635B">
              <w:rPr>
                <w:rFonts w:cs="Arial"/>
                <w:b/>
                <w:bCs/>
                <w:color w:val="000000"/>
                <w:sz w:val="14"/>
                <w:szCs w:val="14"/>
              </w:rPr>
              <w:t xml:space="preserve"> </w:t>
            </w:r>
          </w:p>
        </w:tc>
      </w:tr>
      <w:tr w:rsidR="006A362F" w:rsidRPr="00AC3343" w14:paraId="792C93A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E9FA7F8" w14:textId="77777777" w:rsidR="006A362F" w:rsidRPr="00AC3343"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Cash and cash equivalents</w:t>
            </w:r>
          </w:p>
        </w:tc>
        <w:tc>
          <w:tcPr>
            <w:tcW w:w="3260" w:type="dxa"/>
            <w:tcBorders>
              <w:top w:val="nil"/>
              <w:left w:val="nil"/>
              <w:bottom w:val="nil"/>
              <w:right w:val="nil"/>
            </w:tcBorders>
            <w:shd w:val="clear" w:color="auto" w:fill="auto"/>
            <w:vAlign w:val="center"/>
          </w:tcPr>
          <w:p w14:paraId="2DFBC629"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2</w:t>
            </w:r>
            <w:r>
              <w:rPr>
                <w:rFonts w:cs="Arial"/>
                <w:color w:val="000000"/>
                <w:sz w:val="14"/>
                <w:szCs w:val="14"/>
              </w:rPr>
              <w:t>,</w:t>
            </w:r>
            <w:r w:rsidRPr="00AC3343">
              <w:rPr>
                <w:rFonts w:cs="Arial"/>
                <w:color w:val="000000"/>
                <w:sz w:val="14"/>
                <w:szCs w:val="14"/>
              </w:rPr>
              <w:t xml:space="preserve">820 </w:t>
            </w:r>
          </w:p>
        </w:tc>
        <w:tc>
          <w:tcPr>
            <w:tcW w:w="3260" w:type="dxa"/>
            <w:tcBorders>
              <w:top w:val="nil"/>
              <w:left w:val="nil"/>
              <w:bottom w:val="nil"/>
              <w:right w:val="nil"/>
            </w:tcBorders>
            <w:shd w:val="clear" w:color="auto" w:fill="auto"/>
            <w:vAlign w:val="center"/>
          </w:tcPr>
          <w:p w14:paraId="2EEDF068"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5</w:t>
            </w:r>
            <w:r>
              <w:rPr>
                <w:rFonts w:cs="Arial"/>
                <w:color w:val="000000"/>
                <w:sz w:val="14"/>
                <w:szCs w:val="14"/>
              </w:rPr>
              <w:t>,</w:t>
            </w:r>
            <w:r w:rsidRPr="00AC3343">
              <w:rPr>
                <w:rFonts w:cs="Arial"/>
                <w:color w:val="000000"/>
                <w:sz w:val="14"/>
                <w:szCs w:val="14"/>
              </w:rPr>
              <w:t xml:space="preserve">220 </w:t>
            </w:r>
          </w:p>
        </w:tc>
      </w:tr>
      <w:tr w:rsidR="006A362F" w:rsidRPr="00AC3343" w14:paraId="6561D13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287D20" w14:textId="77777777" w:rsidR="006A362F" w:rsidRPr="00AC3343"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Receivables</w:t>
            </w:r>
          </w:p>
        </w:tc>
        <w:tc>
          <w:tcPr>
            <w:tcW w:w="3260" w:type="dxa"/>
            <w:tcBorders>
              <w:top w:val="nil"/>
              <w:left w:val="nil"/>
              <w:bottom w:val="nil"/>
              <w:right w:val="nil"/>
            </w:tcBorders>
            <w:shd w:val="clear" w:color="auto" w:fill="auto"/>
            <w:vAlign w:val="center"/>
          </w:tcPr>
          <w:p w14:paraId="3255155C"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231</w:t>
            </w:r>
            <w:r>
              <w:rPr>
                <w:rFonts w:cs="Arial"/>
                <w:color w:val="000000"/>
                <w:sz w:val="14"/>
                <w:szCs w:val="14"/>
              </w:rPr>
              <w:t>,</w:t>
            </w:r>
            <w:r w:rsidRPr="00AC3343">
              <w:rPr>
                <w:rFonts w:cs="Arial"/>
                <w:color w:val="000000"/>
                <w:sz w:val="14"/>
                <w:szCs w:val="14"/>
              </w:rPr>
              <w:t xml:space="preserve">367 </w:t>
            </w:r>
          </w:p>
        </w:tc>
        <w:tc>
          <w:tcPr>
            <w:tcW w:w="3260" w:type="dxa"/>
            <w:tcBorders>
              <w:top w:val="nil"/>
              <w:left w:val="nil"/>
              <w:bottom w:val="nil"/>
              <w:right w:val="nil"/>
            </w:tcBorders>
            <w:shd w:val="clear" w:color="auto" w:fill="auto"/>
            <w:vAlign w:val="center"/>
          </w:tcPr>
          <w:p w14:paraId="05213102"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278</w:t>
            </w:r>
            <w:r>
              <w:rPr>
                <w:rFonts w:cs="Arial"/>
                <w:color w:val="000000"/>
                <w:sz w:val="14"/>
                <w:szCs w:val="14"/>
              </w:rPr>
              <w:t>,</w:t>
            </w:r>
            <w:r w:rsidRPr="00AC3343">
              <w:rPr>
                <w:rFonts w:cs="Arial"/>
                <w:color w:val="000000"/>
                <w:sz w:val="14"/>
                <w:szCs w:val="14"/>
              </w:rPr>
              <w:t xml:space="preserve">638 </w:t>
            </w:r>
          </w:p>
        </w:tc>
      </w:tr>
      <w:tr w:rsidR="006A362F" w:rsidRPr="00AC3343" w14:paraId="452D0FF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A54E93" w14:textId="77777777" w:rsidR="006A362F" w:rsidRPr="00AC3343"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04C464CD"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7</w:t>
            </w:r>
            <w:r>
              <w:rPr>
                <w:rFonts w:cs="Arial"/>
                <w:color w:val="000000"/>
                <w:sz w:val="14"/>
                <w:szCs w:val="14"/>
              </w:rPr>
              <w:t>,</w:t>
            </w:r>
            <w:r w:rsidRPr="00AC3343">
              <w:rPr>
                <w:rFonts w:cs="Arial"/>
                <w:color w:val="000000"/>
                <w:sz w:val="14"/>
                <w:szCs w:val="14"/>
              </w:rPr>
              <w:t>308</w:t>
            </w:r>
            <w:r>
              <w:rPr>
                <w:rFonts w:cs="Arial"/>
                <w:color w:val="000000"/>
                <w:sz w:val="14"/>
                <w:szCs w:val="14"/>
              </w:rPr>
              <w:t>,</w:t>
            </w:r>
            <w:r w:rsidRPr="00AC3343">
              <w:rPr>
                <w:rFonts w:cs="Arial"/>
                <w:color w:val="000000"/>
                <w:sz w:val="14"/>
                <w:szCs w:val="14"/>
              </w:rPr>
              <w:t>18</w:t>
            </w:r>
            <w:r>
              <w:rPr>
                <w:rFonts w:cs="Arial"/>
                <w:color w:val="000000"/>
                <w:sz w:val="14"/>
                <w:szCs w:val="14"/>
              </w:rPr>
              <w:t>1</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7D5BC8A3"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7</w:t>
            </w:r>
            <w:r>
              <w:rPr>
                <w:rFonts w:cs="Arial"/>
                <w:color w:val="000000"/>
                <w:sz w:val="14"/>
                <w:szCs w:val="14"/>
              </w:rPr>
              <w:t>,</w:t>
            </w:r>
            <w:r w:rsidRPr="00AC3343">
              <w:rPr>
                <w:rFonts w:cs="Arial"/>
                <w:color w:val="000000"/>
                <w:sz w:val="14"/>
                <w:szCs w:val="14"/>
              </w:rPr>
              <w:t>047</w:t>
            </w:r>
            <w:r>
              <w:rPr>
                <w:rFonts w:cs="Arial"/>
                <w:color w:val="000000"/>
                <w:sz w:val="14"/>
                <w:szCs w:val="14"/>
              </w:rPr>
              <w:t>,</w:t>
            </w:r>
            <w:r w:rsidRPr="00AC3343">
              <w:rPr>
                <w:rFonts w:cs="Arial"/>
                <w:color w:val="000000"/>
                <w:sz w:val="14"/>
                <w:szCs w:val="14"/>
              </w:rPr>
              <w:t>68</w:t>
            </w:r>
            <w:r>
              <w:rPr>
                <w:rFonts w:cs="Arial"/>
                <w:color w:val="000000"/>
                <w:sz w:val="14"/>
                <w:szCs w:val="14"/>
              </w:rPr>
              <w:t>9</w:t>
            </w:r>
            <w:r w:rsidRPr="00AC3343">
              <w:rPr>
                <w:rFonts w:cs="Arial"/>
                <w:color w:val="000000"/>
                <w:sz w:val="14"/>
                <w:szCs w:val="14"/>
              </w:rPr>
              <w:t xml:space="preserve"> </w:t>
            </w:r>
          </w:p>
        </w:tc>
      </w:tr>
      <w:tr w:rsidR="006A362F" w:rsidRPr="00AC3343" w14:paraId="4B61CE4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CC9A522" w14:textId="77777777" w:rsidR="006A362F" w:rsidRPr="00AC3343" w:rsidRDefault="006A362F" w:rsidP="006928A6">
            <w:pPr>
              <w:keepNext/>
              <w:keepLines/>
              <w:ind w:left="113"/>
              <w:rPr>
                <w:rFonts w:cs="Arial"/>
                <w:b w:val="0"/>
                <w:bCs w:val="0"/>
                <w:color w:val="000000"/>
                <w:sz w:val="14"/>
                <w:szCs w:val="14"/>
                <w:highlight w:val="yellow"/>
              </w:rPr>
            </w:pPr>
            <w:r>
              <w:rPr>
                <w:rFonts w:cs="Arial"/>
                <w:b w:val="0"/>
                <w:bCs w:val="0"/>
                <w:color w:val="000000"/>
                <w:sz w:val="14"/>
                <w:szCs w:val="14"/>
              </w:rPr>
              <w:t>I</w:t>
            </w:r>
            <w:r w:rsidRPr="00A94E39">
              <w:rPr>
                <w:rFonts w:cs="Arial"/>
                <w:b w:val="0"/>
                <w:bCs w:val="0"/>
                <w:color w:val="000000"/>
                <w:sz w:val="14"/>
                <w:szCs w:val="14"/>
              </w:rPr>
              <w:t>nsurance contracts</w:t>
            </w:r>
          </w:p>
        </w:tc>
        <w:tc>
          <w:tcPr>
            <w:tcW w:w="3260" w:type="dxa"/>
            <w:tcBorders>
              <w:top w:val="nil"/>
              <w:left w:val="nil"/>
              <w:bottom w:val="nil"/>
              <w:right w:val="nil"/>
            </w:tcBorders>
            <w:shd w:val="clear" w:color="auto" w:fill="auto"/>
            <w:vAlign w:val="center"/>
          </w:tcPr>
          <w:p w14:paraId="0ED0EA9D"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747</w:t>
            </w:r>
            <w:r>
              <w:rPr>
                <w:rFonts w:cs="Arial"/>
                <w:color w:val="000000"/>
                <w:sz w:val="14"/>
                <w:szCs w:val="14"/>
              </w:rPr>
              <w:t>,</w:t>
            </w:r>
            <w:r w:rsidRPr="00AC3343">
              <w:rPr>
                <w:rFonts w:cs="Arial"/>
                <w:color w:val="000000"/>
                <w:sz w:val="14"/>
                <w:szCs w:val="14"/>
              </w:rPr>
              <w:t xml:space="preserve">034 </w:t>
            </w:r>
          </w:p>
        </w:tc>
        <w:tc>
          <w:tcPr>
            <w:tcW w:w="3260" w:type="dxa"/>
            <w:tcBorders>
              <w:top w:val="nil"/>
              <w:left w:val="nil"/>
              <w:bottom w:val="nil"/>
              <w:right w:val="nil"/>
            </w:tcBorders>
            <w:shd w:val="clear" w:color="auto" w:fill="auto"/>
            <w:vAlign w:val="center"/>
          </w:tcPr>
          <w:p w14:paraId="7FC533D1"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462</w:t>
            </w:r>
            <w:r>
              <w:rPr>
                <w:rFonts w:cs="Arial"/>
                <w:color w:val="000000"/>
                <w:sz w:val="14"/>
                <w:szCs w:val="14"/>
              </w:rPr>
              <w:t>,</w:t>
            </w:r>
            <w:r w:rsidRPr="00AC3343">
              <w:rPr>
                <w:rFonts w:cs="Arial"/>
                <w:color w:val="000000"/>
                <w:sz w:val="14"/>
                <w:szCs w:val="14"/>
              </w:rPr>
              <w:t xml:space="preserve">281 </w:t>
            </w:r>
          </w:p>
        </w:tc>
      </w:tr>
      <w:tr w:rsidR="006A362F" w:rsidRPr="00AC3343" w14:paraId="1BB1948C"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32CB91" w14:textId="77777777" w:rsidR="006A362F" w:rsidRPr="00AC3343" w:rsidRDefault="006A362F" w:rsidP="006928A6">
            <w:pPr>
              <w:keepNext/>
              <w:keepLines/>
              <w:ind w:left="113"/>
              <w:rPr>
                <w:rFonts w:cs="Arial"/>
                <w:b w:val="0"/>
                <w:bCs w:val="0"/>
                <w:color w:val="000000"/>
                <w:sz w:val="14"/>
                <w:szCs w:val="14"/>
                <w:highlight w:val="yellow"/>
              </w:rPr>
            </w:pPr>
            <w:r w:rsidRPr="00A94E39">
              <w:rPr>
                <w:rFonts w:cs="Arial"/>
                <w:b w:val="0"/>
                <w:bCs w:val="0"/>
                <w:color w:val="000000"/>
                <w:sz w:val="14"/>
                <w:szCs w:val="14"/>
              </w:rPr>
              <w:t>Current tax asset</w:t>
            </w:r>
          </w:p>
        </w:tc>
        <w:tc>
          <w:tcPr>
            <w:tcW w:w="3260" w:type="dxa"/>
            <w:tcBorders>
              <w:top w:val="nil"/>
              <w:left w:val="nil"/>
              <w:bottom w:val="nil"/>
              <w:right w:val="nil"/>
            </w:tcBorders>
            <w:shd w:val="clear" w:color="auto" w:fill="auto"/>
            <w:vAlign w:val="center"/>
          </w:tcPr>
          <w:p w14:paraId="71B82A60"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73</w:t>
            </w:r>
            <w:r>
              <w:rPr>
                <w:rFonts w:cs="Arial"/>
                <w:color w:val="000000"/>
                <w:sz w:val="14"/>
                <w:szCs w:val="14"/>
              </w:rPr>
              <w:t>,</w:t>
            </w:r>
            <w:r w:rsidRPr="00AC3343">
              <w:rPr>
                <w:rFonts w:cs="Arial"/>
                <w:color w:val="000000"/>
                <w:sz w:val="14"/>
                <w:szCs w:val="14"/>
              </w:rPr>
              <w:t xml:space="preserve">091 </w:t>
            </w:r>
          </w:p>
        </w:tc>
        <w:tc>
          <w:tcPr>
            <w:tcW w:w="3260" w:type="dxa"/>
            <w:tcBorders>
              <w:top w:val="nil"/>
              <w:left w:val="nil"/>
              <w:bottom w:val="nil"/>
              <w:right w:val="nil"/>
            </w:tcBorders>
            <w:shd w:val="clear" w:color="auto" w:fill="auto"/>
            <w:vAlign w:val="center"/>
          </w:tcPr>
          <w:p w14:paraId="413EA7A1"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65</w:t>
            </w:r>
            <w:r>
              <w:rPr>
                <w:rFonts w:cs="Arial"/>
                <w:color w:val="000000"/>
                <w:sz w:val="14"/>
                <w:szCs w:val="14"/>
              </w:rPr>
              <w:t>,</w:t>
            </w:r>
            <w:r w:rsidRPr="00AC3343">
              <w:rPr>
                <w:rFonts w:cs="Arial"/>
                <w:color w:val="000000"/>
                <w:sz w:val="14"/>
                <w:szCs w:val="14"/>
              </w:rPr>
              <w:t xml:space="preserve">291 </w:t>
            </w:r>
          </w:p>
        </w:tc>
      </w:tr>
      <w:tr w:rsidR="006A362F" w:rsidRPr="00AC3343" w14:paraId="1DA4A1A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9C7629" w14:textId="77777777" w:rsidR="006A362F" w:rsidRPr="00AC3343" w:rsidRDefault="006A362F" w:rsidP="006928A6">
            <w:pPr>
              <w:keepNext/>
              <w:keepLines/>
              <w:spacing w:before="40" w:after="40"/>
              <w:ind w:left="113"/>
              <w:rPr>
                <w:rFonts w:cs="Arial"/>
                <w:b w:val="0"/>
                <w:bCs w:val="0"/>
                <w:sz w:val="14"/>
                <w:szCs w:val="14"/>
                <w:highlight w:val="yellow"/>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3B6DB852"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26</w:t>
            </w:r>
            <w:r>
              <w:rPr>
                <w:rFonts w:cs="Arial"/>
                <w:color w:val="000000"/>
                <w:sz w:val="14"/>
                <w:szCs w:val="14"/>
              </w:rPr>
              <w:t>,</w:t>
            </w:r>
            <w:r w:rsidRPr="00AC3343">
              <w:rPr>
                <w:rFonts w:cs="Arial"/>
                <w:color w:val="000000"/>
                <w:sz w:val="14"/>
                <w:szCs w:val="14"/>
              </w:rPr>
              <w:t xml:space="preserve">199 </w:t>
            </w:r>
          </w:p>
        </w:tc>
        <w:tc>
          <w:tcPr>
            <w:tcW w:w="3260" w:type="dxa"/>
            <w:tcBorders>
              <w:top w:val="nil"/>
              <w:left w:val="nil"/>
              <w:bottom w:val="nil"/>
              <w:right w:val="nil"/>
            </w:tcBorders>
            <w:shd w:val="clear" w:color="auto" w:fill="auto"/>
            <w:vAlign w:val="center"/>
          </w:tcPr>
          <w:p w14:paraId="7B44E8D1"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17</w:t>
            </w:r>
            <w:r>
              <w:rPr>
                <w:rFonts w:cs="Arial"/>
                <w:color w:val="000000"/>
                <w:sz w:val="14"/>
                <w:szCs w:val="14"/>
              </w:rPr>
              <w:t>,</w:t>
            </w:r>
            <w:r w:rsidRPr="00AC3343">
              <w:rPr>
                <w:rFonts w:cs="Arial"/>
                <w:color w:val="000000"/>
                <w:sz w:val="14"/>
                <w:szCs w:val="14"/>
              </w:rPr>
              <w:t xml:space="preserve">286 </w:t>
            </w:r>
          </w:p>
        </w:tc>
      </w:tr>
      <w:tr w:rsidR="006A362F" w:rsidRPr="004B635B" w14:paraId="1479DBBF"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D928CD" w14:textId="77777777" w:rsidR="006A362F" w:rsidRPr="004B635B" w:rsidRDefault="006A362F" w:rsidP="006928A6">
            <w:pPr>
              <w:keepNext/>
              <w:keepLines/>
              <w:spacing w:before="40" w:after="40"/>
              <w:rPr>
                <w:rFonts w:cs="Arial"/>
                <w:sz w:val="14"/>
                <w:szCs w:val="14"/>
                <w:highlight w:val="yellow"/>
              </w:rPr>
            </w:pPr>
            <w:r>
              <w:rPr>
                <w:rFonts w:cs="Arial"/>
                <w:color w:val="000000"/>
                <w:sz w:val="14"/>
                <w:szCs w:val="14"/>
              </w:rPr>
              <w:t>Non-current assets</w:t>
            </w:r>
          </w:p>
        </w:tc>
        <w:tc>
          <w:tcPr>
            <w:tcW w:w="3260" w:type="dxa"/>
            <w:tcBorders>
              <w:top w:val="nil"/>
              <w:left w:val="nil"/>
              <w:bottom w:val="nil"/>
              <w:right w:val="nil"/>
            </w:tcBorders>
            <w:shd w:val="clear" w:color="auto" w:fill="auto"/>
            <w:vAlign w:val="center"/>
          </w:tcPr>
          <w:p w14:paraId="58FF2AB8"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2</w:t>
            </w:r>
            <w:r>
              <w:rPr>
                <w:rFonts w:cs="Arial"/>
                <w:b/>
                <w:bCs/>
                <w:color w:val="000000"/>
                <w:sz w:val="14"/>
                <w:szCs w:val="14"/>
              </w:rPr>
              <w:t>,</w:t>
            </w:r>
            <w:r w:rsidRPr="004B635B">
              <w:rPr>
                <w:rFonts w:cs="Arial"/>
                <w:b/>
                <w:bCs/>
                <w:color w:val="000000"/>
                <w:sz w:val="14"/>
                <w:szCs w:val="14"/>
              </w:rPr>
              <w:t>939</w:t>
            </w:r>
            <w:r>
              <w:rPr>
                <w:rFonts w:cs="Arial"/>
                <w:b/>
                <w:bCs/>
                <w:color w:val="000000"/>
                <w:sz w:val="14"/>
                <w:szCs w:val="14"/>
              </w:rPr>
              <w:t>,</w:t>
            </w:r>
            <w:r w:rsidRPr="004B635B">
              <w:rPr>
                <w:rFonts w:cs="Arial"/>
                <w:b/>
                <w:bCs/>
                <w:color w:val="000000"/>
                <w:sz w:val="14"/>
                <w:szCs w:val="14"/>
              </w:rPr>
              <w:t>68</w:t>
            </w:r>
            <w:r>
              <w:rPr>
                <w:rFonts w:cs="Arial"/>
                <w:b/>
                <w:bCs/>
                <w:color w:val="000000"/>
                <w:sz w:val="14"/>
                <w:szCs w:val="14"/>
              </w:rPr>
              <w:t>0</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5016C469"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3</w:t>
            </w:r>
            <w:r>
              <w:rPr>
                <w:rFonts w:cs="Arial"/>
                <w:b/>
                <w:bCs/>
                <w:color w:val="000000"/>
                <w:sz w:val="14"/>
                <w:szCs w:val="14"/>
              </w:rPr>
              <w:t>,</w:t>
            </w:r>
            <w:r w:rsidRPr="004B635B">
              <w:rPr>
                <w:rFonts w:cs="Arial"/>
                <w:b/>
                <w:bCs/>
                <w:color w:val="000000"/>
                <w:sz w:val="14"/>
                <w:szCs w:val="14"/>
              </w:rPr>
              <w:t>251</w:t>
            </w:r>
            <w:r>
              <w:rPr>
                <w:rFonts w:cs="Arial"/>
                <w:b/>
                <w:bCs/>
                <w:color w:val="000000"/>
                <w:sz w:val="14"/>
                <w:szCs w:val="14"/>
              </w:rPr>
              <w:t>,</w:t>
            </w:r>
            <w:r w:rsidRPr="004B635B">
              <w:rPr>
                <w:rFonts w:cs="Arial"/>
                <w:b/>
                <w:bCs/>
                <w:color w:val="000000"/>
                <w:sz w:val="14"/>
                <w:szCs w:val="14"/>
              </w:rPr>
              <w:t>40</w:t>
            </w:r>
            <w:r>
              <w:rPr>
                <w:rFonts w:cs="Arial"/>
                <w:b/>
                <w:bCs/>
                <w:color w:val="000000"/>
                <w:sz w:val="14"/>
                <w:szCs w:val="14"/>
              </w:rPr>
              <w:t>3</w:t>
            </w:r>
            <w:r w:rsidRPr="004B635B">
              <w:rPr>
                <w:rFonts w:cs="Arial"/>
                <w:b/>
                <w:bCs/>
                <w:color w:val="000000"/>
                <w:sz w:val="14"/>
                <w:szCs w:val="14"/>
              </w:rPr>
              <w:t xml:space="preserve"> </w:t>
            </w:r>
          </w:p>
        </w:tc>
      </w:tr>
      <w:tr w:rsidR="006A362F" w:rsidRPr="00AC3343" w14:paraId="586DFBE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EFDB92" w14:textId="77777777" w:rsidR="006A362F" w:rsidRPr="00AC3343" w:rsidRDefault="006A362F" w:rsidP="006928A6">
            <w:pPr>
              <w:keepNext/>
              <w:keepLines/>
              <w:spacing w:before="40" w:after="40"/>
              <w:ind w:left="113"/>
              <w:rPr>
                <w:rFonts w:cs="Arial"/>
                <w:b w:val="0"/>
                <w:bCs w:val="0"/>
                <w:sz w:val="14"/>
                <w:szCs w:val="14"/>
                <w:highlight w:val="yellow"/>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09C737D3"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202</w:t>
            </w:r>
            <w:r>
              <w:rPr>
                <w:rFonts w:cs="Arial"/>
                <w:color w:val="000000"/>
                <w:sz w:val="14"/>
                <w:szCs w:val="14"/>
              </w:rPr>
              <w:t>,</w:t>
            </w:r>
            <w:r w:rsidRPr="00AC3343">
              <w:rPr>
                <w:rFonts w:cs="Arial"/>
                <w:color w:val="000000"/>
                <w:sz w:val="14"/>
                <w:szCs w:val="14"/>
              </w:rPr>
              <w:t>81</w:t>
            </w:r>
            <w:r>
              <w:rPr>
                <w:rFonts w:cs="Arial"/>
                <w:color w:val="000000"/>
                <w:sz w:val="14"/>
                <w:szCs w:val="14"/>
              </w:rPr>
              <w:t>1</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3AB54D94"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581</w:t>
            </w:r>
            <w:r>
              <w:rPr>
                <w:rFonts w:cs="Arial"/>
                <w:color w:val="000000"/>
                <w:sz w:val="14"/>
                <w:szCs w:val="14"/>
              </w:rPr>
              <w:t>,</w:t>
            </w:r>
            <w:r w:rsidRPr="00AC3343">
              <w:rPr>
                <w:rFonts w:cs="Arial"/>
                <w:color w:val="000000"/>
                <w:sz w:val="14"/>
                <w:szCs w:val="14"/>
              </w:rPr>
              <w:t>55</w:t>
            </w:r>
            <w:r>
              <w:rPr>
                <w:rFonts w:cs="Arial"/>
                <w:color w:val="000000"/>
                <w:sz w:val="14"/>
                <w:szCs w:val="14"/>
              </w:rPr>
              <w:t>7</w:t>
            </w:r>
            <w:r w:rsidRPr="00AC3343">
              <w:rPr>
                <w:rFonts w:cs="Arial"/>
                <w:color w:val="000000"/>
                <w:sz w:val="14"/>
                <w:szCs w:val="14"/>
              </w:rPr>
              <w:t xml:space="preserve"> </w:t>
            </w:r>
          </w:p>
        </w:tc>
      </w:tr>
      <w:tr w:rsidR="006A362F" w:rsidRPr="00AC3343" w14:paraId="5BAC29FE"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64F422" w14:textId="77777777" w:rsidR="006A362F" w:rsidRPr="00AC3343" w:rsidRDefault="006A362F" w:rsidP="006928A6">
            <w:pPr>
              <w:keepNext/>
              <w:keepLines/>
              <w:ind w:left="113"/>
              <w:rPr>
                <w:rFonts w:cs="Arial"/>
                <w:b w:val="0"/>
                <w:bCs w:val="0"/>
                <w:color w:val="000000"/>
                <w:sz w:val="14"/>
                <w:szCs w:val="14"/>
                <w:highlight w:val="yellow"/>
              </w:rPr>
            </w:pPr>
            <w:r>
              <w:rPr>
                <w:rFonts w:cs="Arial"/>
                <w:b w:val="0"/>
                <w:bCs w:val="0"/>
                <w:color w:val="000000"/>
                <w:sz w:val="14"/>
                <w:szCs w:val="14"/>
              </w:rPr>
              <w:t>D</w:t>
            </w:r>
            <w:r w:rsidRPr="00A94E39">
              <w:rPr>
                <w:rFonts w:cs="Arial"/>
                <w:b w:val="0"/>
                <w:bCs w:val="0"/>
                <w:color w:val="000000"/>
                <w:sz w:val="14"/>
                <w:szCs w:val="14"/>
              </w:rPr>
              <w:t>eferred tax asset</w:t>
            </w:r>
          </w:p>
        </w:tc>
        <w:tc>
          <w:tcPr>
            <w:tcW w:w="3260" w:type="dxa"/>
            <w:tcBorders>
              <w:top w:val="nil"/>
              <w:left w:val="nil"/>
              <w:bottom w:val="nil"/>
              <w:right w:val="nil"/>
            </w:tcBorders>
            <w:shd w:val="clear" w:color="auto" w:fill="auto"/>
            <w:vAlign w:val="center"/>
          </w:tcPr>
          <w:p w14:paraId="51F66676"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253</w:t>
            </w:r>
            <w:r>
              <w:rPr>
                <w:rFonts w:cs="Arial"/>
                <w:color w:val="000000"/>
                <w:sz w:val="14"/>
                <w:szCs w:val="14"/>
              </w:rPr>
              <w:t>,</w:t>
            </w:r>
            <w:r w:rsidRPr="00AC3343">
              <w:rPr>
                <w:rFonts w:cs="Arial"/>
                <w:color w:val="000000"/>
                <w:sz w:val="14"/>
                <w:szCs w:val="14"/>
              </w:rPr>
              <w:t xml:space="preserve">031 </w:t>
            </w:r>
          </w:p>
        </w:tc>
        <w:tc>
          <w:tcPr>
            <w:tcW w:w="3260" w:type="dxa"/>
            <w:tcBorders>
              <w:top w:val="nil"/>
              <w:left w:val="nil"/>
              <w:bottom w:val="nil"/>
              <w:right w:val="nil"/>
            </w:tcBorders>
            <w:shd w:val="clear" w:color="auto" w:fill="auto"/>
            <w:vAlign w:val="center"/>
          </w:tcPr>
          <w:p w14:paraId="74C599DA"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204</w:t>
            </w:r>
            <w:r>
              <w:rPr>
                <w:rFonts w:cs="Arial"/>
                <w:color w:val="000000"/>
                <w:sz w:val="14"/>
                <w:szCs w:val="14"/>
              </w:rPr>
              <w:t>,</w:t>
            </w:r>
            <w:r w:rsidRPr="00AC3343">
              <w:rPr>
                <w:rFonts w:cs="Arial"/>
                <w:color w:val="000000"/>
                <w:sz w:val="14"/>
                <w:szCs w:val="14"/>
              </w:rPr>
              <w:t xml:space="preserve">656 </w:t>
            </w:r>
          </w:p>
        </w:tc>
      </w:tr>
      <w:tr w:rsidR="006A362F" w:rsidRPr="00AC3343" w14:paraId="57C8206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6D3E164" w14:textId="77777777" w:rsidR="006A362F" w:rsidRPr="00AC3343" w:rsidRDefault="006A362F" w:rsidP="006928A6">
            <w:pPr>
              <w:keepNext/>
              <w:keepLines/>
              <w:spacing w:before="40" w:after="40"/>
              <w:ind w:left="113"/>
              <w:rPr>
                <w:rFonts w:eastAsia="Times New Roman" w:cs="Arial"/>
                <w:b w:val="0"/>
                <w:bCs w:val="0"/>
                <w:spacing w:val="-2"/>
                <w:sz w:val="14"/>
                <w:szCs w:val="14"/>
                <w:highlight w:val="yellow"/>
              </w:rPr>
            </w:pPr>
            <w:r>
              <w:rPr>
                <w:rFonts w:cs="Arial"/>
                <w:b w:val="0"/>
                <w:bCs w:val="0"/>
                <w:color w:val="000000"/>
                <w:sz w:val="14"/>
                <w:szCs w:val="14"/>
              </w:rPr>
              <w:t>Fixed and intangible</w:t>
            </w:r>
          </w:p>
        </w:tc>
        <w:tc>
          <w:tcPr>
            <w:tcW w:w="3260" w:type="dxa"/>
            <w:tcBorders>
              <w:top w:val="nil"/>
              <w:left w:val="nil"/>
              <w:bottom w:val="nil"/>
              <w:right w:val="nil"/>
            </w:tcBorders>
            <w:shd w:val="clear" w:color="auto" w:fill="auto"/>
            <w:vAlign w:val="center"/>
          </w:tcPr>
          <w:p w14:paraId="397ABDA7"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401</w:t>
            </w:r>
            <w:r>
              <w:rPr>
                <w:rFonts w:cs="Arial"/>
                <w:color w:val="000000"/>
                <w:sz w:val="14"/>
                <w:szCs w:val="14"/>
              </w:rPr>
              <w:t>,</w:t>
            </w:r>
            <w:r w:rsidRPr="00AC3343">
              <w:rPr>
                <w:rFonts w:cs="Arial"/>
                <w:color w:val="000000"/>
                <w:sz w:val="14"/>
                <w:szCs w:val="14"/>
              </w:rPr>
              <w:t xml:space="preserve">576 </w:t>
            </w:r>
          </w:p>
        </w:tc>
        <w:tc>
          <w:tcPr>
            <w:tcW w:w="3260" w:type="dxa"/>
            <w:tcBorders>
              <w:top w:val="nil"/>
              <w:left w:val="nil"/>
              <w:bottom w:val="nil"/>
              <w:right w:val="nil"/>
            </w:tcBorders>
            <w:shd w:val="clear" w:color="auto" w:fill="auto"/>
            <w:vAlign w:val="center"/>
          </w:tcPr>
          <w:p w14:paraId="34CA811E"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427</w:t>
            </w:r>
            <w:r>
              <w:rPr>
                <w:rFonts w:cs="Arial"/>
                <w:color w:val="000000"/>
                <w:sz w:val="14"/>
                <w:szCs w:val="14"/>
              </w:rPr>
              <w:t>,</w:t>
            </w:r>
            <w:r w:rsidRPr="00AC3343">
              <w:rPr>
                <w:rFonts w:cs="Arial"/>
                <w:color w:val="000000"/>
                <w:sz w:val="14"/>
                <w:szCs w:val="14"/>
              </w:rPr>
              <w:t xml:space="preserve">718 </w:t>
            </w:r>
          </w:p>
        </w:tc>
      </w:tr>
      <w:tr w:rsidR="006A362F" w:rsidRPr="00AC3343" w14:paraId="457774D6"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8F2A31" w14:textId="77777777" w:rsidR="006A362F" w:rsidRPr="00AC3343" w:rsidRDefault="006A362F" w:rsidP="006928A6">
            <w:pPr>
              <w:keepNext/>
              <w:keepLines/>
              <w:ind w:left="113"/>
              <w:rPr>
                <w:rFonts w:cs="Arial"/>
                <w:b w:val="0"/>
                <w:bCs w:val="0"/>
                <w:color w:val="000000"/>
                <w:sz w:val="14"/>
                <w:szCs w:val="14"/>
                <w:highlight w:val="yellow"/>
              </w:rPr>
            </w:pPr>
            <w:r>
              <w:rPr>
                <w:rFonts w:cs="Arial"/>
                <w:b w:val="0"/>
                <w:bCs w:val="0"/>
                <w:color w:val="000000"/>
                <w:sz w:val="14"/>
                <w:szCs w:val="14"/>
              </w:rPr>
              <w:t>Investments in associates</w:t>
            </w:r>
          </w:p>
        </w:tc>
        <w:tc>
          <w:tcPr>
            <w:tcW w:w="3260" w:type="dxa"/>
            <w:tcBorders>
              <w:top w:val="nil"/>
              <w:left w:val="nil"/>
              <w:bottom w:val="nil"/>
              <w:right w:val="nil"/>
            </w:tcBorders>
            <w:shd w:val="clear" w:color="auto" w:fill="auto"/>
            <w:vAlign w:val="center"/>
          </w:tcPr>
          <w:p w14:paraId="1652646F"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30</w:t>
            </w:r>
            <w:r>
              <w:rPr>
                <w:rFonts w:cs="Arial"/>
                <w:color w:val="000000"/>
                <w:sz w:val="14"/>
                <w:szCs w:val="14"/>
              </w:rPr>
              <w:t>,</w:t>
            </w:r>
            <w:r w:rsidRPr="00AC3343">
              <w:rPr>
                <w:rFonts w:cs="Arial"/>
                <w:color w:val="000000"/>
                <w:sz w:val="14"/>
                <w:szCs w:val="14"/>
              </w:rPr>
              <w:t xml:space="preserve">394 </w:t>
            </w:r>
          </w:p>
        </w:tc>
        <w:tc>
          <w:tcPr>
            <w:tcW w:w="3260" w:type="dxa"/>
            <w:tcBorders>
              <w:top w:val="nil"/>
              <w:left w:val="nil"/>
              <w:bottom w:val="nil"/>
              <w:right w:val="nil"/>
            </w:tcBorders>
            <w:shd w:val="clear" w:color="auto" w:fill="auto"/>
            <w:vAlign w:val="center"/>
          </w:tcPr>
          <w:p w14:paraId="71E3A680"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 xml:space="preserve">106 </w:t>
            </w:r>
          </w:p>
        </w:tc>
      </w:tr>
      <w:tr w:rsidR="006A362F" w:rsidRPr="00AC3343" w14:paraId="092DD46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CA04CB" w14:textId="77777777" w:rsidR="006A362F" w:rsidRPr="00AC3343" w:rsidRDefault="006A362F" w:rsidP="006928A6">
            <w:pPr>
              <w:keepNext/>
              <w:keepLines/>
              <w:spacing w:before="40" w:after="40"/>
              <w:ind w:left="113"/>
              <w:rPr>
                <w:rFonts w:eastAsia="Times New Roman" w:cs="Arial"/>
                <w:b w:val="0"/>
                <w:bCs w:val="0"/>
                <w:spacing w:val="-2"/>
                <w:sz w:val="14"/>
                <w:szCs w:val="14"/>
                <w:highlight w:val="yellow"/>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6B26AB6C"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051</w:t>
            </w:r>
            <w:r>
              <w:rPr>
                <w:rFonts w:cs="Arial"/>
                <w:color w:val="000000"/>
                <w:sz w:val="14"/>
                <w:szCs w:val="14"/>
              </w:rPr>
              <w:t>,</w:t>
            </w:r>
            <w:r w:rsidRPr="00AC3343">
              <w:rPr>
                <w:rFonts w:cs="Arial"/>
                <w:color w:val="000000"/>
                <w:sz w:val="14"/>
                <w:szCs w:val="14"/>
              </w:rPr>
              <w:t>86</w:t>
            </w:r>
            <w:r>
              <w:rPr>
                <w:rFonts w:cs="Arial"/>
                <w:color w:val="000000"/>
                <w:sz w:val="14"/>
                <w:szCs w:val="14"/>
              </w:rPr>
              <w:t>8</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458B399B"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036</w:t>
            </w:r>
            <w:r>
              <w:rPr>
                <w:rFonts w:cs="Arial"/>
                <w:color w:val="000000"/>
                <w:sz w:val="14"/>
                <w:szCs w:val="14"/>
              </w:rPr>
              <w:t>,</w:t>
            </w:r>
            <w:r w:rsidRPr="00AC3343">
              <w:rPr>
                <w:rFonts w:cs="Arial"/>
                <w:color w:val="000000"/>
                <w:sz w:val="14"/>
                <w:szCs w:val="14"/>
              </w:rPr>
              <w:t xml:space="preserve">366 </w:t>
            </w:r>
          </w:p>
        </w:tc>
      </w:tr>
      <w:tr w:rsidR="006A362F" w:rsidRPr="004B635B" w14:paraId="34A2021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39B514" w14:textId="77777777" w:rsidR="006A362F" w:rsidRPr="004B635B" w:rsidRDefault="006A362F" w:rsidP="006928A6">
            <w:pPr>
              <w:keepNext/>
              <w:keepLines/>
              <w:spacing w:before="40" w:after="40"/>
              <w:rPr>
                <w:rFonts w:eastAsia="Times New Roman" w:cs="Arial"/>
                <w:spacing w:val="-2"/>
                <w:sz w:val="14"/>
                <w:szCs w:val="14"/>
                <w:highlight w:val="yellow"/>
              </w:rPr>
            </w:pPr>
            <w:r>
              <w:rPr>
                <w:rFonts w:cs="Arial"/>
                <w:color w:val="000000"/>
                <w:sz w:val="14"/>
                <w:szCs w:val="14"/>
              </w:rPr>
              <w:t>Total Assets</w:t>
            </w:r>
          </w:p>
        </w:tc>
        <w:tc>
          <w:tcPr>
            <w:tcW w:w="3260" w:type="dxa"/>
            <w:tcBorders>
              <w:top w:val="nil"/>
              <w:left w:val="nil"/>
              <w:bottom w:val="nil"/>
              <w:right w:val="nil"/>
            </w:tcBorders>
            <w:shd w:val="clear" w:color="auto" w:fill="auto"/>
            <w:vAlign w:val="center"/>
          </w:tcPr>
          <w:p w14:paraId="46E4954F"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w:t>
            </w:r>
            <w:r>
              <w:rPr>
                <w:rFonts w:cs="Arial"/>
                <w:b/>
                <w:bCs/>
                <w:color w:val="000000"/>
                <w:sz w:val="14"/>
                <w:szCs w:val="14"/>
              </w:rPr>
              <w:t>,</w:t>
            </w:r>
            <w:r w:rsidRPr="004B635B">
              <w:rPr>
                <w:rFonts w:cs="Arial"/>
                <w:b/>
                <w:bCs/>
                <w:color w:val="000000"/>
                <w:sz w:val="14"/>
                <w:szCs w:val="14"/>
              </w:rPr>
              <w:t>328</w:t>
            </w:r>
            <w:r>
              <w:rPr>
                <w:rFonts w:cs="Arial"/>
                <w:b/>
                <w:bCs/>
                <w:color w:val="000000"/>
                <w:sz w:val="14"/>
                <w:szCs w:val="14"/>
              </w:rPr>
              <w:t>,</w:t>
            </w:r>
            <w:r w:rsidRPr="004B635B">
              <w:rPr>
                <w:rFonts w:cs="Arial"/>
                <w:b/>
                <w:bCs/>
                <w:color w:val="000000"/>
                <w:sz w:val="14"/>
                <w:szCs w:val="14"/>
              </w:rPr>
              <w:t>37</w:t>
            </w:r>
            <w:r>
              <w:rPr>
                <w:rFonts w:cs="Arial"/>
                <w:b/>
                <w:bCs/>
                <w:color w:val="000000"/>
                <w:sz w:val="14"/>
                <w:szCs w:val="14"/>
              </w:rPr>
              <w:t>2</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4A40D7C2"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w:t>
            </w:r>
            <w:r>
              <w:rPr>
                <w:rFonts w:cs="Arial"/>
                <w:b/>
                <w:bCs/>
                <w:color w:val="000000"/>
                <w:sz w:val="14"/>
                <w:szCs w:val="14"/>
              </w:rPr>
              <w:t>,</w:t>
            </w:r>
            <w:r w:rsidRPr="004B635B">
              <w:rPr>
                <w:rFonts w:cs="Arial"/>
                <w:b/>
                <w:bCs/>
                <w:color w:val="000000"/>
                <w:sz w:val="14"/>
                <w:szCs w:val="14"/>
              </w:rPr>
              <w:t>127</w:t>
            </w:r>
            <w:r>
              <w:rPr>
                <w:rFonts w:cs="Arial"/>
                <w:b/>
                <w:bCs/>
                <w:color w:val="000000"/>
                <w:sz w:val="14"/>
                <w:szCs w:val="14"/>
              </w:rPr>
              <w:t>,</w:t>
            </w:r>
            <w:r w:rsidRPr="004B635B">
              <w:rPr>
                <w:rFonts w:cs="Arial"/>
                <w:b/>
                <w:bCs/>
                <w:color w:val="000000"/>
                <w:sz w:val="14"/>
                <w:szCs w:val="14"/>
              </w:rPr>
              <w:t>80</w:t>
            </w:r>
            <w:r>
              <w:rPr>
                <w:rFonts w:cs="Arial"/>
                <w:b/>
                <w:bCs/>
                <w:color w:val="000000"/>
                <w:sz w:val="14"/>
                <w:szCs w:val="14"/>
              </w:rPr>
              <w:t>8</w:t>
            </w:r>
            <w:r w:rsidRPr="004B635B">
              <w:rPr>
                <w:rFonts w:cs="Arial"/>
                <w:b/>
                <w:bCs/>
                <w:color w:val="000000"/>
                <w:sz w:val="14"/>
                <w:szCs w:val="14"/>
              </w:rPr>
              <w:t xml:space="preserve"> </w:t>
            </w:r>
          </w:p>
        </w:tc>
      </w:tr>
      <w:tr w:rsidR="006A362F" w:rsidRPr="00AC3343" w14:paraId="2432FB0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6364926" w14:textId="77777777" w:rsidR="006A362F" w:rsidRPr="00AC3343" w:rsidRDefault="006A362F" w:rsidP="006928A6">
            <w:pPr>
              <w:keepNext/>
              <w:keepLines/>
              <w:spacing w:before="40" w:after="40"/>
              <w:rPr>
                <w:rFonts w:eastAsia="Times New Roman" w:cs="Arial"/>
                <w:b w:val="0"/>
                <w:bCs w:val="0"/>
                <w:spacing w:val="-2"/>
                <w:sz w:val="14"/>
                <w:szCs w:val="14"/>
                <w:highlight w:val="yellow"/>
              </w:rPr>
            </w:pPr>
            <w:r w:rsidRPr="00AC3343">
              <w:rPr>
                <w:rFonts w:cs="Arial"/>
                <w:b w:val="0"/>
                <w:bCs w:val="0"/>
                <w:color w:val="000000"/>
                <w:sz w:val="14"/>
                <w:szCs w:val="14"/>
              </w:rPr>
              <w:t> </w:t>
            </w:r>
          </w:p>
        </w:tc>
        <w:tc>
          <w:tcPr>
            <w:tcW w:w="3260" w:type="dxa"/>
            <w:tcBorders>
              <w:top w:val="nil"/>
              <w:left w:val="nil"/>
              <w:bottom w:val="nil"/>
              <w:right w:val="nil"/>
            </w:tcBorders>
            <w:shd w:val="clear" w:color="auto" w:fill="auto"/>
            <w:vAlign w:val="center"/>
          </w:tcPr>
          <w:p w14:paraId="2BA12420"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5FF3B9FD"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6A362F" w:rsidRPr="004B635B" w14:paraId="6EDFE084"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D3EB8B" w14:textId="77777777" w:rsidR="006A362F" w:rsidRPr="004B635B" w:rsidRDefault="006A362F" w:rsidP="006928A6">
            <w:pPr>
              <w:keepNext/>
              <w:keepLines/>
              <w:spacing w:before="40" w:after="40"/>
              <w:rPr>
                <w:rFonts w:eastAsia="Times New Roman" w:cs="Arial"/>
                <w:spacing w:val="-2"/>
                <w:sz w:val="14"/>
                <w:szCs w:val="14"/>
                <w:highlight w:val="yellow"/>
              </w:rPr>
            </w:pPr>
            <w:r>
              <w:rPr>
                <w:rFonts w:cs="Arial"/>
                <w:color w:val="000000"/>
                <w:sz w:val="14"/>
                <w:szCs w:val="14"/>
              </w:rPr>
              <w:t>Current Liabilities</w:t>
            </w:r>
          </w:p>
        </w:tc>
        <w:tc>
          <w:tcPr>
            <w:tcW w:w="3260" w:type="dxa"/>
            <w:tcBorders>
              <w:top w:val="nil"/>
              <w:left w:val="nil"/>
              <w:bottom w:val="nil"/>
              <w:right w:val="nil"/>
            </w:tcBorders>
            <w:shd w:val="clear" w:color="auto" w:fill="auto"/>
            <w:vAlign w:val="center"/>
          </w:tcPr>
          <w:p w14:paraId="27000458"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6</w:t>
            </w:r>
            <w:r>
              <w:rPr>
                <w:rFonts w:cs="Arial"/>
                <w:b/>
                <w:bCs/>
                <w:color w:val="000000"/>
                <w:sz w:val="14"/>
                <w:szCs w:val="14"/>
              </w:rPr>
              <w:t>,</w:t>
            </w:r>
            <w:r w:rsidRPr="004B635B">
              <w:rPr>
                <w:rFonts w:cs="Arial"/>
                <w:b/>
                <w:bCs/>
                <w:color w:val="000000"/>
                <w:sz w:val="14"/>
                <w:szCs w:val="14"/>
              </w:rPr>
              <w:t>262</w:t>
            </w:r>
            <w:r>
              <w:rPr>
                <w:rFonts w:cs="Arial"/>
                <w:b/>
                <w:bCs/>
                <w:color w:val="000000"/>
                <w:sz w:val="14"/>
                <w:szCs w:val="14"/>
              </w:rPr>
              <w:t>,</w:t>
            </w:r>
            <w:r w:rsidRPr="004B635B">
              <w:rPr>
                <w:rFonts w:cs="Arial"/>
                <w:b/>
                <w:bCs/>
                <w:color w:val="000000"/>
                <w:sz w:val="14"/>
                <w:szCs w:val="14"/>
              </w:rPr>
              <w:t>3</w:t>
            </w:r>
            <w:r>
              <w:rPr>
                <w:rFonts w:cs="Arial"/>
                <w:b/>
                <w:bCs/>
                <w:color w:val="000000"/>
                <w:sz w:val="14"/>
                <w:szCs w:val="14"/>
              </w:rPr>
              <w:t>49</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46B37D6F"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6</w:t>
            </w:r>
            <w:r>
              <w:rPr>
                <w:rFonts w:cs="Arial"/>
                <w:b/>
                <w:bCs/>
                <w:color w:val="000000"/>
                <w:sz w:val="14"/>
                <w:szCs w:val="14"/>
              </w:rPr>
              <w:t>,</w:t>
            </w:r>
            <w:r w:rsidRPr="004B635B">
              <w:rPr>
                <w:rFonts w:cs="Arial"/>
                <w:b/>
                <w:bCs/>
                <w:color w:val="000000"/>
                <w:sz w:val="14"/>
                <w:szCs w:val="14"/>
              </w:rPr>
              <w:t>391</w:t>
            </w:r>
            <w:r>
              <w:rPr>
                <w:rFonts w:cs="Arial"/>
                <w:b/>
                <w:bCs/>
                <w:color w:val="000000"/>
                <w:sz w:val="14"/>
                <w:szCs w:val="14"/>
              </w:rPr>
              <w:t>,</w:t>
            </w:r>
            <w:r w:rsidRPr="004B635B">
              <w:rPr>
                <w:rFonts w:cs="Arial"/>
                <w:b/>
                <w:bCs/>
                <w:color w:val="000000"/>
                <w:sz w:val="14"/>
                <w:szCs w:val="14"/>
              </w:rPr>
              <w:t>26</w:t>
            </w:r>
            <w:r>
              <w:rPr>
                <w:rFonts w:cs="Arial"/>
                <w:b/>
                <w:bCs/>
                <w:color w:val="000000"/>
                <w:sz w:val="14"/>
                <w:szCs w:val="14"/>
              </w:rPr>
              <w:t>5</w:t>
            </w:r>
            <w:r w:rsidRPr="004B635B">
              <w:rPr>
                <w:rFonts w:cs="Arial"/>
                <w:b/>
                <w:bCs/>
                <w:color w:val="000000"/>
                <w:sz w:val="14"/>
                <w:szCs w:val="14"/>
              </w:rPr>
              <w:t xml:space="preserve"> </w:t>
            </w:r>
          </w:p>
        </w:tc>
      </w:tr>
      <w:tr w:rsidR="006A362F" w:rsidRPr="00AC3343" w14:paraId="499E231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B515F3" w14:textId="77777777" w:rsidR="006A362F" w:rsidRPr="004B635B" w:rsidRDefault="006A362F" w:rsidP="006928A6">
            <w:pPr>
              <w:keepNext/>
              <w:keepLines/>
              <w:spacing w:before="40" w:after="40"/>
              <w:ind w:left="113"/>
              <w:rPr>
                <w:rFonts w:cs="Arial"/>
                <w:b w:val="0"/>
                <w:bCs w:val="0"/>
                <w:color w:val="000000"/>
                <w:sz w:val="14"/>
                <w:szCs w:val="14"/>
              </w:rPr>
            </w:pPr>
            <w:r w:rsidRPr="00A94E39">
              <w:rPr>
                <w:rFonts w:cs="Arial"/>
                <w:b w:val="0"/>
                <w:bCs w:val="0"/>
                <w:color w:val="000000"/>
                <w:sz w:val="14"/>
                <w:szCs w:val="14"/>
              </w:rPr>
              <w:t>Amounts payable</w:t>
            </w:r>
          </w:p>
        </w:tc>
        <w:tc>
          <w:tcPr>
            <w:tcW w:w="3260" w:type="dxa"/>
            <w:tcBorders>
              <w:top w:val="nil"/>
              <w:left w:val="nil"/>
              <w:bottom w:val="nil"/>
              <w:right w:val="nil"/>
            </w:tcBorders>
            <w:shd w:val="clear" w:color="auto" w:fill="auto"/>
            <w:vAlign w:val="center"/>
          </w:tcPr>
          <w:p w14:paraId="4717D7A1"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121</w:t>
            </w:r>
            <w:r>
              <w:rPr>
                <w:rFonts w:cs="Arial"/>
                <w:color w:val="000000"/>
                <w:sz w:val="14"/>
                <w:szCs w:val="14"/>
              </w:rPr>
              <w:t>,</w:t>
            </w:r>
            <w:r w:rsidRPr="00AC3343">
              <w:rPr>
                <w:rFonts w:cs="Arial"/>
                <w:color w:val="000000"/>
                <w:sz w:val="14"/>
                <w:szCs w:val="14"/>
              </w:rPr>
              <w:t xml:space="preserve">436 </w:t>
            </w:r>
          </w:p>
        </w:tc>
        <w:tc>
          <w:tcPr>
            <w:tcW w:w="3260" w:type="dxa"/>
            <w:tcBorders>
              <w:top w:val="nil"/>
              <w:left w:val="nil"/>
              <w:bottom w:val="nil"/>
              <w:right w:val="nil"/>
            </w:tcBorders>
            <w:shd w:val="clear" w:color="auto" w:fill="auto"/>
            <w:vAlign w:val="center"/>
          </w:tcPr>
          <w:p w14:paraId="78B818D9"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184</w:t>
            </w:r>
            <w:r>
              <w:rPr>
                <w:rFonts w:cs="Arial"/>
                <w:color w:val="000000"/>
                <w:sz w:val="14"/>
                <w:szCs w:val="14"/>
              </w:rPr>
              <w:t>,</w:t>
            </w:r>
            <w:r w:rsidRPr="00AC3343">
              <w:rPr>
                <w:rFonts w:cs="Arial"/>
                <w:color w:val="000000"/>
                <w:sz w:val="14"/>
                <w:szCs w:val="14"/>
              </w:rPr>
              <w:t>65</w:t>
            </w:r>
            <w:r>
              <w:rPr>
                <w:rFonts w:cs="Arial"/>
                <w:color w:val="000000"/>
                <w:sz w:val="14"/>
                <w:szCs w:val="14"/>
              </w:rPr>
              <w:t>3</w:t>
            </w:r>
            <w:r w:rsidRPr="00AC3343">
              <w:rPr>
                <w:rFonts w:cs="Arial"/>
                <w:color w:val="000000"/>
                <w:sz w:val="14"/>
                <w:szCs w:val="14"/>
              </w:rPr>
              <w:t xml:space="preserve"> </w:t>
            </w:r>
          </w:p>
        </w:tc>
      </w:tr>
      <w:tr w:rsidR="006A362F" w:rsidRPr="00AC3343" w14:paraId="709BFC9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2B5C0C3" w14:textId="77777777" w:rsidR="006A362F" w:rsidRPr="004B635B"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C</w:t>
            </w:r>
            <w:r w:rsidRPr="00A94E39">
              <w:rPr>
                <w:rFonts w:cs="Arial"/>
                <w:b w:val="0"/>
                <w:bCs w:val="0"/>
                <w:color w:val="000000"/>
                <w:sz w:val="14"/>
                <w:szCs w:val="14"/>
              </w:rPr>
              <w:t>urrent tax liability</w:t>
            </w:r>
          </w:p>
        </w:tc>
        <w:tc>
          <w:tcPr>
            <w:tcW w:w="3260" w:type="dxa"/>
            <w:tcBorders>
              <w:top w:val="nil"/>
              <w:left w:val="nil"/>
              <w:bottom w:val="nil"/>
              <w:right w:val="nil"/>
            </w:tcBorders>
            <w:shd w:val="clear" w:color="auto" w:fill="auto"/>
            <w:vAlign w:val="center"/>
          </w:tcPr>
          <w:p w14:paraId="21B0DFA5"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271</w:t>
            </w:r>
            <w:r>
              <w:rPr>
                <w:rFonts w:cs="Arial"/>
                <w:color w:val="000000"/>
                <w:sz w:val="14"/>
                <w:szCs w:val="14"/>
              </w:rPr>
              <w:t>,</w:t>
            </w:r>
            <w:r w:rsidRPr="00AC3343">
              <w:rPr>
                <w:rFonts w:cs="Arial"/>
                <w:color w:val="000000"/>
                <w:sz w:val="14"/>
                <w:szCs w:val="14"/>
              </w:rPr>
              <w:t xml:space="preserve">286 </w:t>
            </w:r>
          </w:p>
        </w:tc>
        <w:tc>
          <w:tcPr>
            <w:tcW w:w="3260" w:type="dxa"/>
            <w:tcBorders>
              <w:top w:val="nil"/>
              <w:left w:val="nil"/>
              <w:bottom w:val="nil"/>
              <w:right w:val="nil"/>
            </w:tcBorders>
            <w:shd w:val="clear" w:color="auto" w:fill="auto"/>
            <w:vAlign w:val="center"/>
          </w:tcPr>
          <w:p w14:paraId="19807883" w14:textId="77777777" w:rsidR="006A362F" w:rsidRPr="00AC334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AC3343">
              <w:rPr>
                <w:rFonts w:cs="Arial"/>
                <w:color w:val="000000"/>
                <w:sz w:val="14"/>
                <w:szCs w:val="14"/>
              </w:rPr>
              <w:t xml:space="preserve">               533</w:t>
            </w:r>
            <w:r>
              <w:rPr>
                <w:rFonts w:cs="Arial"/>
                <w:color w:val="000000"/>
                <w:sz w:val="14"/>
                <w:szCs w:val="14"/>
              </w:rPr>
              <w:t>,</w:t>
            </w:r>
            <w:r w:rsidRPr="00AC3343">
              <w:rPr>
                <w:rFonts w:cs="Arial"/>
                <w:color w:val="000000"/>
                <w:sz w:val="14"/>
                <w:szCs w:val="14"/>
              </w:rPr>
              <w:t xml:space="preserve">422 </w:t>
            </w:r>
          </w:p>
        </w:tc>
      </w:tr>
      <w:tr w:rsidR="006A362F" w:rsidRPr="00AC3343" w14:paraId="58F73FD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357C14" w14:textId="77777777" w:rsidR="006A362F" w:rsidRPr="004B635B" w:rsidRDefault="006A362F" w:rsidP="006928A6">
            <w:pPr>
              <w:keepNext/>
              <w:keepLines/>
              <w:spacing w:before="40" w:after="40"/>
              <w:ind w:left="113"/>
              <w:rPr>
                <w:rFonts w:cs="Arial"/>
                <w:b w:val="0"/>
                <w:bCs w:val="0"/>
                <w:color w:val="000000"/>
                <w:sz w:val="14"/>
                <w:szCs w:val="14"/>
              </w:rPr>
            </w:pPr>
            <w:r w:rsidRPr="00A94E39">
              <w:rPr>
                <w:rFonts w:cs="Arial"/>
                <w:b w:val="0"/>
                <w:bCs w:val="0"/>
                <w:color w:val="000000"/>
                <w:sz w:val="14"/>
                <w:szCs w:val="14"/>
              </w:rPr>
              <w:t>Debt from insurance operations</w:t>
            </w:r>
          </w:p>
        </w:tc>
        <w:tc>
          <w:tcPr>
            <w:tcW w:w="3260" w:type="dxa"/>
            <w:tcBorders>
              <w:top w:val="nil"/>
              <w:left w:val="nil"/>
              <w:bottom w:val="nil"/>
              <w:right w:val="nil"/>
            </w:tcBorders>
            <w:shd w:val="clear" w:color="auto" w:fill="auto"/>
            <w:vAlign w:val="center"/>
          </w:tcPr>
          <w:p w14:paraId="3DE5DBAA"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16</w:t>
            </w:r>
            <w:r>
              <w:rPr>
                <w:rFonts w:cs="Arial"/>
                <w:color w:val="000000"/>
                <w:sz w:val="14"/>
                <w:szCs w:val="14"/>
              </w:rPr>
              <w:t>,</w:t>
            </w:r>
            <w:r w:rsidRPr="00AC3343">
              <w:rPr>
                <w:rFonts w:cs="Arial"/>
                <w:color w:val="000000"/>
                <w:sz w:val="14"/>
                <w:szCs w:val="14"/>
              </w:rPr>
              <w:t xml:space="preserve">097 </w:t>
            </w:r>
          </w:p>
        </w:tc>
        <w:tc>
          <w:tcPr>
            <w:tcW w:w="3260" w:type="dxa"/>
            <w:tcBorders>
              <w:top w:val="nil"/>
              <w:left w:val="nil"/>
              <w:bottom w:val="nil"/>
              <w:right w:val="nil"/>
            </w:tcBorders>
            <w:shd w:val="clear" w:color="auto" w:fill="auto"/>
            <w:vAlign w:val="center"/>
          </w:tcPr>
          <w:p w14:paraId="3628DEC7"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16</w:t>
            </w:r>
            <w:r>
              <w:rPr>
                <w:rFonts w:cs="Arial"/>
                <w:color w:val="000000"/>
                <w:sz w:val="14"/>
                <w:szCs w:val="14"/>
              </w:rPr>
              <w:t>,</w:t>
            </w:r>
            <w:r w:rsidRPr="00AC3343">
              <w:rPr>
                <w:rFonts w:cs="Arial"/>
                <w:color w:val="000000"/>
                <w:sz w:val="14"/>
                <w:szCs w:val="14"/>
              </w:rPr>
              <w:t xml:space="preserve">097 </w:t>
            </w:r>
          </w:p>
        </w:tc>
      </w:tr>
      <w:tr w:rsidR="006A362F" w:rsidRPr="00AC3343" w14:paraId="783CC46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595395" w14:textId="77777777" w:rsidR="006A362F" w:rsidRPr="004B635B" w:rsidRDefault="006A362F" w:rsidP="006928A6">
            <w:pPr>
              <w:keepNext/>
              <w:keepLines/>
              <w:spacing w:before="40" w:after="40"/>
              <w:ind w:left="113"/>
              <w:rPr>
                <w:rFonts w:cs="Arial"/>
                <w:b w:val="0"/>
                <w:bCs w:val="0"/>
                <w:color w:val="000000"/>
                <w:sz w:val="14"/>
                <w:szCs w:val="14"/>
              </w:rPr>
            </w:pPr>
            <w:r w:rsidRPr="00A94E39">
              <w:rPr>
                <w:rFonts w:cs="Arial"/>
                <w:b w:val="0"/>
                <w:bCs w:val="0"/>
                <w:color w:val="000000"/>
                <w:sz w:val="14"/>
                <w:szCs w:val="14"/>
              </w:rPr>
              <w:t xml:space="preserve">Insurance </w:t>
            </w:r>
            <w:r>
              <w:rPr>
                <w:rFonts w:cs="Arial"/>
                <w:b w:val="0"/>
                <w:bCs w:val="0"/>
                <w:color w:val="000000"/>
                <w:sz w:val="14"/>
                <w:szCs w:val="14"/>
              </w:rPr>
              <w:t>c</w:t>
            </w:r>
            <w:r w:rsidRPr="00A94E39">
              <w:rPr>
                <w:rFonts w:cs="Arial"/>
                <w:b w:val="0"/>
                <w:bCs w:val="0"/>
                <w:color w:val="000000"/>
                <w:sz w:val="14"/>
                <w:szCs w:val="14"/>
              </w:rPr>
              <w:t>ontract</w:t>
            </w:r>
          </w:p>
        </w:tc>
        <w:tc>
          <w:tcPr>
            <w:tcW w:w="3260" w:type="dxa"/>
            <w:tcBorders>
              <w:top w:val="nil"/>
              <w:left w:val="nil"/>
              <w:bottom w:val="nil"/>
              <w:right w:val="nil"/>
            </w:tcBorders>
            <w:shd w:val="clear" w:color="auto" w:fill="auto"/>
            <w:vAlign w:val="center"/>
          </w:tcPr>
          <w:p w14:paraId="1DE83640"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5</w:t>
            </w:r>
            <w:r>
              <w:rPr>
                <w:rFonts w:cs="Arial"/>
                <w:color w:val="000000"/>
                <w:sz w:val="14"/>
                <w:szCs w:val="14"/>
              </w:rPr>
              <w:t>,</w:t>
            </w:r>
            <w:r w:rsidRPr="00AC3343">
              <w:rPr>
                <w:rFonts w:cs="Arial"/>
                <w:color w:val="000000"/>
                <w:sz w:val="14"/>
                <w:szCs w:val="14"/>
              </w:rPr>
              <w:t>833</w:t>
            </w:r>
            <w:r>
              <w:rPr>
                <w:rFonts w:cs="Arial"/>
                <w:color w:val="000000"/>
                <w:sz w:val="14"/>
                <w:szCs w:val="14"/>
              </w:rPr>
              <w:t>,</w:t>
            </w:r>
            <w:r w:rsidRPr="00AC3343">
              <w:rPr>
                <w:rFonts w:cs="Arial"/>
                <w:color w:val="000000"/>
                <w:sz w:val="14"/>
                <w:szCs w:val="14"/>
              </w:rPr>
              <w:t>76</w:t>
            </w:r>
            <w:r>
              <w:rPr>
                <w:rFonts w:cs="Arial"/>
                <w:color w:val="000000"/>
                <w:sz w:val="14"/>
                <w:szCs w:val="14"/>
              </w:rPr>
              <w:t>1</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7075F4C9"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5</w:t>
            </w:r>
            <w:r>
              <w:rPr>
                <w:rFonts w:cs="Arial"/>
                <w:color w:val="000000"/>
                <w:sz w:val="14"/>
                <w:szCs w:val="14"/>
              </w:rPr>
              <w:t>,</w:t>
            </w:r>
            <w:r w:rsidRPr="00AC3343">
              <w:rPr>
                <w:rFonts w:cs="Arial"/>
                <w:color w:val="000000"/>
                <w:sz w:val="14"/>
                <w:szCs w:val="14"/>
              </w:rPr>
              <w:t>639</w:t>
            </w:r>
            <w:r>
              <w:rPr>
                <w:rFonts w:cs="Arial"/>
                <w:color w:val="000000"/>
                <w:sz w:val="14"/>
                <w:szCs w:val="14"/>
              </w:rPr>
              <w:t>,</w:t>
            </w:r>
            <w:r w:rsidRPr="00AC3343">
              <w:rPr>
                <w:rFonts w:cs="Arial"/>
                <w:color w:val="000000"/>
                <w:sz w:val="14"/>
                <w:szCs w:val="14"/>
              </w:rPr>
              <w:t xml:space="preserve">369 </w:t>
            </w:r>
          </w:p>
        </w:tc>
      </w:tr>
      <w:tr w:rsidR="006A362F" w:rsidRPr="00AC3343" w14:paraId="73BBCF3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483162" w14:textId="77777777" w:rsidR="006A362F" w:rsidRPr="004B635B"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429B67D3"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19</w:t>
            </w:r>
            <w:r>
              <w:rPr>
                <w:rFonts w:cs="Arial"/>
                <w:color w:val="000000"/>
                <w:sz w:val="14"/>
                <w:szCs w:val="14"/>
              </w:rPr>
              <w:t>,</w:t>
            </w:r>
            <w:r w:rsidRPr="00AC3343">
              <w:rPr>
                <w:rFonts w:cs="Arial"/>
                <w:color w:val="000000"/>
                <w:sz w:val="14"/>
                <w:szCs w:val="14"/>
              </w:rPr>
              <w:t xml:space="preserve">769 </w:t>
            </w:r>
          </w:p>
        </w:tc>
        <w:tc>
          <w:tcPr>
            <w:tcW w:w="3260" w:type="dxa"/>
            <w:tcBorders>
              <w:top w:val="nil"/>
              <w:left w:val="nil"/>
              <w:bottom w:val="nil"/>
              <w:right w:val="nil"/>
            </w:tcBorders>
            <w:shd w:val="clear" w:color="auto" w:fill="auto"/>
            <w:vAlign w:val="center"/>
          </w:tcPr>
          <w:p w14:paraId="5EEAE0B8" w14:textId="77777777" w:rsidR="006A362F" w:rsidRPr="00AC334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17</w:t>
            </w:r>
            <w:r>
              <w:rPr>
                <w:rFonts w:cs="Arial"/>
                <w:color w:val="000000"/>
                <w:sz w:val="14"/>
                <w:szCs w:val="14"/>
              </w:rPr>
              <w:t>,</w:t>
            </w:r>
            <w:r w:rsidRPr="00AC3343">
              <w:rPr>
                <w:rFonts w:cs="Arial"/>
                <w:color w:val="000000"/>
                <w:sz w:val="14"/>
                <w:szCs w:val="14"/>
              </w:rPr>
              <w:t xml:space="preserve">724 </w:t>
            </w:r>
          </w:p>
        </w:tc>
      </w:tr>
      <w:tr w:rsidR="006A362F" w:rsidRPr="004B635B" w14:paraId="62BD6D1D"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09E2DA" w14:textId="77777777" w:rsidR="006A362F" w:rsidRPr="004B635B" w:rsidRDefault="006A362F" w:rsidP="006928A6">
            <w:pPr>
              <w:keepNext/>
              <w:keepLines/>
              <w:spacing w:before="40" w:after="40"/>
              <w:rPr>
                <w:rFonts w:cs="Arial"/>
                <w:sz w:val="14"/>
                <w:szCs w:val="14"/>
                <w:highlight w:val="yellow"/>
              </w:rPr>
            </w:pPr>
            <w:r>
              <w:rPr>
                <w:rFonts w:cs="Arial"/>
                <w:color w:val="000000"/>
                <w:sz w:val="14"/>
                <w:szCs w:val="14"/>
              </w:rPr>
              <w:t>Non-Current Liabilities</w:t>
            </w:r>
          </w:p>
        </w:tc>
        <w:tc>
          <w:tcPr>
            <w:tcW w:w="3260" w:type="dxa"/>
            <w:tcBorders>
              <w:top w:val="nil"/>
              <w:left w:val="nil"/>
              <w:bottom w:val="nil"/>
              <w:right w:val="nil"/>
            </w:tcBorders>
            <w:shd w:val="clear" w:color="auto" w:fill="auto"/>
            <w:vAlign w:val="center"/>
          </w:tcPr>
          <w:p w14:paraId="21508590"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3</w:t>
            </w:r>
            <w:r>
              <w:rPr>
                <w:rFonts w:cs="Arial"/>
                <w:b/>
                <w:bCs/>
                <w:color w:val="000000"/>
                <w:sz w:val="14"/>
                <w:szCs w:val="14"/>
              </w:rPr>
              <w:t>,</w:t>
            </w:r>
            <w:r w:rsidRPr="004B635B">
              <w:rPr>
                <w:rFonts w:cs="Arial"/>
                <w:b/>
                <w:bCs/>
                <w:color w:val="000000"/>
                <w:sz w:val="14"/>
                <w:szCs w:val="14"/>
              </w:rPr>
              <w:t>794</w:t>
            </w:r>
            <w:r>
              <w:rPr>
                <w:rFonts w:cs="Arial"/>
                <w:b/>
                <w:bCs/>
                <w:color w:val="000000"/>
                <w:sz w:val="14"/>
                <w:szCs w:val="14"/>
              </w:rPr>
              <w:t>,</w:t>
            </w:r>
            <w:r w:rsidRPr="004B635B">
              <w:rPr>
                <w:rFonts w:cs="Arial"/>
                <w:b/>
                <w:bCs/>
                <w:color w:val="000000"/>
                <w:sz w:val="14"/>
                <w:szCs w:val="14"/>
              </w:rPr>
              <w:t>84</w:t>
            </w:r>
            <w:r>
              <w:rPr>
                <w:rFonts w:cs="Arial"/>
                <w:b/>
                <w:bCs/>
                <w:color w:val="000000"/>
                <w:sz w:val="14"/>
                <w:szCs w:val="14"/>
              </w:rPr>
              <w:t>2</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292099EA"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3</w:t>
            </w:r>
            <w:r>
              <w:rPr>
                <w:rFonts w:cs="Arial"/>
                <w:b/>
                <w:bCs/>
                <w:color w:val="000000"/>
                <w:sz w:val="14"/>
                <w:szCs w:val="14"/>
              </w:rPr>
              <w:t>,</w:t>
            </w:r>
            <w:r w:rsidRPr="004B635B">
              <w:rPr>
                <w:rFonts w:cs="Arial"/>
                <w:b/>
                <w:bCs/>
                <w:color w:val="000000"/>
                <w:sz w:val="14"/>
                <w:szCs w:val="14"/>
              </w:rPr>
              <w:t>618</w:t>
            </w:r>
            <w:r>
              <w:rPr>
                <w:rFonts w:cs="Arial"/>
                <w:b/>
                <w:bCs/>
                <w:color w:val="000000"/>
                <w:sz w:val="14"/>
                <w:szCs w:val="14"/>
              </w:rPr>
              <w:t>,</w:t>
            </w:r>
            <w:r w:rsidRPr="004B635B">
              <w:rPr>
                <w:rFonts w:cs="Arial"/>
                <w:b/>
                <w:bCs/>
                <w:color w:val="000000"/>
                <w:sz w:val="14"/>
                <w:szCs w:val="14"/>
              </w:rPr>
              <w:t>87</w:t>
            </w:r>
            <w:r>
              <w:rPr>
                <w:rFonts w:cs="Arial"/>
                <w:b/>
                <w:bCs/>
                <w:color w:val="000000"/>
                <w:sz w:val="14"/>
                <w:szCs w:val="14"/>
              </w:rPr>
              <w:t>1</w:t>
            </w:r>
            <w:r w:rsidRPr="004B635B">
              <w:rPr>
                <w:rFonts w:cs="Arial"/>
                <w:b/>
                <w:bCs/>
                <w:color w:val="000000"/>
                <w:sz w:val="14"/>
                <w:szCs w:val="14"/>
              </w:rPr>
              <w:t xml:space="preserve"> </w:t>
            </w:r>
          </w:p>
        </w:tc>
      </w:tr>
      <w:tr w:rsidR="006A362F" w:rsidRPr="00AC3343" w14:paraId="4207AB9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0FD9D7" w14:textId="77777777" w:rsidR="006A362F" w:rsidRPr="004B635B" w:rsidRDefault="006A362F" w:rsidP="00A94E39">
            <w:pPr>
              <w:keepNext/>
              <w:keepLines/>
              <w:spacing w:before="40" w:after="40"/>
              <w:ind w:left="113"/>
              <w:rPr>
                <w:rFonts w:cs="Arial"/>
                <w:b w:val="0"/>
                <w:bCs w:val="0"/>
                <w:color w:val="000000"/>
                <w:sz w:val="14"/>
                <w:szCs w:val="14"/>
              </w:rPr>
            </w:pPr>
            <w:r w:rsidRPr="00A94E39">
              <w:rPr>
                <w:rFonts w:cs="Arial"/>
                <w:b w:val="0"/>
                <w:bCs w:val="0"/>
                <w:color w:val="000000"/>
                <w:sz w:val="14"/>
                <w:szCs w:val="14"/>
              </w:rPr>
              <w:t xml:space="preserve">Insurance </w:t>
            </w:r>
            <w:r>
              <w:rPr>
                <w:rFonts w:cs="Arial"/>
                <w:b w:val="0"/>
                <w:bCs w:val="0"/>
                <w:color w:val="000000"/>
                <w:sz w:val="14"/>
                <w:szCs w:val="14"/>
              </w:rPr>
              <w:t>c</w:t>
            </w:r>
            <w:r w:rsidRPr="00A94E39">
              <w:rPr>
                <w:rFonts w:cs="Arial"/>
                <w:b w:val="0"/>
                <w:bCs w:val="0"/>
                <w:color w:val="000000"/>
                <w:sz w:val="14"/>
                <w:szCs w:val="14"/>
              </w:rPr>
              <w:t>ontract</w:t>
            </w:r>
          </w:p>
        </w:tc>
        <w:tc>
          <w:tcPr>
            <w:tcW w:w="3260" w:type="dxa"/>
            <w:tcBorders>
              <w:top w:val="nil"/>
              <w:left w:val="nil"/>
              <w:bottom w:val="nil"/>
              <w:right w:val="nil"/>
            </w:tcBorders>
            <w:shd w:val="clear" w:color="auto" w:fill="auto"/>
            <w:vAlign w:val="center"/>
          </w:tcPr>
          <w:p w14:paraId="3324BA97" w14:textId="77777777" w:rsidR="006A362F" w:rsidRPr="00AC3343" w:rsidRDefault="006A362F" w:rsidP="00A94E3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w:t>
            </w:r>
            <w:r>
              <w:rPr>
                <w:rFonts w:cs="Arial"/>
                <w:color w:val="000000"/>
                <w:sz w:val="14"/>
                <w:szCs w:val="14"/>
              </w:rPr>
              <w:t>,</w:t>
            </w:r>
            <w:r w:rsidRPr="00AC3343">
              <w:rPr>
                <w:rFonts w:cs="Arial"/>
                <w:color w:val="000000"/>
                <w:sz w:val="14"/>
                <w:szCs w:val="14"/>
              </w:rPr>
              <w:t>801</w:t>
            </w:r>
            <w:r>
              <w:rPr>
                <w:rFonts w:cs="Arial"/>
                <w:color w:val="000000"/>
                <w:sz w:val="14"/>
                <w:szCs w:val="14"/>
              </w:rPr>
              <w:t>,</w:t>
            </w:r>
            <w:r w:rsidRPr="00AC3343">
              <w:rPr>
                <w:rFonts w:cs="Arial"/>
                <w:color w:val="000000"/>
                <w:sz w:val="14"/>
                <w:szCs w:val="14"/>
              </w:rPr>
              <w:t>48</w:t>
            </w:r>
            <w:r>
              <w:rPr>
                <w:rFonts w:cs="Arial"/>
                <w:color w:val="000000"/>
                <w:sz w:val="14"/>
                <w:szCs w:val="14"/>
              </w:rPr>
              <w:t>8</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2316F026" w14:textId="77777777" w:rsidR="006A362F" w:rsidRPr="00AC3343" w:rsidRDefault="006A362F" w:rsidP="00A94E3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AC3343">
              <w:rPr>
                <w:rFonts w:cs="Arial"/>
                <w:color w:val="000000"/>
                <w:sz w:val="14"/>
                <w:szCs w:val="14"/>
              </w:rPr>
              <w:t xml:space="preserve">            2</w:t>
            </w:r>
            <w:r>
              <w:rPr>
                <w:rFonts w:cs="Arial"/>
                <w:color w:val="000000"/>
                <w:sz w:val="14"/>
                <w:szCs w:val="14"/>
              </w:rPr>
              <w:t>,</w:t>
            </w:r>
            <w:r w:rsidRPr="00AC3343">
              <w:rPr>
                <w:rFonts w:cs="Arial"/>
                <w:color w:val="000000"/>
                <w:sz w:val="14"/>
                <w:szCs w:val="14"/>
              </w:rPr>
              <w:t>615</w:t>
            </w:r>
            <w:r>
              <w:rPr>
                <w:rFonts w:cs="Arial"/>
                <w:color w:val="000000"/>
                <w:sz w:val="14"/>
                <w:szCs w:val="14"/>
              </w:rPr>
              <w:t>,</w:t>
            </w:r>
            <w:r w:rsidRPr="00AC3343">
              <w:rPr>
                <w:rFonts w:cs="Arial"/>
                <w:color w:val="000000"/>
                <w:sz w:val="14"/>
                <w:szCs w:val="14"/>
              </w:rPr>
              <w:t>17</w:t>
            </w:r>
            <w:r>
              <w:rPr>
                <w:rFonts w:cs="Arial"/>
                <w:color w:val="000000"/>
                <w:sz w:val="14"/>
                <w:szCs w:val="14"/>
              </w:rPr>
              <w:t>5</w:t>
            </w:r>
            <w:r w:rsidRPr="00AC3343">
              <w:rPr>
                <w:rFonts w:cs="Arial"/>
                <w:color w:val="000000"/>
                <w:sz w:val="14"/>
                <w:szCs w:val="14"/>
              </w:rPr>
              <w:t xml:space="preserve"> </w:t>
            </w:r>
          </w:p>
        </w:tc>
      </w:tr>
      <w:tr w:rsidR="006A362F" w:rsidRPr="00AC3343" w14:paraId="59CFDA97"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B4F564A" w14:textId="77777777" w:rsidR="006A362F" w:rsidRPr="004B635B"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6DAE2DD2"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993</w:t>
            </w:r>
            <w:r>
              <w:rPr>
                <w:rFonts w:cs="Arial"/>
                <w:color w:val="000000"/>
                <w:sz w:val="14"/>
                <w:szCs w:val="14"/>
              </w:rPr>
              <w:t>,</w:t>
            </w:r>
            <w:r w:rsidRPr="00AC3343">
              <w:rPr>
                <w:rFonts w:cs="Arial"/>
                <w:color w:val="000000"/>
                <w:sz w:val="14"/>
                <w:szCs w:val="14"/>
              </w:rPr>
              <w:t xml:space="preserve">354 </w:t>
            </w:r>
          </w:p>
        </w:tc>
        <w:tc>
          <w:tcPr>
            <w:tcW w:w="3260" w:type="dxa"/>
            <w:tcBorders>
              <w:top w:val="nil"/>
              <w:left w:val="nil"/>
              <w:bottom w:val="nil"/>
              <w:right w:val="nil"/>
            </w:tcBorders>
            <w:shd w:val="clear" w:color="auto" w:fill="auto"/>
            <w:vAlign w:val="center"/>
          </w:tcPr>
          <w:p w14:paraId="4E20C26E"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003</w:t>
            </w:r>
            <w:r>
              <w:rPr>
                <w:rFonts w:cs="Arial"/>
                <w:color w:val="000000"/>
                <w:sz w:val="14"/>
                <w:szCs w:val="14"/>
              </w:rPr>
              <w:t>,</w:t>
            </w:r>
            <w:r w:rsidRPr="00AC3343">
              <w:rPr>
                <w:rFonts w:cs="Arial"/>
                <w:color w:val="000000"/>
                <w:sz w:val="14"/>
                <w:szCs w:val="14"/>
              </w:rPr>
              <w:t xml:space="preserve">696 </w:t>
            </w:r>
          </w:p>
        </w:tc>
      </w:tr>
      <w:tr w:rsidR="006A362F" w:rsidRPr="004B635B" w14:paraId="6231953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01AA86" w14:textId="77777777" w:rsidR="006A362F" w:rsidRPr="004B635B" w:rsidRDefault="006A362F" w:rsidP="006928A6">
            <w:pPr>
              <w:keepNext/>
              <w:keepLines/>
              <w:spacing w:before="40" w:after="40"/>
              <w:rPr>
                <w:rFonts w:cs="Arial"/>
                <w:sz w:val="14"/>
                <w:szCs w:val="14"/>
                <w:highlight w:val="yellow"/>
              </w:rPr>
            </w:pPr>
            <w:r>
              <w:rPr>
                <w:rFonts w:cs="Arial"/>
                <w:color w:val="000000"/>
                <w:sz w:val="14"/>
                <w:szCs w:val="14"/>
              </w:rPr>
              <w:t>Equity</w:t>
            </w:r>
          </w:p>
        </w:tc>
        <w:tc>
          <w:tcPr>
            <w:tcW w:w="3260" w:type="dxa"/>
            <w:tcBorders>
              <w:top w:val="nil"/>
              <w:left w:val="nil"/>
              <w:bottom w:val="nil"/>
              <w:right w:val="nil"/>
            </w:tcBorders>
            <w:shd w:val="clear" w:color="auto" w:fill="auto"/>
            <w:vAlign w:val="center"/>
          </w:tcPr>
          <w:p w14:paraId="58F79E16"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2</w:t>
            </w:r>
            <w:r>
              <w:rPr>
                <w:rFonts w:cs="Arial"/>
                <w:b/>
                <w:bCs/>
                <w:color w:val="000000"/>
                <w:sz w:val="14"/>
                <w:szCs w:val="14"/>
              </w:rPr>
              <w:t>,</w:t>
            </w:r>
            <w:r w:rsidRPr="004B635B">
              <w:rPr>
                <w:rFonts w:cs="Arial"/>
                <w:b/>
                <w:bCs/>
                <w:color w:val="000000"/>
                <w:sz w:val="14"/>
                <w:szCs w:val="14"/>
              </w:rPr>
              <w:t>271</w:t>
            </w:r>
            <w:r>
              <w:rPr>
                <w:rFonts w:cs="Arial"/>
                <w:b/>
                <w:bCs/>
                <w:color w:val="000000"/>
                <w:sz w:val="14"/>
                <w:szCs w:val="14"/>
              </w:rPr>
              <w:t>,</w:t>
            </w:r>
            <w:r w:rsidRPr="004B635B">
              <w:rPr>
                <w:rFonts w:cs="Arial"/>
                <w:b/>
                <w:bCs/>
                <w:color w:val="000000"/>
                <w:sz w:val="14"/>
                <w:szCs w:val="14"/>
              </w:rPr>
              <w:t>18</w:t>
            </w:r>
            <w:r>
              <w:rPr>
                <w:rFonts w:cs="Arial"/>
                <w:b/>
                <w:bCs/>
                <w:color w:val="000000"/>
                <w:sz w:val="14"/>
                <w:szCs w:val="14"/>
              </w:rPr>
              <w:t>1</w:t>
            </w:r>
            <w:r w:rsidRPr="004B635B">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2E788FCE"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2</w:t>
            </w:r>
            <w:r>
              <w:rPr>
                <w:rFonts w:cs="Arial"/>
                <w:b/>
                <w:bCs/>
                <w:color w:val="000000"/>
                <w:sz w:val="14"/>
                <w:szCs w:val="14"/>
              </w:rPr>
              <w:t>,</w:t>
            </w:r>
            <w:r w:rsidRPr="004B635B">
              <w:rPr>
                <w:rFonts w:cs="Arial"/>
                <w:b/>
                <w:bCs/>
                <w:color w:val="000000"/>
                <w:sz w:val="14"/>
                <w:szCs w:val="14"/>
              </w:rPr>
              <w:t>117</w:t>
            </w:r>
            <w:r>
              <w:rPr>
                <w:rFonts w:cs="Arial"/>
                <w:b/>
                <w:bCs/>
                <w:color w:val="000000"/>
                <w:sz w:val="14"/>
                <w:szCs w:val="14"/>
              </w:rPr>
              <w:t>,</w:t>
            </w:r>
            <w:r w:rsidRPr="004B635B">
              <w:rPr>
                <w:rFonts w:cs="Arial"/>
                <w:b/>
                <w:bCs/>
                <w:color w:val="000000"/>
                <w:sz w:val="14"/>
                <w:szCs w:val="14"/>
              </w:rPr>
              <w:t>67</w:t>
            </w:r>
            <w:r>
              <w:rPr>
                <w:rFonts w:cs="Arial"/>
                <w:b/>
                <w:bCs/>
                <w:color w:val="000000"/>
                <w:sz w:val="14"/>
                <w:szCs w:val="14"/>
              </w:rPr>
              <w:t>2</w:t>
            </w:r>
            <w:r w:rsidRPr="004B635B">
              <w:rPr>
                <w:rFonts w:cs="Arial"/>
                <w:b/>
                <w:bCs/>
                <w:color w:val="000000"/>
                <w:sz w:val="14"/>
                <w:szCs w:val="14"/>
              </w:rPr>
              <w:t xml:space="preserve"> </w:t>
            </w:r>
          </w:p>
        </w:tc>
      </w:tr>
      <w:tr w:rsidR="006A362F" w:rsidRPr="00AC3343" w14:paraId="0697AF3E"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358452" w14:textId="77777777" w:rsidR="006A362F" w:rsidRPr="004B635B"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Capital and reserves</w:t>
            </w:r>
          </w:p>
        </w:tc>
        <w:tc>
          <w:tcPr>
            <w:tcW w:w="3260" w:type="dxa"/>
            <w:tcBorders>
              <w:top w:val="nil"/>
              <w:left w:val="nil"/>
              <w:bottom w:val="nil"/>
              <w:right w:val="nil"/>
            </w:tcBorders>
            <w:shd w:val="clear" w:color="auto" w:fill="auto"/>
            <w:vAlign w:val="center"/>
          </w:tcPr>
          <w:p w14:paraId="5721F981"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1</w:t>
            </w:r>
            <w:r>
              <w:rPr>
                <w:rFonts w:cs="Arial"/>
                <w:color w:val="000000"/>
                <w:sz w:val="14"/>
                <w:szCs w:val="14"/>
              </w:rPr>
              <w:t>,</w:t>
            </w:r>
            <w:r w:rsidRPr="00AC3343">
              <w:rPr>
                <w:rFonts w:cs="Arial"/>
                <w:color w:val="000000"/>
                <w:sz w:val="14"/>
                <w:szCs w:val="14"/>
              </w:rPr>
              <w:t>372</w:t>
            </w:r>
            <w:r>
              <w:rPr>
                <w:rFonts w:cs="Arial"/>
                <w:color w:val="000000"/>
                <w:sz w:val="14"/>
                <w:szCs w:val="14"/>
              </w:rPr>
              <w:t>,</w:t>
            </w:r>
            <w:r w:rsidRPr="00AC3343">
              <w:rPr>
                <w:rFonts w:cs="Arial"/>
                <w:color w:val="000000"/>
                <w:sz w:val="14"/>
                <w:szCs w:val="14"/>
              </w:rPr>
              <w:t>5</w:t>
            </w:r>
            <w:r>
              <w:rPr>
                <w:rFonts w:cs="Arial"/>
                <w:color w:val="000000"/>
                <w:sz w:val="14"/>
                <w:szCs w:val="14"/>
              </w:rPr>
              <w:t>09</w:t>
            </w:r>
            <w:r w:rsidRPr="00AC3343">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4D6DC126" w14:textId="77777777" w:rsidR="006A362F" w:rsidRPr="00AC334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AC3343">
              <w:rPr>
                <w:rFonts w:cs="Arial"/>
                <w:color w:val="000000"/>
                <w:sz w:val="14"/>
                <w:szCs w:val="14"/>
              </w:rPr>
              <w:t xml:space="preserve">            2</w:t>
            </w:r>
            <w:r>
              <w:rPr>
                <w:rFonts w:cs="Arial"/>
                <w:color w:val="000000"/>
                <w:sz w:val="14"/>
                <w:szCs w:val="14"/>
              </w:rPr>
              <w:t>,</w:t>
            </w:r>
            <w:r w:rsidRPr="00AC3343">
              <w:rPr>
                <w:rFonts w:cs="Arial"/>
                <w:color w:val="000000"/>
                <w:sz w:val="14"/>
                <w:szCs w:val="14"/>
              </w:rPr>
              <w:t>055</w:t>
            </w:r>
            <w:r>
              <w:rPr>
                <w:rFonts w:cs="Arial"/>
                <w:color w:val="000000"/>
                <w:sz w:val="14"/>
                <w:szCs w:val="14"/>
              </w:rPr>
              <w:t>,</w:t>
            </w:r>
            <w:r w:rsidRPr="00AC3343">
              <w:rPr>
                <w:rFonts w:cs="Arial"/>
                <w:color w:val="000000"/>
                <w:sz w:val="14"/>
                <w:szCs w:val="14"/>
              </w:rPr>
              <w:t>5</w:t>
            </w:r>
            <w:r>
              <w:rPr>
                <w:rFonts w:cs="Arial"/>
                <w:color w:val="000000"/>
                <w:sz w:val="14"/>
                <w:szCs w:val="14"/>
              </w:rPr>
              <w:t>09</w:t>
            </w:r>
            <w:r w:rsidRPr="00AC3343">
              <w:rPr>
                <w:rFonts w:cs="Arial"/>
                <w:color w:val="000000"/>
                <w:sz w:val="14"/>
                <w:szCs w:val="14"/>
              </w:rPr>
              <w:t xml:space="preserve"> </w:t>
            </w:r>
          </w:p>
        </w:tc>
      </w:tr>
      <w:tr w:rsidR="006A362F" w:rsidRPr="006F1964" w14:paraId="2D6968E1"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2A883D" w14:textId="77777777" w:rsidR="006A362F" w:rsidRPr="006F1964"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Retained earnings</w:t>
            </w:r>
          </w:p>
        </w:tc>
        <w:tc>
          <w:tcPr>
            <w:tcW w:w="3260" w:type="dxa"/>
            <w:tcBorders>
              <w:top w:val="nil"/>
              <w:left w:val="nil"/>
              <w:bottom w:val="nil"/>
              <w:right w:val="nil"/>
            </w:tcBorders>
            <w:shd w:val="clear" w:color="auto" w:fill="auto"/>
          </w:tcPr>
          <w:p w14:paraId="6EB92DCD" w14:textId="77777777" w:rsidR="006A362F" w:rsidRPr="006F196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F1964">
              <w:rPr>
                <w:rFonts w:cs="Arial"/>
                <w:sz w:val="14"/>
                <w:szCs w:val="14"/>
              </w:rPr>
              <w:t xml:space="preserve"> 1</w:t>
            </w:r>
            <w:r>
              <w:rPr>
                <w:rFonts w:cs="Arial"/>
                <w:sz w:val="14"/>
                <w:szCs w:val="14"/>
              </w:rPr>
              <w:t>,</w:t>
            </w:r>
            <w:r w:rsidRPr="006F1964">
              <w:rPr>
                <w:rFonts w:cs="Arial"/>
                <w:sz w:val="14"/>
                <w:szCs w:val="14"/>
              </w:rPr>
              <w:t>007</w:t>
            </w:r>
            <w:r>
              <w:rPr>
                <w:rFonts w:cs="Arial"/>
                <w:sz w:val="14"/>
                <w:szCs w:val="14"/>
              </w:rPr>
              <w:t>,</w:t>
            </w:r>
            <w:r w:rsidRPr="006F1964">
              <w:rPr>
                <w:rFonts w:cs="Arial"/>
                <w:sz w:val="14"/>
                <w:szCs w:val="14"/>
              </w:rPr>
              <w:t xml:space="preserve">970 </w:t>
            </w:r>
          </w:p>
        </w:tc>
        <w:tc>
          <w:tcPr>
            <w:tcW w:w="3260" w:type="dxa"/>
            <w:tcBorders>
              <w:top w:val="nil"/>
              <w:left w:val="nil"/>
              <w:bottom w:val="nil"/>
              <w:right w:val="nil"/>
            </w:tcBorders>
            <w:shd w:val="clear" w:color="auto" w:fill="auto"/>
          </w:tcPr>
          <w:p w14:paraId="511F00AA" w14:textId="77777777" w:rsidR="006A362F" w:rsidRPr="006F1964"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F1964">
              <w:rPr>
                <w:rFonts w:cs="Arial"/>
                <w:sz w:val="14"/>
                <w:szCs w:val="14"/>
              </w:rPr>
              <w:t xml:space="preserve"> 184</w:t>
            </w:r>
            <w:r>
              <w:rPr>
                <w:rFonts w:cs="Arial"/>
                <w:sz w:val="14"/>
                <w:szCs w:val="14"/>
              </w:rPr>
              <w:t>,</w:t>
            </w:r>
            <w:r w:rsidRPr="006F1964">
              <w:rPr>
                <w:rFonts w:cs="Arial"/>
                <w:sz w:val="14"/>
                <w:szCs w:val="14"/>
              </w:rPr>
              <w:t xml:space="preserve">473 </w:t>
            </w:r>
          </w:p>
        </w:tc>
      </w:tr>
      <w:tr w:rsidR="006A362F" w:rsidRPr="006F1964" w14:paraId="06030A6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FE94187" w14:textId="77777777" w:rsidR="006A362F" w:rsidRPr="006F1964" w:rsidRDefault="006A362F" w:rsidP="006928A6">
            <w:pPr>
              <w:keepNext/>
              <w:keepLines/>
              <w:spacing w:before="40" w:after="40"/>
              <w:ind w:left="113"/>
              <w:rPr>
                <w:rFonts w:cs="Arial"/>
                <w:b w:val="0"/>
                <w:bCs w:val="0"/>
                <w:color w:val="000000"/>
                <w:sz w:val="14"/>
                <w:szCs w:val="14"/>
              </w:rPr>
            </w:pPr>
            <w:r>
              <w:rPr>
                <w:rFonts w:cs="Arial"/>
                <w:b w:val="0"/>
                <w:bCs w:val="0"/>
                <w:color w:val="000000"/>
                <w:sz w:val="14"/>
                <w:szCs w:val="14"/>
              </w:rPr>
              <w:t>Other comprehensive results</w:t>
            </w:r>
          </w:p>
        </w:tc>
        <w:tc>
          <w:tcPr>
            <w:tcW w:w="3260" w:type="dxa"/>
            <w:tcBorders>
              <w:top w:val="nil"/>
              <w:left w:val="nil"/>
              <w:bottom w:val="nil"/>
              <w:right w:val="nil"/>
            </w:tcBorders>
            <w:shd w:val="clear" w:color="auto" w:fill="auto"/>
          </w:tcPr>
          <w:p w14:paraId="72839DF3" w14:textId="77777777" w:rsidR="006A362F" w:rsidRPr="006F196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F1964">
              <w:rPr>
                <w:rFonts w:cs="Arial"/>
                <w:sz w:val="14"/>
                <w:szCs w:val="14"/>
              </w:rPr>
              <w:t xml:space="preserve"> (109</w:t>
            </w:r>
            <w:r>
              <w:rPr>
                <w:rFonts w:cs="Arial"/>
                <w:sz w:val="14"/>
                <w:szCs w:val="14"/>
              </w:rPr>
              <w:t>,</w:t>
            </w:r>
            <w:r w:rsidRPr="006F1964">
              <w:rPr>
                <w:rFonts w:cs="Arial"/>
                <w:sz w:val="14"/>
                <w:szCs w:val="14"/>
              </w:rPr>
              <w:t>298)</w:t>
            </w:r>
          </w:p>
        </w:tc>
        <w:tc>
          <w:tcPr>
            <w:tcW w:w="3260" w:type="dxa"/>
            <w:tcBorders>
              <w:top w:val="nil"/>
              <w:left w:val="nil"/>
              <w:bottom w:val="nil"/>
              <w:right w:val="nil"/>
            </w:tcBorders>
            <w:shd w:val="clear" w:color="auto" w:fill="auto"/>
          </w:tcPr>
          <w:p w14:paraId="3E4F5F2D" w14:textId="77777777" w:rsidR="006A362F" w:rsidRPr="006F196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F1964">
              <w:rPr>
                <w:rFonts w:cs="Arial"/>
                <w:sz w:val="14"/>
                <w:szCs w:val="14"/>
              </w:rPr>
              <w:t xml:space="preserve"> (122</w:t>
            </w:r>
            <w:r>
              <w:rPr>
                <w:rFonts w:cs="Arial"/>
                <w:sz w:val="14"/>
                <w:szCs w:val="14"/>
              </w:rPr>
              <w:t>,</w:t>
            </w:r>
            <w:r w:rsidRPr="006F1964">
              <w:rPr>
                <w:rFonts w:cs="Arial"/>
                <w:sz w:val="14"/>
                <w:szCs w:val="14"/>
              </w:rPr>
              <w:t>31</w:t>
            </w:r>
            <w:r>
              <w:rPr>
                <w:rFonts w:cs="Arial"/>
                <w:sz w:val="14"/>
                <w:szCs w:val="14"/>
              </w:rPr>
              <w:t>0</w:t>
            </w:r>
            <w:r w:rsidRPr="006F1964">
              <w:rPr>
                <w:rFonts w:cs="Arial"/>
                <w:sz w:val="14"/>
                <w:szCs w:val="14"/>
              </w:rPr>
              <w:t>)</w:t>
            </w:r>
          </w:p>
        </w:tc>
      </w:tr>
      <w:tr w:rsidR="006A362F" w:rsidRPr="004B635B" w14:paraId="7A115E3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3DB2EF14" w14:textId="77777777" w:rsidR="006A362F" w:rsidRPr="004B635B" w:rsidRDefault="006A362F" w:rsidP="006928A6">
            <w:pPr>
              <w:keepNext/>
              <w:keepLines/>
              <w:spacing w:before="40" w:after="40"/>
              <w:rPr>
                <w:rFonts w:cs="Arial"/>
                <w:sz w:val="14"/>
                <w:szCs w:val="14"/>
                <w:highlight w:val="yellow"/>
              </w:rPr>
            </w:pPr>
            <w:r>
              <w:rPr>
                <w:rFonts w:cs="Arial"/>
                <w:color w:val="000000"/>
                <w:sz w:val="14"/>
                <w:szCs w:val="14"/>
              </w:rPr>
              <w:t>Liabilities and Equity</w:t>
            </w:r>
          </w:p>
        </w:tc>
        <w:tc>
          <w:tcPr>
            <w:tcW w:w="3260" w:type="dxa"/>
            <w:tcBorders>
              <w:top w:val="nil"/>
              <w:left w:val="nil"/>
              <w:bottom w:val="single" w:sz="2" w:space="0" w:color="1F4E79" w:themeColor="accent1" w:themeShade="80"/>
              <w:right w:val="nil"/>
            </w:tcBorders>
            <w:shd w:val="clear" w:color="auto" w:fill="auto"/>
            <w:vAlign w:val="center"/>
          </w:tcPr>
          <w:p w14:paraId="148AAE0E"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w:t>
            </w:r>
            <w:r>
              <w:rPr>
                <w:rFonts w:cs="Arial"/>
                <w:b/>
                <w:bCs/>
                <w:color w:val="000000"/>
                <w:sz w:val="14"/>
                <w:szCs w:val="14"/>
              </w:rPr>
              <w:t>,</w:t>
            </w:r>
            <w:r w:rsidRPr="004B635B">
              <w:rPr>
                <w:rFonts w:cs="Arial"/>
                <w:b/>
                <w:bCs/>
                <w:color w:val="000000"/>
                <w:sz w:val="14"/>
                <w:szCs w:val="14"/>
              </w:rPr>
              <w:t>328</w:t>
            </w:r>
            <w:r>
              <w:rPr>
                <w:rFonts w:cs="Arial"/>
                <w:b/>
                <w:bCs/>
                <w:color w:val="000000"/>
                <w:sz w:val="14"/>
                <w:szCs w:val="14"/>
              </w:rPr>
              <w:t>,</w:t>
            </w:r>
            <w:r w:rsidRPr="004B635B">
              <w:rPr>
                <w:rFonts w:cs="Arial"/>
                <w:b/>
                <w:bCs/>
                <w:color w:val="000000"/>
                <w:sz w:val="14"/>
                <w:szCs w:val="14"/>
              </w:rPr>
              <w:t>37</w:t>
            </w:r>
            <w:r>
              <w:rPr>
                <w:rFonts w:cs="Arial"/>
                <w:b/>
                <w:bCs/>
                <w:color w:val="000000"/>
                <w:sz w:val="14"/>
                <w:szCs w:val="14"/>
              </w:rPr>
              <w:t>2</w:t>
            </w:r>
            <w:r w:rsidRPr="004B635B">
              <w:rPr>
                <w:rFonts w:cs="Arial"/>
                <w:b/>
                <w:bCs/>
                <w:color w:val="000000"/>
                <w:sz w:val="14"/>
                <w:szCs w:val="14"/>
              </w:rPr>
              <w:t xml:space="preserve"> </w:t>
            </w:r>
          </w:p>
        </w:tc>
        <w:tc>
          <w:tcPr>
            <w:tcW w:w="3260" w:type="dxa"/>
            <w:tcBorders>
              <w:top w:val="nil"/>
              <w:left w:val="nil"/>
              <w:bottom w:val="single" w:sz="2" w:space="0" w:color="1F4E79" w:themeColor="accent1" w:themeShade="80"/>
              <w:right w:val="nil"/>
            </w:tcBorders>
            <w:shd w:val="clear" w:color="auto" w:fill="auto"/>
            <w:vAlign w:val="center"/>
          </w:tcPr>
          <w:p w14:paraId="2744161F"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4B635B">
              <w:rPr>
                <w:rFonts w:cs="Arial"/>
                <w:b/>
                <w:bCs/>
                <w:color w:val="000000"/>
                <w:sz w:val="14"/>
                <w:szCs w:val="14"/>
              </w:rPr>
              <w:t xml:space="preserve">             12</w:t>
            </w:r>
            <w:r>
              <w:rPr>
                <w:rFonts w:cs="Arial"/>
                <w:b/>
                <w:bCs/>
                <w:color w:val="000000"/>
                <w:sz w:val="14"/>
                <w:szCs w:val="14"/>
              </w:rPr>
              <w:t>,</w:t>
            </w:r>
            <w:r w:rsidRPr="004B635B">
              <w:rPr>
                <w:rFonts w:cs="Arial"/>
                <w:b/>
                <w:bCs/>
                <w:color w:val="000000"/>
                <w:sz w:val="14"/>
                <w:szCs w:val="14"/>
              </w:rPr>
              <w:t>127</w:t>
            </w:r>
            <w:r>
              <w:rPr>
                <w:rFonts w:cs="Arial"/>
                <w:b/>
                <w:bCs/>
                <w:color w:val="000000"/>
                <w:sz w:val="14"/>
                <w:szCs w:val="14"/>
              </w:rPr>
              <w:t>,</w:t>
            </w:r>
            <w:r w:rsidRPr="004B635B">
              <w:rPr>
                <w:rFonts w:cs="Arial"/>
                <w:b/>
                <w:bCs/>
                <w:color w:val="000000"/>
                <w:sz w:val="14"/>
                <w:szCs w:val="14"/>
              </w:rPr>
              <w:t>80</w:t>
            </w:r>
            <w:r>
              <w:rPr>
                <w:rFonts w:cs="Arial"/>
                <w:b/>
                <w:bCs/>
                <w:color w:val="000000"/>
                <w:sz w:val="14"/>
                <w:szCs w:val="14"/>
              </w:rPr>
              <w:t>8</w:t>
            </w:r>
            <w:r w:rsidRPr="004B635B">
              <w:rPr>
                <w:rFonts w:cs="Arial"/>
                <w:b/>
                <w:bCs/>
                <w:color w:val="000000"/>
                <w:sz w:val="14"/>
                <w:szCs w:val="14"/>
              </w:rPr>
              <w:t xml:space="preserve"> </w:t>
            </w:r>
          </w:p>
        </w:tc>
      </w:tr>
    </w:tbl>
    <w:p w14:paraId="0758D567" w14:textId="77777777" w:rsidR="006A362F" w:rsidRDefault="006A362F" w:rsidP="00076945">
      <w:pPr>
        <w:keepNext/>
        <w:keepLines/>
        <w:spacing w:after="0" w:line="240" w:lineRule="auto"/>
        <w:rPr>
          <w:rFonts w:eastAsia="Times New Roman" w:cs="Times New Roman"/>
          <w:b/>
          <w:color w:val="1F4E79" w:themeColor="accent1" w:themeShade="80"/>
          <w:spacing w:val="-2"/>
          <w:szCs w:val="20"/>
          <w:lang w:eastAsia="pt-BR"/>
        </w:rPr>
      </w:pPr>
    </w:p>
    <w:p w14:paraId="00343A29" w14:textId="77777777" w:rsidR="002A1B52" w:rsidRDefault="002A1B52">
      <w:pPr>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br w:type="page"/>
      </w:r>
    </w:p>
    <w:p w14:paraId="67E3A94F" w14:textId="2762466B" w:rsidR="006A362F" w:rsidRDefault="006A362F" w:rsidP="00076945">
      <w:pPr>
        <w:spacing w:after="0" w:line="240" w:lineRule="auto"/>
        <w:rPr>
          <w:rFonts w:eastAsia="Times New Roman" w:cs="Times New Roman"/>
          <w:b/>
          <w:color w:val="1F4E79" w:themeColor="accent1" w:themeShade="80"/>
          <w:spacing w:val="-2"/>
          <w:szCs w:val="20"/>
          <w:lang w:eastAsia="pt-BR"/>
        </w:rPr>
      </w:pPr>
      <w:r w:rsidRPr="00261F6E">
        <w:rPr>
          <w:rFonts w:eastAsia="Times New Roman" w:cs="Times New Roman"/>
          <w:b/>
          <w:color w:val="1F4E79" w:themeColor="accent1" w:themeShade="80"/>
          <w:spacing w:val="-2"/>
          <w:szCs w:val="20"/>
          <w:lang w:eastAsia="pt-BR"/>
        </w:rPr>
        <w:lastRenderedPageBreak/>
        <w:t>Aliança do Brasil Seguros S.A. (Aliança do Brasil)</w:t>
      </w:r>
    </w:p>
    <w:p w14:paraId="23E31ED5" w14:textId="77777777" w:rsidR="006A362F" w:rsidRDefault="006A362F" w:rsidP="00076945">
      <w:pPr>
        <w:keepNext/>
        <w:keepLines/>
        <w:spacing w:after="0" w:line="240" w:lineRule="auto"/>
        <w:rPr>
          <w:rFonts w:eastAsia="Times New Roman" w:cs="Times New Roman"/>
          <w:b/>
          <w:color w:val="1F4E79" w:themeColor="accent1" w:themeShade="80"/>
          <w:spacing w:val="-2"/>
          <w:szCs w:val="20"/>
          <w:lang w:eastAsia="pt-BR"/>
        </w:rPr>
      </w:pPr>
    </w:p>
    <w:p w14:paraId="5B2290C4" w14:textId="77777777" w:rsidR="006A362F" w:rsidRPr="00811964" w:rsidRDefault="006A362F" w:rsidP="00076945">
      <w:pPr>
        <w:jc w:val="both"/>
        <w:rPr>
          <w:rFonts w:eastAsia="Times New Roman" w:cs="Arial"/>
          <w:kern w:val="20"/>
          <w:szCs w:val="20"/>
          <w:lang w:val="en-US" w:eastAsia="pt-BR"/>
        </w:rPr>
      </w:pPr>
      <w:r w:rsidRPr="00811964">
        <w:rPr>
          <w:rFonts w:eastAsia="Times New Roman" w:cs="Arial"/>
          <w:kern w:val="20"/>
          <w:szCs w:val="20"/>
          <w:lang w:val="en-US" w:eastAsia="pt-BR"/>
        </w:rPr>
        <w:t>Aliança do Brasil Seguros evaluated the set of insurance and reinsurance contracts that, due to the characteristics described below, can be treated as a single contract (portfolios).</w:t>
      </w:r>
    </w:p>
    <w:tbl>
      <w:tblPr>
        <w:tblW w:w="9639" w:type="dxa"/>
        <w:jc w:val="center"/>
        <w:tblBorders>
          <w:top w:val="single" w:sz="2" w:space="0" w:color="44546A" w:themeColor="text2"/>
          <w:bottom w:val="single" w:sz="2" w:space="0" w:color="44546A" w:themeColor="text2"/>
        </w:tblBorders>
        <w:tblLayout w:type="fixed"/>
        <w:tblLook w:val="04A0" w:firstRow="1" w:lastRow="0" w:firstColumn="1" w:lastColumn="0" w:noHBand="0" w:noVBand="1"/>
      </w:tblPr>
      <w:tblGrid>
        <w:gridCol w:w="1930"/>
        <w:gridCol w:w="6134"/>
        <w:gridCol w:w="1575"/>
      </w:tblGrid>
      <w:tr w:rsidR="006A362F" w:rsidRPr="00137633" w14:paraId="19BCA62A" w14:textId="77777777" w:rsidTr="00811964">
        <w:trPr>
          <w:trHeight w:val="91"/>
          <w:jc w:val="center"/>
        </w:trPr>
        <w:tc>
          <w:tcPr>
            <w:tcW w:w="1001" w:type="pct"/>
            <w:tcBorders>
              <w:top w:val="single" w:sz="2" w:space="0" w:color="44546A" w:themeColor="text2"/>
              <w:bottom w:val="single" w:sz="2" w:space="0" w:color="44546A" w:themeColor="text2"/>
            </w:tcBorders>
            <w:vAlign w:val="center"/>
          </w:tcPr>
          <w:p w14:paraId="5818A2AB" w14:textId="77777777" w:rsidR="006A362F" w:rsidRPr="00137633" w:rsidRDefault="006A362F" w:rsidP="00811964">
            <w:pPr>
              <w:widowControl w:val="0"/>
              <w:spacing w:after="0" w:line="240" w:lineRule="auto"/>
              <w:ind w:left="57"/>
              <w:jc w:val="center"/>
              <w:rPr>
                <w:rFonts w:eastAsia="Times New Roman" w:cs="Arial"/>
                <w:bCs/>
                <w:snapToGrid w:val="0"/>
                <w:sz w:val="14"/>
                <w:szCs w:val="14"/>
                <w:lang w:val="es-ES" w:eastAsia="pt-BR"/>
              </w:rPr>
            </w:pPr>
            <w:r>
              <w:rPr>
                <w:rFonts w:eastAsia="Times New Roman" w:cs="Arial"/>
                <w:b/>
                <w:snapToGrid w:val="0"/>
                <w:sz w:val="14"/>
                <w:szCs w:val="14"/>
                <w:lang w:val="es-ES" w:eastAsia="pt-BR"/>
              </w:rPr>
              <w:t>Portfolios</w:t>
            </w:r>
          </w:p>
        </w:tc>
        <w:tc>
          <w:tcPr>
            <w:tcW w:w="3182" w:type="pct"/>
            <w:tcBorders>
              <w:top w:val="single" w:sz="2" w:space="0" w:color="44546A" w:themeColor="text2"/>
              <w:bottom w:val="single" w:sz="2" w:space="0" w:color="44546A" w:themeColor="text2"/>
            </w:tcBorders>
            <w:vAlign w:val="center"/>
          </w:tcPr>
          <w:p w14:paraId="44255070" w14:textId="77777777" w:rsidR="006A362F" w:rsidRPr="00137633" w:rsidRDefault="006A362F" w:rsidP="00811964">
            <w:pPr>
              <w:widowControl w:val="0"/>
              <w:spacing w:after="0" w:line="240" w:lineRule="auto"/>
              <w:ind w:left="57"/>
              <w:jc w:val="center"/>
              <w:rPr>
                <w:rFonts w:eastAsia="Times New Roman" w:cs="Arial"/>
                <w:bCs/>
                <w:snapToGrid w:val="0"/>
                <w:sz w:val="14"/>
                <w:szCs w:val="14"/>
                <w:lang w:val="es-ES" w:eastAsia="pt-BR"/>
              </w:rPr>
            </w:pPr>
            <w:r>
              <w:rPr>
                <w:rFonts w:eastAsia="Times New Roman" w:cs="Arial"/>
                <w:b/>
                <w:snapToGrid w:val="0"/>
                <w:sz w:val="14"/>
                <w:szCs w:val="14"/>
                <w:lang w:val="es-ES" w:eastAsia="pt-BR"/>
              </w:rPr>
              <w:t>D</w:t>
            </w:r>
            <w:r w:rsidRPr="00811964">
              <w:rPr>
                <w:rFonts w:eastAsia="Times New Roman" w:cs="Arial"/>
                <w:b/>
                <w:snapToGrid w:val="0"/>
                <w:sz w:val="14"/>
                <w:szCs w:val="14"/>
                <w:lang w:val="es-ES" w:eastAsia="pt-BR"/>
              </w:rPr>
              <w:t>escription</w:t>
            </w:r>
          </w:p>
        </w:tc>
        <w:tc>
          <w:tcPr>
            <w:tcW w:w="817" w:type="pct"/>
            <w:tcBorders>
              <w:top w:val="single" w:sz="2" w:space="0" w:color="44546A" w:themeColor="text2"/>
              <w:bottom w:val="single" w:sz="2" w:space="0" w:color="44546A" w:themeColor="text2"/>
            </w:tcBorders>
            <w:vAlign w:val="center"/>
          </w:tcPr>
          <w:p w14:paraId="668BBC1E" w14:textId="77777777" w:rsidR="006A362F" w:rsidRPr="00137633" w:rsidRDefault="006A362F" w:rsidP="00811964">
            <w:pPr>
              <w:widowControl w:val="0"/>
              <w:spacing w:after="0" w:line="240" w:lineRule="auto"/>
              <w:ind w:left="57"/>
              <w:jc w:val="center"/>
              <w:rPr>
                <w:rFonts w:eastAsia="Times New Roman" w:cs="Arial"/>
                <w:bCs/>
                <w:snapToGrid w:val="0"/>
                <w:sz w:val="14"/>
                <w:szCs w:val="14"/>
                <w:lang w:val="es-ES" w:eastAsia="pt-BR"/>
              </w:rPr>
            </w:pPr>
            <w:r>
              <w:rPr>
                <w:rFonts w:eastAsia="Times New Roman" w:cs="Arial"/>
                <w:b/>
                <w:snapToGrid w:val="0"/>
                <w:sz w:val="14"/>
                <w:szCs w:val="14"/>
                <w:lang w:val="es-ES" w:eastAsia="pt-BR"/>
              </w:rPr>
              <w:t>M</w:t>
            </w:r>
            <w:r w:rsidRPr="00811964">
              <w:rPr>
                <w:rFonts w:eastAsia="Times New Roman" w:cs="Arial"/>
                <w:b/>
                <w:snapToGrid w:val="0"/>
                <w:sz w:val="14"/>
                <w:szCs w:val="14"/>
                <w:lang w:val="es-ES" w:eastAsia="pt-BR"/>
              </w:rPr>
              <w:t xml:space="preserve">easurement model </w:t>
            </w:r>
            <w:r w:rsidRPr="006C77C2">
              <w:rPr>
                <w:rFonts w:eastAsia="Times New Roman" w:cs="Arial"/>
                <w:b/>
                <w:snapToGrid w:val="0"/>
                <w:sz w:val="14"/>
                <w:szCs w:val="14"/>
                <w:vertAlign w:val="superscript"/>
                <w:lang w:val="es-ES" w:eastAsia="pt-BR"/>
              </w:rPr>
              <w:t>(1)</w:t>
            </w:r>
          </w:p>
        </w:tc>
      </w:tr>
      <w:tr w:rsidR="006A362F" w:rsidRPr="00137633" w14:paraId="35AED403" w14:textId="77777777" w:rsidTr="006928A6">
        <w:trPr>
          <w:trHeight w:val="113"/>
          <w:jc w:val="center"/>
        </w:trPr>
        <w:tc>
          <w:tcPr>
            <w:tcW w:w="1001" w:type="pct"/>
            <w:tcBorders>
              <w:top w:val="single" w:sz="2" w:space="0" w:color="44546A" w:themeColor="text2"/>
            </w:tcBorders>
          </w:tcPr>
          <w:p w14:paraId="753F55DF"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Transport</w:t>
            </w:r>
          </w:p>
        </w:tc>
        <w:tc>
          <w:tcPr>
            <w:tcW w:w="3182" w:type="pct"/>
            <w:tcBorders>
              <w:top w:val="single" w:sz="2" w:space="0" w:color="44546A" w:themeColor="text2"/>
            </w:tcBorders>
          </w:tcPr>
          <w:p w14:paraId="19CE4A32"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that present transport products. This group mostly contains run-off contracts.</w:t>
            </w:r>
          </w:p>
        </w:tc>
        <w:tc>
          <w:tcPr>
            <w:tcW w:w="817" w:type="pct"/>
            <w:tcBorders>
              <w:top w:val="single" w:sz="2" w:space="0" w:color="44546A" w:themeColor="text2"/>
            </w:tcBorders>
          </w:tcPr>
          <w:p w14:paraId="1A010F26"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6A362F" w:rsidRPr="00137633" w14:paraId="4047E572" w14:textId="77777777" w:rsidTr="006928A6">
        <w:trPr>
          <w:trHeight w:val="113"/>
          <w:jc w:val="center"/>
        </w:trPr>
        <w:tc>
          <w:tcPr>
            <w:tcW w:w="1001" w:type="pct"/>
          </w:tcPr>
          <w:p w14:paraId="0F083B34"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Industrial Risk</w:t>
            </w:r>
          </w:p>
        </w:tc>
        <w:tc>
          <w:tcPr>
            <w:tcW w:w="3182" w:type="pct"/>
          </w:tcPr>
          <w:p w14:paraId="49D3F1A3"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that present industrial risk products. This group mostly contains run-off contracts.</w:t>
            </w:r>
          </w:p>
        </w:tc>
        <w:tc>
          <w:tcPr>
            <w:tcW w:w="817" w:type="pct"/>
          </w:tcPr>
          <w:p w14:paraId="62E9D972"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6A362F" w:rsidRPr="00137633" w14:paraId="33D65F3B" w14:textId="77777777" w:rsidTr="006928A6">
        <w:trPr>
          <w:trHeight w:val="113"/>
          <w:jc w:val="center"/>
        </w:trPr>
        <w:tc>
          <w:tcPr>
            <w:tcW w:w="1001" w:type="pct"/>
          </w:tcPr>
          <w:p w14:paraId="213A29FF"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Surety, Finance and Credit</w:t>
            </w:r>
          </w:p>
        </w:tc>
        <w:tc>
          <w:tcPr>
            <w:tcW w:w="3182" w:type="pct"/>
          </w:tcPr>
          <w:p w14:paraId="4F69DE79"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that present financial risk products. This group mostly contains run-off contracts.</w:t>
            </w:r>
          </w:p>
        </w:tc>
        <w:tc>
          <w:tcPr>
            <w:tcW w:w="817" w:type="pct"/>
          </w:tcPr>
          <w:p w14:paraId="2B88A2B2"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6A362F" w:rsidRPr="00137633" w14:paraId="2B1EB1BE" w14:textId="77777777" w:rsidTr="006928A6">
        <w:trPr>
          <w:trHeight w:val="113"/>
          <w:jc w:val="center"/>
        </w:trPr>
        <w:tc>
          <w:tcPr>
            <w:tcW w:w="1001" w:type="pct"/>
          </w:tcPr>
          <w:p w14:paraId="421028BC"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Agricultural insurance and other damages</w:t>
            </w:r>
          </w:p>
        </w:tc>
        <w:tc>
          <w:tcPr>
            <w:tcW w:w="3182" w:type="pct"/>
          </w:tcPr>
          <w:p w14:paraId="00F78706"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that mostly feature rural products with catastrophe coverage, and durations of one year.</w:t>
            </w:r>
          </w:p>
        </w:tc>
        <w:tc>
          <w:tcPr>
            <w:tcW w:w="817" w:type="pct"/>
          </w:tcPr>
          <w:p w14:paraId="330392AC"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6A362F" w:rsidRPr="00137633" w14:paraId="3138B22E" w14:textId="77777777" w:rsidTr="006928A6">
        <w:trPr>
          <w:trHeight w:val="113"/>
          <w:jc w:val="center"/>
        </w:trPr>
        <w:tc>
          <w:tcPr>
            <w:tcW w:w="1001" w:type="pct"/>
          </w:tcPr>
          <w:p w14:paraId="5395A286"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Simple Risk</w:t>
            </w:r>
          </w:p>
        </w:tc>
        <w:tc>
          <w:tcPr>
            <w:tcW w:w="3182" w:type="pct"/>
          </w:tcPr>
          <w:p w14:paraId="2E88BE5E"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with terms equal to or less than one year.</w:t>
            </w:r>
          </w:p>
        </w:tc>
        <w:tc>
          <w:tcPr>
            <w:tcW w:w="817" w:type="pct"/>
          </w:tcPr>
          <w:p w14:paraId="4EFBE979"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6A362F" w:rsidRPr="00137633" w14:paraId="3984D6DA" w14:textId="77777777" w:rsidTr="006928A6">
        <w:trPr>
          <w:trHeight w:val="113"/>
          <w:jc w:val="center"/>
        </w:trPr>
        <w:tc>
          <w:tcPr>
            <w:tcW w:w="1001" w:type="pct"/>
          </w:tcPr>
          <w:p w14:paraId="671865C7"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Simple Risk - Massified</w:t>
            </w:r>
          </w:p>
        </w:tc>
        <w:tc>
          <w:tcPr>
            <w:tcW w:w="3182" w:type="pct"/>
          </w:tcPr>
          <w:p w14:paraId="2E055FAE" w14:textId="77777777" w:rsidR="006A362F" w:rsidRPr="00137633" w:rsidRDefault="006A362F" w:rsidP="006928A6">
            <w:pPr>
              <w:widowControl w:val="0"/>
              <w:spacing w:before="120" w:after="0" w:line="240" w:lineRule="auto"/>
              <w:ind w:left="57"/>
              <w:rPr>
                <w:rFonts w:eastAsia="Times New Roman" w:cs="Arial"/>
                <w:b/>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that present mass-produced products, with terms equal to or less than one year.</w:t>
            </w:r>
          </w:p>
        </w:tc>
        <w:tc>
          <w:tcPr>
            <w:tcW w:w="817" w:type="pct"/>
          </w:tcPr>
          <w:p w14:paraId="1F346EA1"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r w:rsidR="006A362F" w:rsidRPr="00137633" w14:paraId="597045D1" w14:textId="77777777" w:rsidTr="006928A6">
        <w:trPr>
          <w:trHeight w:val="113"/>
          <w:jc w:val="center"/>
        </w:trPr>
        <w:tc>
          <w:tcPr>
            <w:tcW w:w="1001" w:type="pct"/>
          </w:tcPr>
          <w:p w14:paraId="38334429"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Simple Risk - Breach of Warranty</w:t>
            </w:r>
          </w:p>
        </w:tc>
        <w:tc>
          <w:tcPr>
            <w:tcW w:w="3182" w:type="pct"/>
          </w:tcPr>
          <w:p w14:paraId="21CAA001" w14:textId="77777777" w:rsidR="006A362F" w:rsidRPr="00137633" w:rsidRDefault="006A362F" w:rsidP="006928A6">
            <w:pPr>
              <w:widowControl w:val="0"/>
              <w:spacing w:before="120" w:after="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S</w:t>
            </w:r>
            <w:r w:rsidRPr="00A94E39">
              <w:rPr>
                <w:rFonts w:eastAsia="Times New Roman" w:cs="Arial"/>
                <w:bCs/>
                <w:snapToGrid w:val="0"/>
                <w:sz w:val="14"/>
                <w:szCs w:val="14"/>
                <w:lang w:val="es-ES" w:eastAsia="pt-BR"/>
              </w:rPr>
              <w:t>imilar characteristics and operations that present financial risk products, with terms equal to or less than one year.</w:t>
            </w:r>
          </w:p>
        </w:tc>
        <w:tc>
          <w:tcPr>
            <w:tcW w:w="817" w:type="pct"/>
          </w:tcPr>
          <w:p w14:paraId="7569084C" w14:textId="77777777" w:rsidR="006A362F" w:rsidRPr="00137633" w:rsidRDefault="006A362F" w:rsidP="006928A6">
            <w:pPr>
              <w:widowControl w:val="0"/>
              <w:spacing w:before="120" w:after="0" w:line="240" w:lineRule="auto"/>
              <w:ind w:left="57"/>
              <w:jc w:val="center"/>
              <w:rPr>
                <w:rFonts w:eastAsia="Times New Roman" w:cs="Arial"/>
                <w:bCs/>
                <w:snapToGrid w:val="0"/>
                <w:sz w:val="14"/>
                <w:szCs w:val="14"/>
                <w:lang w:val="es-ES" w:eastAsia="pt-BR"/>
              </w:rPr>
            </w:pPr>
            <w:r w:rsidRPr="00137633">
              <w:rPr>
                <w:rFonts w:eastAsia="Times New Roman" w:cs="Arial"/>
                <w:bCs/>
                <w:snapToGrid w:val="0"/>
                <w:sz w:val="14"/>
                <w:szCs w:val="14"/>
                <w:lang w:val="es-ES" w:eastAsia="pt-BR"/>
              </w:rPr>
              <w:t>PAA</w:t>
            </w:r>
          </w:p>
        </w:tc>
      </w:tr>
    </w:tbl>
    <w:p w14:paraId="433346A8" w14:textId="77777777" w:rsidR="006A362F" w:rsidRPr="00A94E39" w:rsidRDefault="006A362F" w:rsidP="006A362F">
      <w:pPr>
        <w:pStyle w:val="PargrafodaLista"/>
        <w:numPr>
          <w:ilvl w:val="0"/>
          <w:numId w:val="38"/>
        </w:numPr>
        <w:spacing w:after="0" w:line="240" w:lineRule="auto"/>
        <w:rPr>
          <w:rFonts w:ascii="Arial" w:eastAsia="Times New Roman" w:hAnsi="Arial" w:cs="Times New Roman"/>
          <w:bCs/>
          <w:spacing w:val="-2"/>
          <w:sz w:val="14"/>
          <w:szCs w:val="16"/>
          <w:lang w:eastAsia="pt-BR"/>
        </w:rPr>
      </w:pPr>
      <w:r w:rsidRPr="00A94E39">
        <w:rPr>
          <w:rFonts w:ascii="Arial" w:eastAsia="Times New Roman" w:hAnsi="Arial" w:cs="Times New Roman"/>
          <w:bCs/>
          <w:spacing w:val="-2"/>
          <w:sz w:val="14"/>
          <w:szCs w:val="16"/>
          <w:lang w:eastAsia="pt-BR"/>
        </w:rPr>
        <w:t>PAA</w:t>
      </w:r>
      <w:r w:rsidRPr="00A94E39">
        <w:t xml:space="preserve"> - </w:t>
      </w:r>
      <w:r w:rsidRPr="00A94E39">
        <w:rPr>
          <w:rFonts w:ascii="Arial" w:eastAsia="Times New Roman" w:hAnsi="Arial" w:cs="Times New Roman"/>
          <w:bCs/>
          <w:spacing w:val="-2"/>
          <w:sz w:val="14"/>
          <w:szCs w:val="16"/>
          <w:lang w:eastAsia="pt-BR"/>
        </w:rPr>
        <w:t>Premium Allocation Approach.</w:t>
      </w:r>
    </w:p>
    <w:p w14:paraId="212A6BCE" w14:textId="77777777" w:rsidR="006A362F" w:rsidRPr="007D5AFA" w:rsidRDefault="006A362F" w:rsidP="00076945">
      <w:pPr>
        <w:pStyle w:val="PargrafodaLista"/>
        <w:spacing w:after="0" w:line="240" w:lineRule="auto"/>
        <w:ind w:left="360"/>
        <w:rPr>
          <w:rFonts w:ascii="Arial" w:eastAsia="Times New Roman" w:hAnsi="Arial" w:cs="Times New Roman"/>
          <w:bCs/>
          <w:spacing w:val="-2"/>
          <w:sz w:val="14"/>
          <w:szCs w:val="16"/>
          <w:lang w:eastAsia="pt-BR"/>
        </w:rPr>
      </w:pPr>
    </w:p>
    <w:p w14:paraId="73769054" w14:textId="77777777" w:rsidR="006A362F" w:rsidRPr="00811964" w:rsidRDefault="006A362F" w:rsidP="00076945">
      <w:pPr>
        <w:jc w:val="both"/>
        <w:rPr>
          <w:rFonts w:eastAsia="Times New Roman" w:cs="Arial"/>
          <w:kern w:val="20"/>
          <w:szCs w:val="20"/>
          <w:lang w:val="en-US" w:eastAsia="pt-BR"/>
        </w:rPr>
      </w:pPr>
      <w:r w:rsidRPr="00811964">
        <w:rPr>
          <w:rFonts w:eastAsia="Times New Roman" w:cs="Arial"/>
          <w:kern w:val="20"/>
          <w:szCs w:val="20"/>
          <w:lang w:val="en-US" w:eastAsia="pt-BR"/>
        </w:rPr>
        <w:t>The Insurer identified as onerous contracts the groups of secure agricultural insurance contracts with coverage for weather events and duration of one year.</w:t>
      </w:r>
    </w:p>
    <w:p w14:paraId="268BE632" w14:textId="77777777" w:rsidR="006A362F" w:rsidRPr="00811964" w:rsidRDefault="006A362F" w:rsidP="00076945">
      <w:pPr>
        <w:spacing w:after="0" w:line="240" w:lineRule="auto"/>
        <w:rPr>
          <w:rFonts w:eastAsia="Times New Roman" w:cs="Arial"/>
          <w:b/>
          <w:color w:val="1F4E79" w:themeColor="accent1" w:themeShade="80"/>
          <w:spacing w:val="-2"/>
          <w:szCs w:val="18"/>
          <w:lang w:val="en-US" w:eastAsia="pt-BR"/>
        </w:rPr>
      </w:pPr>
      <w:r w:rsidRPr="00811964">
        <w:rPr>
          <w:rFonts w:eastAsia="Times New Roman" w:cs="Arial"/>
          <w:b/>
          <w:color w:val="1F4E79" w:themeColor="accent1" w:themeShade="80"/>
          <w:spacing w:val="-2"/>
          <w:szCs w:val="18"/>
          <w:lang w:val="en-US" w:eastAsia="pt-BR"/>
        </w:rPr>
        <w:t>Initial Adoption of CPC 50 [IFRS 17] and CPC 48 [IFRS 9]</w:t>
      </w:r>
    </w:p>
    <w:p w14:paraId="600AD36B" w14:textId="77777777" w:rsidR="006A362F" w:rsidRPr="00811964" w:rsidRDefault="006A362F" w:rsidP="00076945">
      <w:pPr>
        <w:spacing w:after="0" w:line="240" w:lineRule="auto"/>
        <w:rPr>
          <w:rFonts w:eastAsia="Times New Roman" w:cs="Arial"/>
          <w:b/>
          <w:color w:val="1F4E79" w:themeColor="accent1" w:themeShade="80"/>
          <w:spacing w:val="-2"/>
          <w:szCs w:val="18"/>
          <w:lang w:val="en-US" w:eastAsia="pt-BR"/>
        </w:rPr>
      </w:pPr>
    </w:p>
    <w:p w14:paraId="1A5DA61C" w14:textId="77777777" w:rsidR="006A362F" w:rsidRPr="00811964" w:rsidRDefault="006A362F" w:rsidP="00811964">
      <w:pPr>
        <w:jc w:val="both"/>
        <w:rPr>
          <w:rFonts w:eastAsia="Times New Roman" w:cs="Arial"/>
          <w:kern w:val="20"/>
          <w:szCs w:val="20"/>
          <w:lang w:val="en-US" w:eastAsia="pt-BR"/>
        </w:rPr>
      </w:pPr>
      <w:r w:rsidRPr="00811964">
        <w:rPr>
          <w:rFonts w:eastAsia="Times New Roman" w:cs="Arial"/>
          <w:kern w:val="20"/>
          <w:szCs w:val="20"/>
          <w:lang w:val="en-US" w:eastAsia="pt-BR"/>
        </w:rPr>
        <w:t>The changes in accounting policies, resulting from IFRS 17, are applied using a full retrospective approach for groups of contracts valued by the PAA model, with a recognition date of January 1, 2022.</w:t>
      </w:r>
    </w:p>
    <w:p w14:paraId="15BA4BC7" w14:textId="77777777" w:rsidR="006A362F" w:rsidRPr="00811964" w:rsidRDefault="006A362F" w:rsidP="00811964">
      <w:pPr>
        <w:jc w:val="both"/>
        <w:rPr>
          <w:rFonts w:eastAsia="Times New Roman" w:cs="Arial"/>
          <w:kern w:val="20"/>
          <w:szCs w:val="20"/>
          <w:lang w:val="en-US" w:eastAsia="pt-BR"/>
        </w:rPr>
      </w:pPr>
      <w:r w:rsidRPr="00811964">
        <w:rPr>
          <w:rFonts w:eastAsia="Times New Roman" w:cs="Arial"/>
          <w:kern w:val="20"/>
          <w:szCs w:val="20"/>
          <w:lang w:val="en-US" w:eastAsia="pt-BR"/>
        </w:rPr>
        <w:t>In the full retrospective approach, insurance and reinsurance contract groups were recognized and measured as if IFRS 17 had always been applied, and any difference was recognized in equity.</w:t>
      </w:r>
    </w:p>
    <w:p w14:paraId="26F9CF56" w14:textId="77777777" w:rsidR="006A362F" w:rsidRPr="00811964" w:rsidRDefault="006A362F" w:rsidP="00811964">
      <w:pPr>
        <w:jc w:val="both"/>
        <w:rPr>
          <w:rFonts w:eastAsia="Times New Roman" w:cs="Arial"/>
          <w:kern w:val="20"/>
          <w:szCs w:val="20"/>
          <w:lang w:val="en-US" w:eastAsia="pt-BR"/>
        </w:rPr>
      </w:pPr>
      <w:r w:rsidRPr="00811964">
        <w:rPr>
          <w:rFonts w:eastAsia="Times New Roman" w:cs="Arial"/>
          <w:kern w:val="20"/>
          <w:szCs w:val="20"/>
          <w:lang w:val="en-US" w:eastAsia="pt-BR"/>
        </w:rPr>
        <w:t>Regarding the impacts of IFRS 9, the classification of financial assets, according to IFRS 9, is based on the business model in which a financial asset is managed together with the contractual cash flow characteristics. In this sense, the Company's total shareholders' equity was not affected, as there was no reclassification between measurement categories and no recognition of expected loss on financial instruments.</w:t>
      </w:r>
    </w:p>
    <w:p w14:paraId="5893D901" w14:textId="77777777" w:rsidR="006A362F" w:rsidRPr="00811964" w:rsidRDefault="006A362F" w:rsidP="00811964">
      <w:pPr>
        <w:jc w:val="both"/>
        <w:rPr>
          <w:rFonts w:eastAsia="Times New Roman" w:cs="Arial"/>
          <w:kern w:val="20"/>
          <w:szCs w:val="20"/>
          <w:lang w:val="en-US" w:eastAsia="pt-BR"/>
        </w:rPr>
      </w:pPr>
      <w:r w:rsidRPr="00811964">
        <w:rPr>
          <w:rFonts w:eastAsia="Times New Roman" w:cs="Arial"/>
          <w:kern w:val="20"/>
          <w:szCs w:val="20"/>
          <w:lang w:val="en-US" w:eastAsia="pt-BR"/>
        </w:rPr>
        <w:t>The impacts of the transition on shareholders' equity are shown in the tables below:</w:t>
      </w:r>
    </w:p>
    <w:p w14:paraId="3AF8CF22" w14:textId="77777777" w:rsidR="006A362F" w:rsidRPr="00B77F46" w:rsidRDefault="006A362F" w:rsidP="00076945">
      <w:pPr>
        <w:pStyle w:val="01-TtulodeNota"/>
        <w:spacing w:before="0" w:after="0"/>
        <w:jc w:val="right"/>
        <w:rPr>
          <w:sz w:val="14"/>
          <w:szCs w:val="14"/>
        </w:rPr>
      </w:pPr>
      <w:r w:rsidRPr="00B77F46">
        <w:rPr>
          <w:sz w:val="14"/>
          <w:szCs w:val="14"/>
        </w:rPr>
        <w:t xml:space="preserve">R$ </w:t>
      </w:r>
      <w:r>
        <w:rPr>
          <w:sz w:val="14"/>
          <w:szCs w:val="14"/>
        </w:rPr>
        <w:t>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466C18" w14:paraId="0A1FD590" w14:textId="77777777" w:rsidTr="006928A6">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762F2809" w14:textId="77777777" w:rsidR="006A362F" w:rsidRPr="003222DA" w:rsidRDefault="006A362F" w:rsidP="006928A6">
            <w:pPr>
              <w:pStyle w:val="08-Tabelageral"/>
              <w:jc w:val="center"/>
              <w:rPr>
                <w:rFonts w:cs="Arial"/>
                <w:b/>
                <w:szCs w:val="14"/>
                <w:lang w:val="en-US"/>
              </w:rPr>
            </w:pPr>
            <w:r w:rsidRPr="003222DA">
              <w:rPr>
                <w:rFonts w:cs="Arial"/>
                <w:b/>
                <w:szCs w:val="14"/>
                <w:lang w:val="en-US"/>
              </w:rPr>
              <w:t>Equity Reconciliation - Effects of the adoption of CPC 50 [IFRS 17] and CPC 48 [IFRS 9]</w:t>
            </w:r>
          </w:p>
        </w:tc>
      </w:tr>
      <w:tr w:rsidR="006A362F" w:rsidRPr="000644A1" w14:paraId="67485AB9"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0250A532" w14:textId="77777777" w:rsidR="006A362F" w:rsidRPr="00B540FF" w:rsidRDefault="006A362F" w:rsidP="006928A6">
            <w:pPr>
              <w:pStyle w:val="08-Tabelageral"/>
              <w:jc w:val="left"/>
              <w:rPr>
                <w:rFonts w:cs="Arial"/>
                <w:b/>
                <w:bCs/>
                <w:szCs w:val="14"/>
              </w:rPr>
            </w:pPr>
            <w:r>
              <w:rPr>
                <w:rFonts w:cs="Arial"/>
                <w:b/>
                <w:bCs/>
                <w:szCs w:val="14"/>
              </w:rPr>
              <w:t>Equity on Dec 31,2021</w:t>
            </w:r>
          </w:p>
        </w:tc>
        <w:tc>
          <w:tcPr>
            <w:tcW w:w="2267" w:type="dxa"/>
            <w:tcBorders>
              <w:top w:val="single" w:sz="2" w:space="0" w:color="1F4E79" w:themeColor="accent1" w:themeShade="80"/>
            </w:tcBorders>
            <w:shd w:val="clear" w:color="auto" w:fill="auto"/>
            <w:vAlign w:val="center"/>
          </w:tcPr>
          <w:p w14:paraId="6ADE2543" w14:textId="77777777" w:rsidR="006A362F" w:rsidRPr="00B86917" w:rsidRDefault="006A362F" w:rsidP="006928A6">
            <w:pPr>
              <w:pStyle w:val="08-Tabelageral"/>
              <w:rPr>
                <w:rFonts w:cs="Arial"/>
                <w:b/>
                <w:bCs/>
                <w:szCs w:val="14"/>
              </w:rPr>
            </w:pPr>
            <w:r w:rsidRPr="001936F2">
              <w:rPr>
                <w:rFonts w:cs="Arial"/>
                <w:b/>
                <w:bCs/>
                <w:szCs w:val="14"/>
              </w:rPr>
              <w:t>208</w:t>
            </w:r>
            <w:r>
              <w:rPr>
                <w:rFonts w:cs="Arial"/>
                <w:b/>
                <w:bCs/>
                <w:szCs w:val="14"/>
              </w:rPr>
              <w:t>,</w:t>
            </w:r>
            <w:r w:rsidRPr="001936F2">
              <w:rPr>
                <w:rFonts w:cs="Arial"/>
                <w:b/>
                <w:bCs/>
                <w:szCs w:val="14"/>
              </w:rPr>
              <w:t>191</w:t>
            </w:r>
          </w:p>
        </w:tc>
      </w:tr>
      <w:tr w:rsidR="006A362F" w:rsidRPr="00E2012E" w14:paraId="6C8D00EF"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5DCD64D0" w14:textId="77777777" w:rsidR="006A362F" w:rsidRPr="00E2012E" w:rsidRDefault="006A362F" w:rsidP="006928A6">
            <w:pPr>
              <w:pStyle w:val="08-Tabelageral"/>
              <w:ind w:left="113"/>
              <w:jc w:val="left"/>
              <w:rPr>
                <w:rFonts w:cs="Arial"/>
                <w:szCs w:val="14"/>
              </w:rPr>
            </w:pPr>
            <w:r>
              <w:rPr>
                <w:rFonts w:cs="Arial"/>
                <w:szCs w:val="14"/>
              </w:rPr>
              <w:t>Total impact</w:t>
            </w:r>
          </w:p>
        </w:tc>
        <w:tc>
          <w:tcPr>
            <w:tcW w:w="2267" w:type="dxa"/>
            <w:tcBorders>
              <w:top w:val="single" w:sz="2" w:space="0" w:color="1F4E79" w:themeColor="accent1" w:themeShade="80"/>
            </w:tcBorders>
            <w:shd w:val="clear" w:color="auto" w:fill="auto"/>
            <w:vAlign w:val="center"/>
          </w:tcPr>
          <w:p w14:paraId="2BA17833" w14:textId="77777777" w:rsidR="006A362F" w:rsidRPr="00E2012E" w:rsidRDefault="006A362F" w:rsidP="006928A6">
            <w:pPr>
              <w:pStyle w:val="08-Tabelageral"/>
              <w:rPr>
                <w:rFonts w:cs="Arial"/>
                <w:szCs w:val="14"/>
              </w:rPr>
            </w:pPr>
            <w:r w:rsidRPr="00E2012E">
              <w:rPr>
                <w:rFonts w:cs="Arial"/>
                <w:szCs w:val="14"/>
              </w:rPr>
              <w:t>(5</w:t>
            </w:r>
            <w:r>
              <w:rPr>
                <w:rFonts w:cs="Arial"/>
                <w:szCs w:val="14"/>
              </w:rPr>
              <w:t>,</w:t>
            </w:r>
            <w:r w:rsidRPr="00E2012E">
              <w:rPr>
                <w:rFonts w:cs="Arial"/>
                <w:szCs w:val="14"/>
              </w:rPr>
              <w:t>403)</w:t>
            </w:r>
          </w:p>
        </w:tc>
      </w:tr>
      <w:tr w:rsidR="006A362F" w:rsidRPr="0048242D" w14:paraId="56A08185" w14:textId="77777777" w:rsidTr="006928A6">
        <w:trPr>
          <w:trHeight w:val="238"/>
          <w:jc w:val="center"/>
        </w:trPr>
        <w:tc>
          <w:tcPr>
            <w:tcW w:w="7372" w:type="dxa"/>
            <w:shd w:val="clear" w:color="auto" w:fill="auto"/>
          </w:tcPr>
          <w:p w14:paraId="7869CACE" w14:textId="77777777" w:rsidR="006A362F" w:rsidRPr="00190ECA" w:rsidRDefault="006A362F" w:rsidP="006928A6">
            <w:pPr>
              <w:pStyle w:val="08-Tabelageral"/>
              <w:jc w:val="left"/>
              <w:rPr>
                <w:rFonts w:cs="Arial"/>
                <w:b/>
                <w:bCs/>
                <w:szCs w:val="14"/>
                <w:lang w:val="en-US"/>
              </w:rPr>
            </w:pPr>
            <w:r w:rsidRPr="00190ECA">
              <w:rPr>
                <w:rFonts w:cs="Arial"/>
                <w:b/>
                <w:bCs/>
                <w:szCs w:val="14"/>
                <w:lang w:val="en-US"/>
              </w:rPr>
              <w:t>Equity on Jan 01,2022, after adjustments of CPC 50 [IFRS 17] and CPC 48 [IFRS 9]</w:t>
            </w:r>
          </w:p>
        </w:tc>
        <w:tc>
          <w:tcPr>
            <w:tcW w:w="2267" w:type="dxa"/>
            <w:shd w:val="clear" w:color="auto" w:fill="auto"/>
          </w:tcPr>
          <w:p w14:paraId="0D9635F4" w14:textId="77777777" w:rsidR="006A362F" w:rsidRPr="00B86917" w:rsidRDefault="006A362F" w:rsidP="006928A6">
            <w:pPr>
              <w:pStyle w:val="08-Tabelageral"/>
              <w:rPr>
                <w:rFonts w:cs="Arial"/>
                <w:b/>
                <w:bCs/>
                <w:szCs w:val="14"/>
              </w:rPr>
            </w:pPr>
            <w:r w:rsidRPr="001936F2">
              <w:rPr>
                <w:rFonts w:cs="Arial"/>
                <w:b/>
                <w:bCs/>
                <w:szCs w:val="14"/>
              </w:rPr>
              <w:t>202</w:t>
            </w:r>
            <w:r>
              <w:rPr>
                <w:rFonts w:cs="Arial"/>
                <w:b/>
                <w:bCs/>
                <w:szCs w:val="14"/>
              </w:rPr>
              <w:t>,</w:t>
            </w:r>
            <w:r w:rsidRPr="001936F2">
              <w:rPr>
                <w:rFonts w:cs="Arial"/>
                <w:b/>
                <w:bCs/>
                <w:szCs w:val="14"/>
              </w:rPr>
              <w:t>788</w:t>
            </w:r>
          </w:p>
        </w:tc>
      </w:tr>
    </w:tbl>
    <w:p w14:paraId="6695A7C7" w14:textId="77777777" w:rsidR="006A362F" w:rsidRDefault="006A362F" w:rsidP="00076945">
      <w:pPr>
        <w:spacing w:after="0" w:line="240" w:lineRule="auto"/>
        <w:rPr>
          <w:rFonts w:cs="Times New Roman"/>
          <w:b/>
          <w:color w:val="1F4E79" w:themeColor="accent1" w:themeShade="80"/>
          <w:spacing w:val="-2"/>
          <w:szCs w:val="20"/>
          <w:lang w:eastAsia="pt-BR"/>
        </w:rPr>
      </w:pPr>
    </w:p>
    <w:p w14:paraId="16525CAE" w14:textId="77777777" w:rsidR="006A362F" w:rsidRDefault="006A362F" w:rsidP="00076945">
      <w:pPr>
        <w:keepNext/>
        <w:keepLines/>
        <w:pageBreakBefore/>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lastRenderedPageBreak/>
        <w:t>Income Statement Information</w:t>
      </w:r>
    </w:p>
    <w:p w14:paraId="3387AC7B"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6A362F" w:rsidRPr="00E4394A" w14:paraId="34A4C5F1"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6F0AE57" w14:textId="77777777" w:rsidR="006A362F" w:rsidRPr="004B635B" w:rsidRDefault="006A362F" w:rsidP="006928A6">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A5D40A3" w14:textId="77777777" w:rsidR="006A362F" w:rsidRPr="004B635B"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1st Quarter 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6855899" w14:textId="77777777" w:rsidR="006A362F" w:rsidRPr="004B635B"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1st Quarter 2022</w:t>
            </w:r>
            <w:r w:rsidRPr="004B635B">
              <w:rPr>
                <w:rFonts w:cs="Arial"/>
                <w:sz w:val="14"/>
                <w:szCs w:val="14"/>
              </w:rPr>
              <w:t xml:space="preserve"> (</w:t>
            </w:r>
            <w:r>
              <w:rPr>
                <w:rFonts w:cs="Arial"/>
                <w:sz w:val="14"/>
                <w:szCs w:val="14"/>
              </w:rPr>
              <w:t>Restated balances</w:t>
            </w:r>
            <w:r w:rsidRPr="004B635B">
              <w:rPr>
                <w:rFonts w:cs="Arial"/>
                <w:sz w:val="14"/>
                <w:szCs w:val="14"/>
              </w:rPr>
              <w:t>)</w:t>
            </w:r>
          </w:p>
        </w:tc>
      </w:tr>
      <w:tr w:rsidR="006A362F" w:rsidRPr="00E4394A" w14:paraId="68023AF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304A78A8" w14:textId="77777777" w:rsidR="006A362F" w:rsidRPr="00E4394A" w:rsidRDefault="006A362F" w:rsidP="006928A6">
            <w:pPr>
              <w:keepNext/>
              <w:keepLines/>
              <w:rPr>
                <w:rFonts w:eastAsia="Times New Roman" w:cs="Arial"/>
                <w:spacing w:val="-2"/>
                <w:sz w:val="14"/>
                <w:szCs w:val="14"/>
                <w:highlight w:val="yellow"/>
              </w:rPr>
            </w:pPr>
            <w:r>
              <w:rPr>
                <w:rFonts w:cs="Arial"/>
                <w:color w:val="000000"/>
                <w:sz w:val="14"/>
                <w:szCs w:val="14"/>
              </w:rPr>
              <w:t>Result of insurance contracts</w:t>
            </w:r>
          </w:p>
        </w:tc>
        <w:tc>
          <w:tcPr>
            <w:tcW w:w="2906" w:type="dxa"/>
            <w:tcBorders>
              <w:top w:val="single" w:sz="2" w:space="0" w:color="1F4E79" w:themeColor="accent1" w:themeShade="80"/>
              <w:left w:val="nil"/>
              <w:bottom w:val="nil"/>
              <w:right w:val="nil"/>
            </w:tcBorders>
            <w:shd w:val="clear" w:color="auto" w:fill="auto"/>
            <w:vAlign w:val="center"/>
          </w:tcPr>
          <w:p w14:paraId="34039129"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285.383 </w:t>
            </w:r>
          </w:p>
        </w:tc>
        <w:tc>
          <w:tcPr>
            <w:tcW w:w="2906" w:type="dxa"/>
            <w:tcBorders>
              <w:top w:val="single" w:sz="2" w:space="0" w:color="1F4E79" w:themeColor="accent1" w:themeShade="80"/>
              <w:left w:val="nil"/>
              <w:bottom w:val="nil"/>
              <w:right w:val="nil"/>
            </w:tcBorders>
            <w:shd w:val="clear" w:color="auto" w:fill="auto"/>
            <w:vAlign w:val="center"/>
          </w:tcPr>
          <w:p w14:paraId="07E49A5B"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209.606 </w:t>
            </w:r>
          </w:p>
        </w:tc>
      </w:tr>
      <w:tr w:rsidR="006A362F" w:rsidRPr="00E4394A" w14:paraId="73485FC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89D38DA" w14:textId="77777777" w:rsidR="006A362F" w:rsidRPr="00E4394A" w:rsidRDefault="006A362F" w:rsidP="006928A6">
            <w:pPr>
              <w:keepNext/>
              <w:keepLines/>
              <w:spacing w:before="40" w:after="40"/>
              <w:ind w:left="113"/>
              <w:rPr>
                <w:rFonts w:cs="Arial"/>
                <w:b w:val="0"/>
                <w:bCs w:val="0"/>
                <w:sz w:val="14"/>
                <w:szCs w:val="14"/>
                <w:highlight w:val="yellow"/>
              </w:rPr>
            </w:pPr>
            <w:r>
              <w:rPr>
                <w:rFonts w:cs="Arial"/>
                <w:b w:val="0"/>
                <w:bCs w:val="0"/>
                <w:color w:val="000000"/>
                <w:sz w:val="14"/>
                <w:szCs w:val="14"/>
              </w:rPr>
              <w:t>Result of contracts</w:t>
            </w:r>
            <w:r w:rsidRPr="00E4394A">
              <w:rPr>
                <w:rFonts w:cs="Arial"/>
                <w:b w:val="0"/>
                <w:bCs w:val="0"/>
                <w:color w:val="000000"/>
                <w:sz w:val="14"/>
                <w:szCs w:val="14"/>
              </w:rPr>
              <w:t xml:space="preserve"> PAA</w:t>
            </w:r>
          </w:p>
        </w:tc>
        <w:tc>
          <w:tcPr>
            <w:tcW w:w="2906" w:type="dxa"/>
            <w:tcBorders>
              <w:top w:val="nil"/>
              <w:left w:val="nil"/>
              <w:bottom w:val="nil"/>
              <w:right w:val="nil"/>
            </w:tcBorders>
            <w:shd w:val="clear" w:color="auto" w:fill="auto"/>
            <w:vAlign w:val="center"/>
          </w:tcPr>
          <w:p w14:paraId="029AC73C"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4394A">
              <w:rPr>
                <w:rFonts w:cs="Arial"/>
                <w:color w:val="000000"/>
                <w:sz w:val="14"/>
                <w:szCs w:val="14"/>
              </w:rPr>
              <w:t xml:space="preserve">          285.383 </w:t>
            </w:r>
          </w:p>
        </w:tc>
        <w:tc>
          <w:tcPr>
            <w:tcW w:w="2906" w:type="dxa"/>
            <w:tcBorders>
              <w:top w:val="nil"/>
              <w:left w:val="nil"/>
              <w:bottom w:val="nil"/>
              <w:right w:val="nil"/>
            </w:tcBorders>
            <w:shd w:val="clear" w:color="auto" w:fill="auto"/>
            <w:vAlign w:val="center"/>
          </w:tcPr>
          <w:p w14:paraId="06D9F994"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4394A">
              <w:rPr>
                <w:rFonts w:cs="Arial"/>
                <w:color w:val="000000"/>
                <w:sz w:val="14"/>
                <w:szCs w:val="14"/>
              </w:rPr>
              <w:t xml:space="preserve">           209.606 </w:t>
            </w:r>
          </w:p>
        </w:tc>
      </w:tr>
      <w:tr w:rsidR="006A362F" w:rsidRPr="00E4394A" w14:paraId="30ED917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A8E80C4" w14:textId="77777777" w:rsidR="006A362F" w:rsidRPr="00E4394A" w:rsidRDefault="006A362F" w:rsidP="006928A6">
            <w:pPr>
              <w:keepNext/>
              <w:keepLines/>
              <w:rPr>
                <w:rFonts w:cs="Arial"/>
                <w:b w:val="0"/>
                <w:bCs w:val="0"/>
                <w:sz w:val="14"/>
                <w:szCs w:val="14"/>
                <w:highlight w:val="yellow"/>
              </w:rPr>
            </w:pPr>
            <w:r>
              <w:rPr>
                <w:rFonts w:cs="Arial"/>
                <w:b w:val="0"/>
                <w:bCs w:val="0"/>
                <w:color w:val="000000"/>
                <w:sz w:val="14"/>
                <w:szCs w:val="14"/>
              </w:rPr>
              <w:t>Insurance expenses</w:t>
            </w:r>
          </w:p>
        </w:tc>
        <w:tc>
          <w:tcPr>
            <w:tcW w:w="2906" w:type="dxa"/>
            <w:tcBorders>
              <w:top w:val="nil"/>
              <w:left w:val="nil"/>
              <w:bottom w:val="nil"/>
              <w:right w:val="nil"/>
            </w:tcBorders>
            <w:shd w:val="clear" w:color="auto" w:fill="auto"/>
            <w:vAlign w:val="center"/>
          </w:tcPr>
          <w:p w14:paraId="07EEAE1B" w14:textId="77777777" w:rsidR="006A362F" w:rsidRPr="00E4394A"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(276.599)</w:t>
            </w:r>
          </w:p>
        </w:tc>
        <w:tc>
          <w:tcPr>
            <w:tcW w:w="2906" w:type="dxa"/>
            <w:tcBorders>
              <w:top w:val="nil"/>
              <w:left w:val="nil"/>
              <w:bottom w:val="nil"/>
              <w:right w:val="nil"/>
            </w:tcBorders>
            <w:shd w:val="clear" w:color="auto" w:fill="auto"/>
            <w:vAlign w:val="center"/>
          </w:tcPr>
          <w:p w14:paraId="6A99FF8C" w14:textId="77777777" w:rsidR="006A362F" w:rsidRPr="00E4394A"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(186.453)</w:t>
            </w:r>
          </w:p>
        </w:tc>
      </w:tr>
      <w:tr w:rsidR="006A362F" w:rsidRPr="00E4394A" w14:paraId="1D5D73C6"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4F2B337" w14:textId="77777777" w:rsidR="006A362F" w:rsidRPr="00E4394A" w:rsidRDefault="006A362F" w:rsidP="006928A6">
            <w:pPr>
              <w:keepNext/>
              <w:keepLines/>
              <w:rPr>
                <w:rFonts w:cs="Arial"/>
                <w:color w:val="000000"/>
                <w:sz w:val="14"/>
                <w:szCs w:val="14"/>
                <w:highlight w:val="yellow"/>
              </w:rPr>
            </w:pPr>
            <w:r>
              <w:rPr>
                <w:rFonts w:cs="Arial"/>
                <w:color w:val="000000"/>
                <w:sz w:val="14"/>
                <w:szCs w:val="14"/>
              </w:rPr>
              <w:t>Insurance margin</w:t>
            </w:r>
          </w:p>
        </w:tc>
        <w:tc>
          <w:tcPr>
            <w:tcW w:w="2906" w:type="dxa"/>
            <w:tcBorders>
              <w:top w:val="nil"/>
              <w:left w:val="nil"/>
              <w:bottom w:val="nil"/>
              <w:right w:val="nil"/>
            </w:tcBorders>
            <w:shd w:val="clear" w:color="auto" w:fill="auto"/>
            <w:vAlign w:val="center"/>
          </w:tcPr>
          <w:p w14:paraId="0DD1F9CF" w14:textId="77777777" w:rsidR="006A362F" w:rsidRPr="00E4394A"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8.784 </w:t>
            </w:r>
          </w:p>
        </w:tc>
        <w:tc>
          <w:tcPr>
            <w:tcW w:w="2906" w:type="dxa"/>
            <w:tcBorders>
              <w:top w:val="nil"/>
              <w:left w:val="nil"/>
              <w:bottom w:val="nil"/>
              <w:right w:val="nil"/>
            </w:tcBorders>
            <w:shd w:val="clear" w:color="auto" w:fill="auto"/>
            <w:vAlign w:val="center"/>
          </w:tcPr>
          <w:p w14:paraId="4B692FD9" w14:textId="77777777" w:rsidR="006A362F" w:rsidRPr="00E4394A"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23.153 </w:t>
            </w:r>
          </w:p>
        </w:tc>
      </w:tr>
      <w:tr w:rsidR="006A362F" w:rsidRPr="00E4394A" w14:paraId="1771DE7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52F2189" w14:textId="77777777" w:rsidR="006A362F" w:rsidRPr="00E4394A" w:rsidRDefault="006A362F" w:rsidP="006928A6">
            <w:pPr>
              <w:keepNext/>
              <w:keepLines/>
              <w:spacing w:before="40" w:after="40"/>
              <w:rPr>
                <w:rFonts w:cs="Arial"/>
                <w:sz w:val="14"/>
                <w:szCs w:val="14"/>
                <w:highlight w:val="yellow"/>
              </w:rPr>
            </w:pPr>
            <w:r>
              <w:rPr>
                <w:rFonts w:cs="Arial"/>
                <w:color w:val="000000"/>
                <w:sz w:val="14"/>
                <w:szCs w:val="14"/>
              </w:rPr>
              <w:t>Financial result</w:t>
            </w:r>
          </w:p>
        </w:tc>
        <w:tc>
          <w:tcPr>
            <w:tcW w:w="2906" w:type="dxa"/>
            <w:tcBorders>
              <w:top w:val="nil"/>
              <w:left w:val="nil"/>
              <w:bottom w:val="nil"/>
              <w:right w:val="nil"/>
            </w:tcBorders>
            <w:shd w:val="clear" w:color="auto" w:fill="auto"/>
            <w:vAlign w:val="center"/>
          </w:tcPr>
          <w:p w14:paraId="1C265DDD"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15.413 </w:t>
            </w:r>
          </w:p>
        </w:tc>
        <w:tc>
          <w:tcPr>
            <w:tcW w:w="2906" w:type="dxa"/>
            <w:tcBorders>
              <w:top w:val="nil"/>
              <w:left w:val="nil"/>
              <w:bottom w:val="nil"/>
              <w:right w:val="nil"/>
            </w:tcBorders>
            <w:shd w:val="clear" w:color="auto" w:fill="auto"/>
            <w:vAlign w:val="center"/>
          </w:tcPr>
          <w:p w14:paraId="06EB99A4"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4394A">
              <w:rPr>
                <w:rFonts w:cs="Arial"/>
                <w:b/>
                <w:bCs/>
                <w:color w:val="000000"/>
                <w:sz w:val="14"/>
                <w:szCs w:val="14"/>
              </w:rPr>
              <w:t xml:space="preserve">                 10.432 </w:t>
            </w:r>
          </w:p>
        </w:tc>
      </w:tr>
      <w:tr w:rsidR="006A362F" w:rsidRPr="00E4394A" w14:paraId="40AD83F0"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66FD2A0" w14:textId="77777777" w:rsidR="006A362F" w:rsidRPr="00E4394A" w:rsidRDefault="006A362F" w:rsidP="006928A6">
            <w:pPr>
              <w:keepNext/>
              <w:keepLines/>
              <w:spacing w:before="40" w:after="40"/>
              <w:ind w:left="113"/>
              <w:rPr>
                <w:rFonts w:cs="Arial"/>
                <w:b w:val="0"/>
                <w:bCs w:val="0"/>
                <w:color w:val="000000"/>
                <w:sz w:val="14"/>
                <w:szCs w:val="14"/>
                <w:highlight w:val="yellow"/>
              </w:rPr>
            </w:pPr>
            <w:r>
              <w:rPr>
                <w:rFonts w:cs="Arial"/>
                <w:b w:val="0"/>
                <w:bCs w:val="0"/>
                <w:color w:val="000000"/>
                <w:sz w:val="14"/>
                <w:szCs w:val="14"/>
              </w:rPr>
              <w:t>Financial income</w:t>
            </w:r>
          </w:p>
        </w:tc>
        <w:tc>
          <w:tcPr>
            <w:tcW w:w="2906" w:type="dxa"/>
            <w:tcBorders>
              <w:top w:val="nil"/>
              <w:left w:val="nil"/>
              <w:bottom w:val="nil"/>
              <w:right w:val="nil"/>
            </w:tcBorders>
            <w:shd w:val="clear" w:color="auto" w:fill="auto"/>
            <w:vAlign w:val="center"/>
          </w:tcPr>
          <w:p w14:paraId="0AEFE65F"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15.233 </w:t>
            </w:r>
          </w:p>
        </w:tc>
        <w:tc>
          <w:tcPr>
            <w:tcW w:w="2906" w:type="dxa"/>
            <w:tcBorders>
              <w:top w:val="nil"/>
              <w:left w:val="nil"/>
              <w:bottom w:val="nil"/>
              <w:right w:val="nil"/>
            </w:tcBorders>
            <w:shd w:val="clear" w:color="auto" w:fill="auto"/>
            <w:vAlign w:val="center"/>
          </w:tcPr>
          <w:p w14:paraId="30657E5D"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12.851 </w:t>
            </w:r>
          </w:p>
        </w:tc>
      </w:tr>
      <w:tr w:rsidR="006A362F" w:rsidRPr="00E4394A" w14:paraId="7CCCB2C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BAB52F8" w14:textId="77777777" w:rsidR="006A362F" w:rsidRPr="00E4394A" w:rsidRDefault="006A362F" w:rsidP="006928A6">
            <w:pPr>
              <w:keepNext/>
              <w:keepLines/>
              <w:spacing w:before="40" w:after="40"/>
              <w:ind w:left="113"/>
              <w:rPr>
                <w:rFonts w:cs="Arial"/>
                <w:b w:val="0"/>
                <w:bCs w:val="0"/>
                <w:color w:val="000000"/>
                <w:sz w:val="14"/>
                <w:szCs w:val="14"/>
                <w:highlight w:val="yellow"/>
              </w:rPr>
            </w:pPr>
            <w:r>
              <w:rPr>
                <w:rFonts w:cs="Arial"/>
                <w:b w:val="0"/>
                <w:bCs w:val="0"/>
                <w:color w:val="000000"/>
                <w:sz w:val="14"/>
                <w:szCs w:val="14"/>
              </w:rPr>
              <w:t>Financial expenses</w:t>
            </w:r>
          </w:p>
        </w:tc>
        <w:tc>
          <w:tcPr>
            <w:tcW w:w="2906" w:type="dxa"/>
            <w:tcBorders>
              <w:top w:val="nil"/>
              <w:left w:val="nil"/>
              <w:bottom w:val="nil"/>
              <w:right w:val="nil"/>
            </w:tcBorders>
            <w:shd w:val="clear" w:color="auto" w:fill="auto"/>
            <w:vAlign w:val="center"/>
          </w:tcPr>
          <w:p w14:paraId="569AEA8E"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180 </w:t>
            </w:r>
          </w:p>
        </w:tc>
        <w:tc>
          <w:tcPr>
            <w:tcW w:w="2906" w:type="dxa"/>
            <w:tcBorders>
              <w:top w:val="nil"/>
              <w:left w:val="nil"/>
              <w:bottom w:val="nil"/>
              <w:right w:val="nil"/>
            </w:tcBorders>
            <w:shd w:val="clear" w:color="auto" w:fill="auto"/>
            <w:vAlign w:val="center"/>
          </w:tcPr>
          <w:p w14:paraId="10252A19"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(2.419)</w:t>
            </w:r>
          </w:p>
        </w:tc>
      </w:tr>
      <w:tr w:rsidR="006A362F" w:rsidRPr="00E4394A" w14:paraId="5EF1E35E"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3F2A6B9" w14:textId="77777777" w:rsidR="006A362F" w:rsidRPr="00E4394A" w:rsidRDefault="006A362F" w:rsidP="006928A6">
            <w:pPr>
              <w:keepNext/>
              <w:keepLines/>
              <w:spacing w:before="40" w:after="40"/>
              <w:rPr>
                <w:rFonts w:cs="Arial"/>
                <w:b w:val="0"/>
                <w:bCs w:val="0"/>
                <w:sz w:val="14"/>
                <w:szCs w:val="14"/>
                <w:highlight w:val="yellow"/>
              </w:rPr>
            </w:pPr>
            <w:r>
              <w:rPr>
                <w:rFonts w:cs="Arial"/>
                <w:b w:val="0"/>
                <w:bCs w:val="0"/>
                <w:color w:val="000000"/>
                <w:sz w:val="14"/>
                <w:szCs w:val="14"/>
              </w:rPr>
              <w:t>Non-Attributable Expenses</w:t>
            </w:r>
          </w:p>
        </w:tc>
        <w:tc>
          <w:tcPr>
            <w:tcW w:w="2906" w:type="dxa"/>
            <w:tcBorders>
              <w:top w:val="nil"/>
              <w:left w:val="nil"/>
              <w:bottom w:val="nil"/>
              <w:right w:val="nil"/>
            </w:tcBorders>
            <w:shd w:val="clear" w:color="auto" w:fill="auto"/>
            <w:vAlign w:val="center"/>
          </w:tcPr>
          <w:p w14:paraId="1EF2F6ED"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(22.421)</w:t>
            </w:r>
          </w:p>
        </w:tc>
        <w:tc>
          <w:tcPr>
            <w:tcW w:w="2906" w:type="dxa"/>
            <w:tcBorders>
              <w:top w:val="nil"/>
              <w:left w:val="nil"/>
              <w:bottom w:val="nil"/>
              <w:right w:val="nil"/>
            </w:tcBorders>
            <w:shd w:val="clear" w:color="auto" w:fill="auto"/>
            <w:vAlign w:val="center"/>
          </w:tcPr>
          <w:p w14:paraId="69F7B544"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(19.691)</w:t>
            </w:r>
          </w:p>
        </w:tc>
      </w:tr>
      <w:tr w:rsidR="006A362F" w:rsidRPr="00E4394A" w14:paraId="674BFB0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0AC7C0C" w14:textId="77777777" w:rsidR="006A362F" w:rsidRPr="00E4394A" w:rsidRDefault="006A362F" w:rsidP="006928A6">
            <w:pPr>
              <w:keepNext/>
              <w:keepLines/>
              <w:spacing w:before="40" w:after="40"/>
              <w:rPr>
                <w:rFonts w:cs="Arial"/>
                <w:sz w:val="14"/>
                <w:szCs w:val="14"/>
                <w:highlight w:val="yellow"/>
              </w:rPr>
            </w:pPr>
            <w:r>
              <w:rPr>
                <w:rFonts w:cs="Arial"/>
                <w:color w:val="000000"/>
                <w:sz w:val="14"/>
                <w:szCs w:val="14"/>
              </w:rPr>
              <w:t>Income before taxes</w:t>
            </w:r>
          </w:p>
        </w:tc>
        <w:tc>
          <w:tcPr>
            <w:tcW w:w="2906" w:type="dxa"/>
            <w:tcBorders>
              <w:top w:val="nil"/>
              <w:left w:val="nil"/>
              <w:bottom w:val="nil"/>
              <w:right w:val="nil"/>
            </w:tcBorders>
            <w:shd w:val="clear" w:color="auto" w:fill="auto"/>
            <w:vAlign w:val="center"/>
          </w:tcPr>
          <w:p w14:paraId="741F853D"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1.776 </w:t>
            </w:r>
          </w:p>
        </w:tc>
        <w:tc>
          <w:tcPr>
            <w:tcW w:w="2906" w:type="dxa"/>
            <w:tcBorders>
              <w:top w:val="nil"/>
              <w:left w:val="nil"/>
              <w:bottom w:val="nil"/>
              <w:right w:val="nil"/>
            </w:tcBorders>
            <w:shd w:val="clear" w:color="auto" w:fill="auto"/>
            <w:vAlign w:val="center"/>
          </w:tcPr>
          <w:p w14:paraId="78476DCB"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13.894 </w:t>
            </w:r>
          </w:p>
        </w:tc>
      </w:tr>
      <w:tr w:rsidR="006A362F" w:rsidRPr="004B635B" w14:paraId="039F6195"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8EB4118" w14:textId="77777777" w:rsidR="006A362F" w:rsidRPr="004B635B" w:rsidRDefault="006A362F" w:rsidP="006928A6">
            <w:pPr>
              <w:keepNext/>
              <w:keepLines/>
              <w:spacing w:before="40" w:after="40"/>
              <w:ind w:left="113"/>
              <w:rPr>
                <w:rFonts w:cs="Arial"/>
                <w:b w:val="0"/>
                <w:bCs w:val="0"/>
                <w:sz w:val="14"/>
                <w:szCs w:val="14"/>
              </w:rPr>
            </w:pPr>
            <w:r>
              <w:rPr>
                <w:rFonts w:cs="Arial"/>
                <w:b w:val="0"/>
                <w:bCs w:val="0"/>
                <w:color w:val="000000"/>
                <w:sz w:val="14"/>
                <w:szCs w:val="14"/>
              </w:rPr>
              <w:t>Taxes</w:t>
            </w:r>
          </w:p>
        </w:tc>
        <w:tc>
          <w:tcPr>
            <w:tcW w:w="2906" w:type="dxa"/>
            <w:tcBorders>
              <w:top w:val="nil"/>
              <w:left w:val="nil"/>
              <w:bottom w:val="nil"/>
              <w:right w:val="nil"/>
            </w:tcBorders>
            <w:shd w:val="clear" w:color="auto" w:fill="auto"/>
            <w:vAlign w:val="center"/>
          </w:tcPr>
          <w:p w14:paraId="242D1CF9"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B635B">
              <w:rPr>
                <w:rFonts w:cs="Arial"/>
                <w:color w:val="000000"/>
                <w:sz w:val="14"/>
                <w:szCs w:val="14"/>
              </w:rPr>
              <w:t>(1.288)</w:t>
            </w:r>
          </w:p>
        </w:tc>
        <w:tc>
          <w:tcPr>
            <w:tcW w:w="2906" w:type="dxa"/>
            <w:tcBorders>
              <w:top w:val="nil"/>
              <w:left w:val="nil"/>
              <w:bottom w:val="nil"/>
              <w:right w:val="nil"/>
            </w:tcBorders>
            <w:shd w:val="clear" w:color="auto" w:fill="auto"/>
            <w:vAlign w:val="center"/>
          </w:tcPr>
          <w:p w14:paraId="71BD3B78"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4B635B">
              <w:rPr>
                <w:rFonts w:cs="Arial"/>
                <w:color w:val="000000"/>
                <w:sz w:val="14"/>
                <w:szCs w:val="14"/>
              </w:rPr>
              <w:t>(5.085)</w:t>
            </w:r>
          </w:p>
        </w:tc>
      </w:tr>
      <w:tr w:rsidR="006A362F" w:rsidRPr="00E4394A" w14:paraId="69AB18DB"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46F55B1" w14:textId="77777777" w:rsidR="006A362F" w:rsidRPr="004B635B" w:rsidRDefault="006A362F" w:rsidP="006928A6">
            <w:pPr>
              <w:keepNext/>
              <w:keepLines/>
              <w:spacing w:before="40" w:after="40"/>
              <w:ind w:left="113"/>
              <w:rPr>
                <w:rFonts w:cs="Arial"/>
                <w:b w:val="0"/>
                <w:bCs w:val="0"/>
                <w:sz w:val="14"/>
                <w:szCs w:val="14"/>
              </w:rPr>
            </w:pPr>
            <w:r>
              <w:rPr>
                <w:rFonts w:cs="Arial"/>
                <w:b w:val="0"/>
                <w:bCs w:val="0"/>
                <w:color w:val="000000"/>
                <w:sz w:val="14"/>
                <w:szCs w:val="14"/>
              </w:rPr>
              <w:t>Shares on the result</w:t>
            </w:r>
          </w:p>
        </w:tc>
        <w:tc>
          <w:tcPr>
            <w:tcW w:w="2906" w:type="dxa"/>
            <w:tcBorders>
              <w:top w:val="nil"/>
              <w:left w:val="nil"/>
              <w:bottom w:val="nil"/>
              <w:right w:val="nil"/>
            </w:tcBorders>
            <w:shd w:val="clear" w:color="auto" w:fill="auto"/>
            <w:vAlign w:val="center"/>
          </w:tcPr>
          <w:p w14:paraId="0E37227F"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4B635B">
              <w:rPr>
                <w:rFonts w:cs="Arial"/>
                <w:color w:val="000000"/>
                <w:sz w:val="14"/>
                <w:szCs w:val="14"/>
              </w:rPr>
              <w:t xml:space="preserve">                   224 </w:t>
            </w:r>
          </w:p>
        </w:tc>
        <w:tc>
          <w:tcPr>
            <w:tcW w:w="2906" w:type="dxa"/>
            <w:tcBorders>
              <w:top w:val="nil"/>
              <w:left w:val="nil"/>
              <w:bottom w:val="nil"/>
              <w:right w:val="nil"/>
            </w:tcBorders>
            <w:shd w:val="clear" w:color="auto" w:fill="auto"/>
            <w:vAlign w:val="center"/>
          </w:tcPr>
          <w:p w14:paraId="743328A4" w14:textId="77777777" w:rsidR="006A362F" w:rsidRPr="004B635B"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4B635B">
              <w:rPr>
                <w:rFonts w:cs="Arial"/>
                <w:color w:val="000000"/>
                <w:sz w:val="14"/>
                <w:szCs w:val="14"/>
              </w:rPr>
              <w:t xml:space="preserve">                  (243)</w:t>
            </w:r>
          </w:p>
        </w:tc>
      </w:tr>
      <w:tr w:rsidR="006A362F" w:rsidRPr="00E4394A" w14:paraId="57B2A5A9"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3E57E5F" w14:textId="77777777" w:rsidR="006A362F" w:rsidRPr="00E4394A" w:rsidRDefault="006A362F" w:rsidP="006928A6">
            <w:pPr>
              <w:keepNext/>
              <w:keepLines/>
              <w:spacing w:before="40" w:after="40"/>
              <w:rPr>
                <w:rFonts w:cs="Arial"/>
                <w:sz w:val="14"/>
                <w:szCs w:val="14"/>
                <w:highlight w:val="yellow"/>
              </w:rPr>
            </w:pPr>
            <w:r>
              <w:rPr>
                <w:rFonts w:cs="Arial"/>
                <w:color w:val="000000"/>
                <w:sz w:val="14"/>
                <w:szCs w:val="14"/>
              </w:rPr>
              <w:t>Net income</w:t>
            </w:r>
          </w:p>
        </w:tc>
        <w:tc>
          <w:tcPr>
            <w:tcW w:w="2906" w:type="dxa"/>
            <w:tcBorders>
              <w:top w:val="nil"/>
              <w:left w:val="nil"/>
              <w:bottom w:val="nil"/>
              <w:right w:val="nil"/>
            </w:tcBorders>
            <w:shd w:val="clear" w:color="auto" w:fill="auto"/>
            <w:vAlign w:val="center"/>
          </w:tcPr>
          <w:p w14:paraId="762DE32B"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712 </w:t>
            </w:r>
          </w:p>
        </w:tc>
        <w:tc>
          <w:tcPr>
            <w:tcW w:w="2906" w:type="dxa"/>
            <w:tcBorders>
              <w:top w:val="nil"/>
              <w:left w:val="nil"/>
              <w:bottom w:val="nil"/>
              <w:right w:val="nil"/>
            </w:tcBorders>
            <w:shd w:val="clear" w:color="auto" w:fill="auto"/>
            <w:vAlign w:val="center"/>
          </w:tcPr>
          <w:p w14:paraId="5970CE99"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8.565 </w:t>
            </w:r>
          </w:p>
        </w:tc>
      </w:tr>
      <w:tr w:rsidR="006A362F" w:rsidRPr="00E4394A" w14:paraId="731CB25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B8A3BAD" w14:textId="77777777" w:rsidR="006A362F" w:rsidRPr="00E4394A" w:rsidRDefault="006A362F" w:rsidP="006928A6">
            <w:pPr>
              <w:keepNext/>
              <w:keepLines/>
              <w:spacing w:before="40" w:after="40"/>
              <w:ind w:left="113"/>
              <w:rPr>
                <w:rFonts w:cs="Arial"/>
                <w:b w:val="0"/>
                <w:bCs w:val="0"/>
                <w:sz w:val="14"/>
                <w:szCs w:val="14"/>
                <w:highlight w:val="yellow"/>
              </w:rPr>
            </w:pPr>
            <w:r>
              <w:rPr>
                <w:rFonts w:cs="Arial"/>
                <w:b w:val="0"/>
                <w:bCs w:val="0"/>
                <w:color w:val="000000"/>
                <w:sz w:val="14"/>
                <w:szCs w:val="14"/>
              </w:rPr>
              <w:t>Other comprehensive results</w:t>
            </w:r>
          </w:p>
        </w:tc>
        <w:tc>
          <w:tcPr>
            <w:tcW w:w="2906" w:type="dxa"/>
            <w:tcBorders>
              <w:top w:val="nil"/>
              <w:left w:val="nil"/>
              <w:bottom w:val="nil"/>
              <w:right w:val="nil"/>
            </w:tcBorders>
            <w:shd w:val="clear" w:color="auto" w:fill="auto"/>
            <w:vAlign w:val="center"/>
          </w:tcPr>
          <w:p w14:paraId="012062A6"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51 </w:t>
            </w:r>
          </w:p>
        </w:tc>
        <w:tc>
          <w:tcPr>
            <w:tcW w:w="2906" w:type="dxa"/>
            <w:tcBorders>
              <w:top w:val="nil"/>
              <w:left w:val="nil"/>
              <w:bottom w:val="nil"/>
              <w:right w:val="nil"/>
            </w:tcBorders>
            <w:shd w:val="clear" w:color="auto" w:fill="auto"/>
            <w:vAlign w:val="center"/>
          </w:tcPr>
          <w:p w14:paraId="52752517" w14:textId="77777777" w:rsidR="006A362F" w:rsidRPr="00E4394A"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4394A">
              <w:rPr>
                <w:rFonts w:cs="Arial"/>
                <w:color w:val="000000"/>
                <w:sz w:val="14"/>
                <w:szCs w:val="14"/>
              </w:rPr>
              <w:t xml:space="preserve">                     4</w:t>
            </w:r>
            <w:r>
              <w:rPr>
                <w:rFonts w:cs="Arial"/>
                <w:color w:val="000000"/>
                <w:sz w:val="14"/>
                <w:szCs w:val="14"/>
              </w:rPr>
              <w:t>2</w:t>
            </w:r>
            <w:r w:rsidRPr="00E4394A">
              <w:rPr>
                <w:rFonts w:cs="Arial"/>
                <w:color w:val="000000"/>
                <w:sz w:val="14"/>
                <w:szCs w:val="14"/>
              </w:rPr>
              <w:t xml:space="preserve"> </w:t>
            </w:r>
          </w:p>
        </w:tc>
      </w:tr>
      <w:tr w:rsidR="006A362F" w:rsidRPr="00E4394A" w14:paraId="2E38A8D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2EF2370E" w14:textId="77777777" w:rsidR="006A362F" w:rsidRPr="00E4394A" w:rsidRDefault="006A362F" w:rsidP="006928A6">
            <w:pPr>
              <w:keepNext/>
              <w:keepLines/>
              <w:spacing w:before="40" w:after="40"/>
              <w:rPr>
                <w:rFonts w:cs="Arial"/>
                <w:sz w:val="14"/>
                <w:szCs w:val="14"/>
                <w:highlight w:val="yellow"/>
              </w:rPr>
            </w:pPr>
            <w:r>
              <w:rPr>
                <w:rFonts w:cs="Arial"/>
                <w:color w:val="000000"/>
                <w:sz w:val="14"/>
                <w:szCs w:val="14"/>
              </w:rPr>
              <w:t>Comprehensive income</w:t>
            </w:r>
          </w:p>
        </w:tc>
        <w:tc>
          <w:tcPr>
            <w:tcW w:w="2906" w:type="dxa"/>
            <w:tcBorders>
              <w:top w:val="nil"/>
              <w:left w:val="nil"/>
              <w:bottom w:val="single" w:sz="2" w:space="0" w:color="1F4E79" w:themeColor="accent1" w:themeShade="80"/>
              <w:right w:val="nil"/>
            </w:tcBorders>
            <w:shd w:val="clear" w:color="auto" w:fill="auto"/>
            <w:vAlign w:val="center"/>
          </w:tcPr>
          <w:p w14:paraId="1D36D55A"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763 </w:t>
            </w:r>
          </w:p>
        </w:tc>
        <w:tc>
          <w:tcPr>
            <w:tcW w:w="2906" w:type="dxa"/>
            <w:tcBorders>
              <w:top w:val="nil"/>
              <w:left w:val="nil"/>
              <w:bottom w:val="single" w:sz="2" w:space="0" w:color="1F4E79" w:themeColor="accent1" w:themeShade="80"/>
              <w:right w:val="nil"/>
            </w:tcBorders>
            <w:shd w:val="clear" w:color="auto" w:fill="auto"/>
            <w:vAlign w:val="center"/>
          </w:tcPr>
          <w:p w14:paraId="5BA39930" w14:textId="77777777" w:rsidR="006A362F" w:rsidRPr="00E4394A"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4394A">
              <w:rPr>
                <w:rFonts w:cs="Arial"/>
                <w:b/>
                <w:bCs/>
                <w:color w:val="000000"/>
                <w:sz w:val="14"/>
                <w:szCs w:val="14"/>
              </w:rPr>
              <w:t xml:space="preserve">                   8.607 </w:t>
            </w:r>
          </w:p>
        </w:tc>
      </w:tr>
    </w:tbl>
    <w:p w14:paraId="4EB146B9" w14:textId="77777777" w:rsidR="006A362F" w:rsidRPr="00466C18" w:rsidRDefault="006A362F" w:rsidP="006A362F">
      <w:pPr>
        <w:pStyle w:val="PargrafodaLista"/>
        <w:numPr>
          <w:ilvl w:val="0"/>
          <w:numId w:val="45"/>
        </w:numPr>
        <w:spacing w:after="0" w:line="240" w:lineRule="auto"/>
        <w:rPr>
          <w:rFonts w:ascii="Arial" w:eastAsia="Times New Roman" w:hAnsi="Arial" w:cs="Times New Roman"/>
          <w:bCs/>
          <w:spacing w:val="-2"/>
          <w:sz w:val="14"/>
          <w:szCs w:val="16"/>
          <w:lang w:eastAsia="pt-BR"/>
        </w:rPr>
      </w:pPr>
      <w:r w:rsidRPr="00466C18">
        <w:rPr>
          <w:rFonts w:ascii="Arial" w:eastAsia="Times New Roman" w:hAnsi="Arial" w:cs="Arial"/>
          <w:kern w:val="20"/>
          <w:sz w:val="14"/>
          <w:szCs w:val="16"/>
          <w:lang w:eastAsia="pt-BR"/>
        </w:rPr>
        <w:t>PAA - Premium Allocation Approach.</w:t>
      </w:r>
    </w:p>
    <w:p w14:paraId="01F2F729"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61008C1A"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Balance Sheet Information</w:t>
      </w:r>
    </w:p>
    <w:p w14:paraId="72485D12"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6A362F" w:rsidRPr="00627470" w14:paraId="2291CDEB"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D276928" w14:textId="77777777" w:rsidR="006A362F" w:rsidRPr="00627470" w:rsidRDefault="006A362F" w:rsidP="006928A6">
            <w:pP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BFA19D8" w14:textId="77777777" w:rsidR="006A362F" w:rsidRPr="00627470"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Mar 31, 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4BE460A" w14:textId="77777777" w:rsidR="006A362F" w:rsidRPr="00627470"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Dez 31, 2022 (Restated balances)</w:t>
            </w:r>
          </w:p>
        </w:tc>
      </w:tr>
      <w:tr w:rsidR="006A362F" w:rsidRPr="003361C0" w14:paraId="3E423138"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4E957382" w14:textId="77777777" w:rsidR="006A362F" w:rsidRPr="003361C0" w:rsidRDefault="006A362F" w:rsidP="006928A6">
            <w:pPr>
              <w:keepNext/>
              <w:keepLines/>
              <w:rPr>
                <w:rFonts w:eastAsia="Times New Roman" w:cs="Arial"/>
                <w:spacing w:val="-2"/>
                <w:sz w:val="14"/>
                <w:szCs w:val="14"/>
              </w:rPr>
            </w:pPr>
            <w:r>
              <w:rPr>
                <w:rFonts w:cs="Arial"/>
                <w:color w:val="000000"/>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567D1279"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716</w:t>
            </w:r>
            <w:r>
              <w:rPr>
                <w:rFonts w:cs="Arial"/>
                <w:b/>
                <w:bCs/>
                <w:color w:val="000000"/>
                <w:sz w:val="14"/>
                <w:szCs w:val="14"/>
              </w:rPr>
              <w:t>,</w:t>
            </w:r>
            <w:r w:rsidRPr="003361C0">
              <w:rPr>
                <w:rFonts w:cs="Arial"/>
                <w:b/>
                <w:bCs/>
                <w:color w:val="000000"/>
                <w:sz w:val="14"/>
                <w:szCs w:val="14"/>
              </w:rPr>
              <w:t>08</w:t>
            </w:r>
            <w:r>
              <w:rPr>
                <w:rFonts w:cs="Arial"/>
                <w:b/>
                <w:bCs/>
                <w:color w:val="000000"/>
                <w:sz w:val="14"/>
                <w:szCs w:val="14"/>
              </w:rPr>
              <w:t>6</w:t>
            </w:r>
            <w:r w:rsidRPr="003361C0">
              <w:rPr>
                <w:rFonts w:cs="Arial"/>
                <w:b/>
                <w:bCs/>
                <w:color w:val="000000"/>
                <w:sz w:val="14"/>
                <w:szCs w:val="14"/>
              </w:rPr>
              <w:t xml:space="preserve"> </w:t>
            </w:r>
          </w:p>
        </w:tc>
        <w:tc>
          <w:tcPr>
            <w:tcW w:w="3260" w:type="dxa"/>
            <w:tcBorders>
              <w:top w:val="single" w:sz="2" w:space="0" w:color="1F4E79" w:themeColor="accent1" w:themeShade="80"/>
              <w:left w:val="nil"/>
              <w:bottom w:val="nil"/>
              <w:right w:val="nil"/>
            </w:tcBorders>
            <w:shd w:val="clear" w:color="auto" w:fill="auto"/>
            <w:vAlign w:val="center"/>
          </w:tcPr>
          <w:p w14:paraId="173A9A67"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627</w:t>
            </w:r>
            <w:r>
              <w:rPr>
                <w:rFonts w:cs="Arial"/>
                <w:b/>
                <w:bCs/>
                <w:color w:val="000000"/>
                <w:sz w:val="14"/>
                <w:szCs w:val="14"/>
              </w:rPr>
              <w:t>,</w:t>
            </w:r>
            <w:r w:rsidRPr="003361C0">
              <w:rPr>
                <w:rFonts w:cs="Arial"/>
                <w:b/>
                <w:bCs/>
                <w:color w:val="000000"/>
                <w:sz w:val="14"/>
                <w:szCs w:val="14"/>
              </w:rPr>
              <w:t xml:space="preserve">142 </w:t>
            </w:r>
          </w:p>
        </w:tc>
      </w:tr>
      <w:tr w:rsidR="006A362F" w:rsidRPr="00627470" w14:paraId="5B4D8222"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0C66F5FB" w14:textId="77777777" w:rsidR="006A362F" w:rsidRPr="00627470" w:rsidRDefault="006A362F" w:rsidP="006928A6">
            <w:pPr>
              <w:keepNext/>
              <w:keepLines/>
              <w:ind w:left="113"/>
              <w:rPr>
                <w:rFonts w:eastAsia="Times New Roman" w:cs="Arial"/>
                <w:b w:val="0"/>
                <w:bCs w:val="0"/>
                <w:spacing w:val="-2"/>
                <w:sz w:val="14"/>
                <w:szCs w:val="14"/>
              </w:rPr>
            </w:pPr>
            <w:r>
              <w:rPr>
                <w:rFonts w:cs="Arial"/>
                <w:b w:val="0"/>
                <w:bCs w:val="0"/>
                <w:color w:val="000000"/>
                <w:sz w:val="14"/>
                <w:szCs w:val="14"/>
              </w:rPr>
              <w:t>Cash and cash equivalents</w:t>
            </w:r>
          </w:p>
        </w:tc>
        <w:tc>
          <w:tcPr>
            <w:tcW w:w="3260" w:type="dxa"/>
            <w:tcBorders>
              <w:top w:val="nil"/>
              <w:left w:val="nil"/>
              <w:bottom w:val="nil"/>
              <w:right w:val="nil"/>
            </w:tcBorders>
            <w:shd w:val="clear" w:color="auto" w:fill="auto"/>
            <w:vAlign w:val="center"/>
          </w:tcPr>
          <w:p w14:paraId="64F76058"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895 </w:t>
            </w:r>
          </w:p>
        </w:tc>
        <w:tc>
          <w:tcPr>
            <w:tcW w:w="3260" w:type="dxa"/>
            <w:tcBorders>
              <w:top w:val="nil"/>
              <w:left w:val="nil"/>
              <w:bottom w:val="nil"/>
              <w:right w:val="nil"/>
            </w:tcBorders>
            <w:shd w:val="clear" w:color="auto" w:fill="auto"/>
            <w:vAlign w:val="center"/>
          </w:tcPr>
          <w:p w14:paraId="0137F8B9"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5</w:t>
            </w:r>
            <w:r>
              <w:rPr>
                <w:rFonts w:cs="Arial"/>
                <w:color w:val="000000"/>
                <w:sz w:val="14"/>
                <w:szCs w:val="14"/>
              </w:rPr>
              <w:t>,</w:t>
            </w:r>
            <w:r w:rsidRPr="00627470">
              <w:rPr>
                <w:rFonts w:cs="Arial"/>
                <w:color w:val="000000"/>
                <w:sz w:val="14"/>
                <w:szCs w:val="14"/>
              </w:rPr>
              <w:t xml:space="preserve">997 </w:t>
            </w:r>
          </w:p>
        </w:tc>
      </w:tr>
      <w:tr w:rsidR="006A362F" w:rsidRPr="00627470" w14:paraId="3718B94C"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8643A5" w14:textId="77777777" w:rsidR="006A362F" w:rsidRPr="00627470" w:rsidRDefault="006A362F" w:rsidP="006928A6">
            <w:pPr>
              <w:keepNext/>
              <w:keepLines/>
              <w:ind w:left="113"/>
              <w:rPr>
                <w:rFonts w:eastAsia="Times New Roman" w:cs="Arial"/>
                <w:b w:val="0"/>
                <w:bCs w:val="0"/>
                <w:spacing w:val="-2"/>
                <w:sz w:val="14"/>
                <w:szCs w:val="14"/>
              </w:rPr>
            </w:pPr>
            <w:r>
              <w:rPr>
                <w:rFonts w:cs="Arial"/>
                <w:b w:val="0"/>
                <w:bCs w:val="0"/>
                <w:color w:val="000000"/>
                <w:sz w:val="14"/>
                <w:szCs w:val="14"/>
              </w:rPr>
              <w:t>Receivables</w:t>
            </w:r>
          </w:p>
        </w:tc>
        <w:tc>
          <w:tcPr>
            <w:tcW w:w="3260" w:type="dxa"/>
            <w:tcBorders>
              <w:top w:val="nil"/>
              <w:left w:val="nil"/>
              <w:bottom w:val="nil"/>
              <w:right w:val="nil"/>
            </w:tcBorders>
            <w:shd w:val="clear" w:color="auto" w:fill="auto"/>
            <w:vAlign w:val="center"/>
          </w:tcPr>
          <w:p w14:paraId="04DDE876"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24</w:t>
            </w:r>
            <w:r>
              <w:rPr>
                <w:rFonts w:cs="Arial"/>
                <w:color w:val="000000"/>
                <w:sz w:val="14"/>
                <w:szCs w:val="14"/>
              </w:rPr>
              <w:t>,</w:t>
            </w:r>
            <w:r w:rsidRPr="00627470">
              <w:rPr>
                <w:rFonts w:cs="Arial"/>
                <w:color w:val="000000"/>
                <w:sz w:val="14"/>
                <w:szCs w:val="14"/>
              </w:rPr>
              <w:t xml:space="preserve">246 </w:t>
            </w:r>
          </w:p>
        </w:tc>
        <w:tc>
          <w:tcPr>
            <w:tcW w:w="3260" w:type="dxa"/>
            <w:tcBorders>
              <w:top w:val="nil"/>
              <w:left w:val="nil"/>
              <w:bottom w:val="nil"/>
              <w:right w:val="nil"/>
            </w:tcBorders>
            <w:shd w:val="clear" w:color="auto" w:fill="auto"/>
            <w:vAlign w:val="center"/>
          </w:tcPr>
          <w:p w14:paraId="502BB056"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11</w:t>
            </w:r>
            <w:r>
              <w:rPr>
                <w:rFonts w:cs="Arial"/>
                <w:color w:val="000000"/>
                <w:sz w:val="14"/>
                <w:szCs w:val="14"/>
              </w:rPr>
              <w:t>,</w:t>
            </w:r>
            <w:r w:rsidRPr="00627470">
              <w:rPr>
                <w:rFonts w:cs="Arial"/>
                <w:color w:val="000000"/>
                <w:sz w:val="14"/>
                <w:szCs w:val="14"/>
              </w:rPr>
              <w:t xml:space="preserve">249 </w:t>
            </w:r>
          </w:p>
        </w:tc>
      </w:tr>
      <w:tr w:rsidR="006A362F" w:rsidRPr="00627470" w14:paraId="66A630FD"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895B38" w14:textId="77777777" w:rsidR="006A362F" w:rsidRPr="00627470" w:rsidRDefault="006A362F" w:rsidP="006928A6">
            <w:pPr>
              <w:keepNext/>
              <w:keepLines/>
              <w:ind w:left="113"/>
              <w:rPr>
                <w:rFonts w:eastAsia="Times New Roman" w:cs="Arial"/>
                <w:b w:val="0"/>
                <w:bCs w:val="0"/>
                <w:spacing w:val="-2"/>
                <w:sz w:val="14"/>
                <w:szCs w:val="14"/>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127D5F8B"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474</w:t>
            </w:r>
            <w:r>
              <w:rPr>
                <w:rFonts w:cs="Arial"/>
                <w:color w:val="000000"/>
                <w:sz w:val="14"/>
                <w:szCs w:val="14"/>
              </w:rPr>
              <w:t>,</w:t>
            </w:r>
            <w:r w:rsidRPr="00627470">
              <w:rPr>
                <w:rFonts w:cs="Arial"/>
                <w:color w:val="000000"/>
                <w:sz w:val="14"/>
                <w:szCs w:val="14"/>
              </w:rPr>
              <w:t xml:space="preserve">911 </w:t>
            </w:r>
          </w:p>
        </w:tc>
        <w:tc>
          <w:tcPr>
            <w:tcW w:w="3260" w:type="dxa"/>
            <w:tcBorders>
              <w:top w:val="nil"/>
              <w:left w:val="nil"/>
              <w:bottom w:val="nil"/>
              <w:right w:val="nil"/>
            </w:tcBorders>
            <w:shd w:val="clear" w:color="auto" w:fill="auto"/>
            <w:vAlign w:val="center"/>
          </w:tcPr>
          <w:p w14:paraId="6EC7160F"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448</w:t>
            </w:r>
            <w:r>
              <w:rPr>
                <w:rFonts w:cs="Arial"/>
                <w:color w:val="000000"/>
                <w:sz w:val="14"/>
                <w:szCs w:val="14"/>
              </w:rPr>
              <w:t>,</w:t>
            </w:r>
            <w:r w:rsidRPr="00627470">
              <w:rPr>
                <w:rFonts w:cs="Arial"/>
                <w:color w:val="000000"/>
                <w:sz w:val="14"/>
                <w:szCs w:val="14"/>
              </w:rPr>
              <w:t xml:space="preserve">529 </w:t>
            </w:r>
          </w:p>
        </w:tc>
      </w:tr>
      <w:tr w:rsidR="006A362F" w:rsidRPr="00627470" w14:paraId="27A54816"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B23759" w14:textId="77777777" w:rsidR="006A362F" w:rsidRPr="00627470" w:rsidRDefault="006A362F" w:rsidP="006928A6">
            <w:pPr>
              <w:keepNext/>
              <w:keepLines/>
              <w:ind w:left="113"/>
              <w:rPr>
                <w:rFonts w:cs="Arial"/>
                <w:b w:val="0"/>
                <w:bCs w:val="0"/>
                <w:color w:val="000000"/>
                <w:sz w:val="14"/>
                <w:szCs w:val="14"/>
              </w:rPr>
            </w:pPr>
            <w:r>
              <w:rPr>
                <w:rFonts w:cs="Arial"/>
                <w:b w:val="0"/>
                <w:bCs w:val="0"/>
                <w:color w:val="000000"/>
                <w:sz w:val="14"/>
                <w:szCs w:val="14"/>
              </w:rPr>
              <w:t>I</w:t>
            </w:r>
            <w:r w:rsidRPr="00A94E39">
              <w:rPr>
                <w:rFonts w:cs="Arial"/>
                <w:b w:val="0"/>
                <w:bCs w:val="0"/>
                <w:color w:val="000000"/>
                <w:sz w:val="14"/>
                <w:szCs w:val="14"/>
              </w:rPr>
              <w:t>nsurance contracts</w:t>
            </w:r>
          </w:p>
        </w:tc>
        <w:tc>
          <w:tcPr>
            <w:tcW w:w="3260" w:type="dxa"/>
            <w:tcBorders>
              <w:top w:val="nil"/>
              <w:left w:val="nil"/>
              <w:bottom w:val="nil"/>
              <w:right w:val="nil"/>
            </w:tcBorders>
            <w:shd w:val="clear" w:color="auto" w:fill="auto"/>
            <w:vAlign w:val="center"/>
          </w:tcPr>
          <w:p w14:paraId="20021837"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205</w:t>
            </w:r>
            <w:r>
              <w:rPr>
                <w:rFonts w:cs="Arial"/>
                <w:color w:val="000000"/>
                <w:sz w:val="14"/>
                <w:szCs w:val="14"/>
              </w:rPr>
              <w:t>,</w:t>
            </w:r>
            <w:r w:rsidRPr="00627470">
              <w:rPr>
                <w:rFonts w:cs="Arial"/>
                <w:color w:val="000000"/>
                <w:sz w:val="14"/>
                <w:szCs w:val="14"/>
              </w:rPr>
              <w:t xml:space="preserve">114 </w:t>
            </w:r>
          </w:p>
        </w:tc>
        <w:tc>
          <w:tcPr>
            <w:tcW w:w="3260" w:type="dxa"/>
            <w:tcBorders>
              <w:top w:val="nil"/>
              <w:left w:val="nil"/>
              <w:bottom w:val="nil"/>
              <w:right w:val="nil"/>
            </w:tcBorders>
            <w:shd w:val="clear" w:color="auto" w:fill="auto"/>
            <w:vAlign w:val="center"/>
          </w:tcPr>
          <w:p w14:paraId="0B67C961"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153</w:t>
            </w:r>
            <w:r>
              <w:rPr>
                <w:rFonts w:cs="Arial"/>
                <w:color w:val="000000"/>
                <w:sz w:val="14"/>
                <w:szCs w:val="14"/>
              </w:rPr>
              <w:t>,</w:t>
            </w:r>
            <w:r w:rsidRPr="00627470">
              <w:rPr>
                <w:rFonts w:cs="Arial"/>
                <w:color w:val="000000"/>
                <w:sz w:val="14"/>
                <w:szCs w:val="14"/>
              </w:rPr>
              <w:t xml:space="preserve">066 </w:t>
            </w:r>
          </w:p>
        </w:tc>
      </w:tr>
      <w:tr w:rsidR="006A362F" w:rsidRPr="00627470" w14:paraId="69771876"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CB302A" w14:textId="77777777" w:rsidR="006A362F" w:rsidRPr="00627470" w:rsidRDefault="006A362F" w:rsidP="006928A6">
            <w:pPr>
              <w:keepNext/>
              <w:keepLines/>
              <w:ind w:left="113"/>
              <w:rPr>
                <w:rFonts w:cs="Arial"/>
                <w:b w:val="0"/>
                <w:bCs w:val="0"/>
                <w:color w:val="000000"/>
                <w:sz w:val="14"/>
                <w:szCs w:val="14"/>
              </w:rPr>
            </w:pPr>
            <w:r w:rsidRPr="00A94E39">
              <w:rPr>
                <w:rFonts w:cs="Arial"/>
                <w:b w:val="0"/>
                <w:bCs w:val="0"/>
                <w:color w:val="000000"/>
                <w:sz w:val="14"/>
                <w:szCs w:val="14"/>
              </w:rPr>
              <w:t>Current tax asset</w:t>
            </w:r>
          </w:p>
        </w:tc>
        <w:tc>
          <w:tcPr>
            <w:tcW w:w="3260" w:type="dxa"/>
            <w:tcBorders>
              <w:top w:val="nil"/>
              <w:left w:val="nil"/>
              <w:bottom w:val="nil"/>
              <w:right w:val="nil"/>
            </w:tcBorders>
            <w:shd w:val="clear" w:color="auto" w:fill="auto"/>
            <w:vAlign w:val="center"/>
          </w:tcPr>
          <w:p w14:paraId="30036944" w14:textId="77777777" w:rsidR="006A362F" w:rsidRPr="00627470" w:rsidRDefault="006A362F" w:rsidP="00A263A7">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9</w:t>
            </w:r>
            <w:r>
              <w:rPr>
                <w:rFonts w:cs="Arial"/>
                <w:color w:val="000000"/>
                <w:sz w:val="14"/>
                <w:szCs w:val="14"/>
              </w:rPr>
              <w:t>,</w:t>
            </w:r>
            <w:r w:rsidRPr="00627470">
              <w:rPr>
                <w:rFonts w:cs="Arial"/>
                <w:color w:val="000000"/>
                <w:sz w:val="14"/>
                <w:szCs w:val="14"/>
              </w:rPr>
              <w:t xml:space="preserve">553 </w:t>
            </w:r>
          </w:p>
        </w:tc>
        <w:tc>
          <w:tcPr>
            <w:tcW w:w="3260" w:type="dxa"/>
            <w:tcBorders>
              <w:top w:val="nil"/>
              <w:left w:val="nil"/>
              <w:bottom w:val="nil"/>
              <w:right w:val="nil"/>
            </w:tcBorders>
            <w:shd w:val="clear" w:color="auto" w:fill="auto"/>
            <w:vAlign w:val="center"/>
          </w:tcPr>
          <w:p w14:paraId="0DEA1D6A" w14:textId="77777777" w:rsidR="006A362F" w:rsidRPr="00627470" w:rsidRDefault="006A362F" w:rsidP="00A263A7">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8</w:t>
            </w:r>
            <w:r>
              <w:rPr>
                <w:rFonts w:cs="Arial"/>
                <w:color w:val="000000"/>
                <w:sz w:val="14"/>
                <w:szCs w:val="14"/>
              </w:rPr>
              <w:t>,</w:t>
            </w:r>
            <w:r w:rsidRPr="00627470">
              <w:rPr>
                <w:rFonts w:cs="Arial"/>
                <w:color w:val="000000"/>
                <w:sz w:val="14"/>
                <w:szCs w:val="14"/>
              </w:rPr>
              <w:t xml:space="preserve">080 </w:t>
            </w:r>
          </w:p>
        </w:tc>
      </w:tr>
      <w:tr w:rsidR="006A362F" w:rsidRPr="00627470" w14:paraId="64E2CD54"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F26679"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2651F03F"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w:t>
            </w:r>
            <w:r>
              <w:rPr>
                <w:rFonts w:cs="Arial"/>
                <w:color w:val="000000"/>
                <w:sz w:val="14"/>
                <w:szCs w:val="14"/>
              </w:rPr>
              <w:t>,</w:t>
            </w:r>
            <w:r w:rsidRPr="00627470">
              <w:rPr>
                <w:rFonts w:cs="Arial"/>
                <w:color w:val="000000"/>
                <w:sz w:val="14"/>
                <w:szCs w:val="14"/>
              </w:rPr>
              <w:t xml:space="preserve">367 </w:t>
            </w:r>
          </w:p>
        </w:tc>
        <w:tc>
          <w:tcPr>
            <w:tcW w:w="3260" w:type="dxa"/>
            <w:tcBorders>
              <w:top w:val="nil"/>
              <w:left w:val="nil"/>
              <w:bottom w:val="nil"/>
              <w:right w:val="nil"/>
            </w:tcBorders>
            <w:shd w:val="clear" w:color="auto" w:fill="auto"/>
            <w:vAlign w:val="center"/>
          </w:tcPr>
          <w:p w14:paraId="307A74E2"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221 </w:t>
            </w:r>
          </w:p>
        </w:tc>
      </w:tr>
      <w:tr w:rsidR="006A362F" w:rsidRPr="003361C0" w14:paraId="4629883D"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EBF770" w14:textId="77777777" w:rsidR="006A362F" w:rsidRPr="003361C0" w:rsidRDefault="006A362F" w:rsidP="006928A6">
            <w:pPr>
              <w:keepNext/>
              <w:keepLines/>
              <w:spacing w:before="40" w:after="40"/>
              <w:rPr>
                <w:rFonts w:cs="Arial"/>
                <w:sz w:val="14"/>
                <w:szCs w:val="14"/>
              </w:rPr>
            </w:pPr>
            <w:r>
              <w:rPr>
                <w:rFonts w:cs="Arial"/>
                <w:color w:val="000000"/>
                <w:sz w:val="14"/>
                <w:szCs w:val="14"/>
              </w:rPr>
              <w:t>Non-current assets</w:t>
            </w:r>
          </w:p>
        </w:tc>
        <w:tc>
          <w:tcPr>
            <w:tcW w:w="3260" w:type="dxa"/>
            <w:tcBorders>
              <w:top w:val="nil"/>
              <w:left w:val="nil"/>
              <w:bottom w:val="nil"/>
              <w:right w:val="nil"/>
            </w:tcBorders>
            <w:shd w:val="clear" w:color="auto" w:fill="auto"/>
            <w:vAlign w:val="center"/>
          </w:tcPr>
          <w:p w14:paraId="5680816B" w14:textId="77777777" w:rsidR="006A362F" w:rsidRPr="003361C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129</w:t>
            </w:r>
            <w:r>
              <w:rPr>
                <w:rFonts w:cs="Arial"/>
                <w:b/>
                <w:bCs/>
                <w:color w:val="000000"/>
                <w:sz w:val="14"/>
                <w:szCs w:val="14"/>
              </w:rPr>
              <w:t>,</w:t>
            </w:r>
            <w:r w:rsidRPr="003361C0">
              <w:rPr>
                <w:rFonts w:cs="Arial"/>
                <w:b/>
                <w:bCs/>
                <w:color w:val="000000"/>
                <w:sz w:val="14"/>
                <w:szCs w:val="14"/>
              </w:rPr>
              <w:t xml:space="preserve">435 </w:t>
            </w:r>
          </w:p>
        </w:tc>
        <w:tc>
          <w:tcPr>
            <w:tcW w:w="3260" w:type="dxa"/>
            <w:tcBorders>
              <w:top w:val="nil"/>
              <w:left w:val="nil"/>
              <w:bottom w:val="nil"/>
              <w:right w:val="nil"/>
            </w:tcBorders>
            <w:shd w:val="clear" w:color="auto" w:fill="auto"/>
            <w:vAlign w:val="center"/>
          </w:tcPr>
          <w:p w14:paraId="1AF1B7EC" w14:textId="77777777" w:rsidR="006A362F" w:rsidRPr="003361C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127</w:t>
            </w:r>
            <w:r>
              <w:rPr>
                <w:rFonts w:cs="Arial"/>
                <w:b/>
                <w:bCs/>
                <w:color w:val="000000"/>
                <w:sz w:val="14"/>
                <w:szCs w:val="14"/>
              </w:rPr>
              <w:t>,</w:t>
            </w:r>
            <w:r w:rsidRPr="003361C0">
              <w:rPr>
                <w:rFonts w:cs="Arial"/>
                <w:b/>
                <w:bCs/>
                <w:color w:val="000000"/>
                <w:sz w:val="14"/>
                <w:szCs w:val="14"/>
              </w:rPr>
              <w:t xml:space="preserve">114 </w:t>
            </w:r>
          </w:p>
        </w:tc>
      </w:tr>
      <w:tr w:rsidR="006A362F" w:rsidRPr="00627470" w14:paraId="721CEA4D"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5C6C25"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6EAD9511"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40</w:t>
            </w:r>
            <w:r>
              <w:rPr>
                <w:rFonts w:cs="Arial"/>
                <w:color w:val="000000"/>
                <w:sz w:val="14"/>
                <w:szCs w:val="14"/>
              </w:rPr>
              <w:t>,</w:t>
            </w:r>
            <w:r w:rsidRPr="00627470">
              <w:rPr>
                <w:rFonts w:cs="Arial"/>
                <w:color w:val="000000"/>
                <w:sz w:val="14"/>
                <w:szCs w:val="14"/>
              </w:rPr>
              <w:t xml:space="preserve">945 </w:t>
            </w:r>
          </w:p>
        </w:tc>
        <w:tc>
          <w:tcPr>
            <w:tcW w:w="3260" w:type="dxa"/>
            <w:tcBorders>
              <w:top w:val="nil"/>
              <w:left w:val="nil"/>
              <w:bottom w:val="nil"/>
              <w:right w:val="nil"/>
            </w:tcBorders>
            <w:shd w:val="clear" w:color="auto" w:fill="auto"/>
            <w:vAlign w:val="center"/>
          </w:tcPr>
          <w:p w14:paraId="143C8DE9"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40</w:t>
            </w:r>
            <w:r>
              <w:rPr>
                <w:rFonts w:cs="Arial"/>
                <w:color w:val="000000"/>
                <w:sz w:val="14"/>
                <w:szCs w:val="14"/>
              </w:rPr>
              <w:t>,</w:t>
            </w:r>
            <w:r w:rsidRPr="00627470">
              <w:rPr>
                <w:rFonts w:cs="Arial"/>
                <w:color w:val="000000"/>
                <w:sz w:val="14"/>
                <w:szCs w:val="14"/>
              </w:rPr>
              <w:t xml:space="preserve">487 </w:t>
            </w:r>
          </w:p>
        </w:tc>
      </w:tr>
      <w:tr w:rsidR="006A362F" w:rsidRPr="00627470" w14:paraId="3D319A40"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A5570D3" w14:textId="77777777" w:rsidR="006A362F" w:rsidRPr="00627470" w:rsidRDefault="006A362F" w:rsidP="006928A6">
            <w:pPr>
              <w:keepNext/>
              <w:keepLines/>
              <w:ind w:left="113"/>
              <w:rPr>
                <w:rFonts w:cs="Arial"/>
                <w:b w:val="0"/>
                <w:bCs w:val="0"/>
                <w:color w:val="000000"/>
                <w:sz w:val="14"/>
                <w:szCs w:val="14"/>
              </w:rPr>
            </w:pPr>
            <w:r>
              <w:rPr>
                <w:rFonts w:cs="Arial"/>
                <w:b w:val="0"/>
                <w:bCs w:val="0"/>
                <w:color w:val="000000"/>
                <w:sz w:val="14"/>
                <w:szCs w:val="14"/>
              </w:rPr>
              <w:t>D</w:t>
            </w:r>
            <w:r w:rsidRPr="00A94E39">
              <w:rPr>
                <w:rFonts w:cs="Arial"/>
                <w:b w:val="0"/>
                <w:bCs w:val="0"/>
                <w:color w:val="000000"/>
                <w:sz w:val="14"/>
                <w:szCs w:val="14"/>
              </w:rPr>
              <w:t>eferred tax asset</w:t>
            </w:r>
          </w:p>
        </w:tc>
        <w:tc>
          <w:tcPr>
            <w:tcW w:w="3260" w:type="dxa"/>
            <w:tcBorders>
              <w:top w:val="nil"/>
              <w:left w:val="nil"/>
              <w:bottom w:val="nil"/>
              <w:right w:val="nil"/>
            </w:tcBorders>
            <w:shd w:val="clear" w:color="auto" w:fill="auto"/>
            <w:vAlign w:val="center"/>
          </w:tcPr>
          <w:p w14:paraId="1AD63B60" w14:textId="77777777" w:rsidR="006A362F" w:rsidRPr="00627470" w:rsidRDefault="006A362F" w:rsidP="00A263A7">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18</w:t>
            </w:r>
            <w:r>
              <w:rPr>
                <w:rFonts w:cs="Arial"/>
                <w:color w:val="000000"/>
                <w:sz w:val="14"/>
                <w:szCs w:val="14"/>
              </w:rPr>
              <w:t>,</w:t>
            </w:r>
            <w:r w:rsidRPr="00627470">
              <w:rPr>
                <w:rFonts w:cs="Arial"/>
                <w:color w:val="000000"/>
                <w:sz w:val="14"/>
                <w:szCs w:val="14"/>
              </w:rPr>
              <w:t xml:space="preserve">072 </w:t>
            </w:r>
          </w:p>
        </w:tc>
        <w:tc>
          <w:tcPr>
            <w:tcW w:w="3260" w:type="dxa"/>
            <w:tcBorders>
              <w:top w:val="nil"/>
              <w:left w:val="nil"/>
              <w:bottom w:val="nil"/>
              <w:right w:val="nil"/>
            </w:tcBorders>
            <w:shd w:val="clear" w:color="auto" w:fill="auto"/>
            <w:vAlign w:val="center"/>
          </w:tcPr>
          <w:p w14:paraId="27B09ADB" w14:textId="77777777" w:rsidR="006A362F" w:rsidRPr="00627470" w:rsidRDefault="006A362F" w:rsidP="00A263A7">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16</w:t>
            </w:r>
            <w:r>
              <w:rPr>
                <w:rFonts w:cs="Arial"/>
                <w:color w:val="000000"/>
                <w:sz w:val="14"/>
                <w:szCs w:val="14"/>
              </w:rPr>
              <w:t>,</w:t>
            </w:r>
            <w:r w:rsidRPr="00627470">
              <w:rPr>
                <w:rFonts w:cs="Arial"/>
                <w:color w:val="000000"/>
                <w:sz w:val="14"/>
                <w:szCs w:val="14"/>
              </w:rPr>
              <w:t xml:space="preserve">699 </w:t>
            </w:r>
          </w:p>
        </w:tc>
      </w:tr>
      <w:tr w:rsidR="006A362F" w:rsidRPr="00627470" w14:paraId="65868379"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F76929" w14:textId="77777777" w:rsidR="006A362F" w:rsidRPr="00627470" w:rsidRDefault="006A362F" w:rsidP="006928A6">
            <w:pPr>
              <w:keepNext/>
              <w:keepLines/>
              <w:spacing w:before="40" w:after="40"/>
              <w:ind w:left="113"/>
              <w:rPr>
                <w:rFonts w:eastAsia="Times New Roman" w:cs="Arial"/>
                <w:b w:val="0"/>
                <w:bCs w:val="0"/>
                <w:spacing w:val="-2"/>
                <w:sz w:val="14"/>
                <w:szCs w:val="14"/>
              </w:rPr>
            </w:pPr>
            <w:r>
              <w:rPr>
                <w:rFonts w:cs="Arial"/>
                <w:b w:val="0"/>
                <w:bCs w:val="0"/>
                <w:color w:val="000000"/>
                <w:sz w:val="14"/>
                <w:szCs w:val="14"/>
              </w:rPr>
              <w:t>Fixed and intangible</w:t>
            </w:r>
          </w:p>
        </w:tc>
        <w:tc>
          <w:tcPr>
            <w:tcW w:w="3260" w:type="dxa"/>
            <w:tcBorders>
              <w:top w:val="nil"/>
              <w:left w:val="nil"/>
              <w:bottom w:val="nil"/>
              <w:right w:val="nil"/>
            </w:tcBorders>
            <w:shd w:val="clear" w:color="auto" w:fill="auto"/>
            <w:vAlign w:val="center"/>
          </w:tcPr>
          <w:p w14:paraId="588A108D"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8</w:t>
            </w:r>
            <w:r>
              <w:rPr>
                <w:rFonts w:cs="Arial"/>
                <w:color w:val="000000"/>
                <w:sz w:val="14"/>
                <w:szCs w:val="14"/>
              </w:rPr>
              <w:t>,</w:t>
            </w:r>
            <w:r w:rsidRPr="00627470">
              <w:rPr>
                <w:rFonts w:cs="Arial"/>
                <w:color w:val="000000"/>
                <w:sz w:val="14"/>
                <w:szCs w:val="14"/>
              </w:rPr>
              <w:t xml:space="preserve">563 </w:t>
            </w:r>
          </w:p>
        </w:tc>
        <w:tc>
          <w:tcPr>
            <w:tcW w:w="3260" w:type="dxa"/>
            <w:tcBorders>
              <w:top w:val="nil"/>
              <w:left w:val="nil"/>
              <w:bottom w:val="nil"/>
              <w:right w:val="nil"/>
            </w:tcBorders>
            <w:shd w:val="clear" w:color="auto" w:fill="auto"/>
            <w:vAlign w:val="center"/>
          </w:tcPr>
          <w:p w14:paraId="43A9D614"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9</w:t>
            </w:r>
            <w:r>
              <w:rPr>
                <w:rFonts w:cs="Arial"/>
                <w:color w:val="000000"/>
                <w:sz w:val="14"/>
                <w:szCs w:val="14"/>
              </w:rPr>
              <w:t>,</w:t>
            </w:r>
            <w:r w:rsidRPr="00627470">
              <w:rPr>
                <w:rFonts w:cs="Arial"/>
                <w:color w:val="000000"/>
                <w:sz w:val="14"/>
                <w:szCs w:val="14"/>
              </w:rPr>
              <w:t xml:space="preserve">161 </w:t>
            </w:r>
          </w:p>
        </w:tc>
      </w:tr>
      <w:tr w:rsidR="006A362F" w:rsidRPr="00627470" w14:paraId="5A47FDEF"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6E9A5C" w14:textId="77777777" w:rsidR="006A362F" w:rsidRPr="00627470" w:rsidRDefault="006A362F" w:rsidP="006928A6">
            <w:pPr>
              <w:keepNext/>
              <w:keepLines/>
              <w:ind w:left="113"/>
              <w:rPr>
                <w:rFonts w:cs="Arial"/>
                <w:b w:val="0"/>
                <w:bCs w:val="0"/>
                <w:color w:val="000000"/>
                <w:sz w:val="14"/>
                <w:szCs w:val="14"/>
              </w:rPr>
            </w:pPr>
            <w:r>
              <w:rPr>
                <w:rFonts w:cs="Arial"/>
                <w:b w:val="0"/>
                <w:bCs w:val="0"/>
                <w:color w:val="000000"/>
                <w:sz w:val="14"/>
                <w:szCs w:val="14"/>
              </w:rPr>
              <w:t>Investments in associates</w:t>
            </w:r>
          </w:p>
        </w:tc>
        <w:tc>
          <w:tcPr>
            <w:tcW w:w="3260" w:type="dxa"/>
            <w:tcBorders>
              <w:top w:val="nil"/>
              <w:left w:val="nil"/>
              <w:bottom w:val="nil"/>
              <w:right w:val="nil"/>
            </w:tcBorders>
            <w:shd w:val="clear" w:color="auto" w:fill="auto"/>
            <w:vAlign w:val="center"/>
          </w:tcPr>
          <w:p w14:paraId="5224C0B8" w14:textId="77777777" w:rsidR="006A362F" w:rsidRPr="00627470" w:rsidRDefault="006A362F" w:rsidP="00A263A7">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343 </w:t>
            </w:r>
          </w:p>
        </w:tc>
        <w:tc>
          <w:tcPr>
            <w:tcW w:w="3260" w:type="dxa"/>
            <w:tcBorders>
              <w:top w:val="nil"/>
              <w:left w:val="nil"/>
              <w:bottom w:val="nil"/>
              <w:right w:val="nil"/>
            </w:tcBorders>
            <w:shd w:val="clear" w:color="auto" w:fill="auto"/>
            <w:vAlign w:val="center"/>
          </w:tcPr>
          <w:p w14:paraId="67023213" w14:textId="77777777" w:rsidR="006A362F" w:rsidRPr="00627470" w:rsidRDefault="006A362F" w:rsidP="00A263A7">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627470">
              <w:rPr>
                <w:rFonts w:cs="Arial"/>
                <w:color w:val="000000"/>
                <w:sz w:val="14"/>
                <w:szCs w:val="14"/>
              </w:rPr>
              <w:t xml:space="preserve">                   343 </w:t>
            </w:r>
          </w:p>
        </w:tc>
      </w:tr>
      <w:tr w:rsidR="006A362F" w:rsidRPr="00627470" w14:paraId="7DE4A847"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E59D68" w14:textId="77777777" w:rsidR="006A362F" w:rsidRPr="00627470" w:rsidRDefault="006A362F" w:rsidP="006928A6">
            <w:pPr>
              <w:keepNext/>
              <w:keepLines/>
              <w:spacing w:before="40" w:after="40"/>
              <w:ind w:left="113"/>
              <w:rPr>
                <w:rFonts w:eastAsia="Times New Roman" w:cs="Arial"/>
                <w:b w:val="0"/>
                <w:bCs w:val="0"/>
                <w:spacing w:val="-2"/>
                <w:sz w:val="14"/>
                <w:szCs w:val="14"/>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01D4619F"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61</w:t>
            </w:r>
            <w:r>
              <w:rPr>
                <w:rFonts w:cs="Arial"/>
                <w:color w:val="000000"/>
                <w:sz w:val="14"/>
                <w:szCs w:val="14"/>
              </w:rPr>
              <w:t>,</w:t>
            </w:r>
            <w:r w:rsidRPr="00627470">
              <w:rPr>
                <w:rFonts w:cs="Arial"/>
                <w:color w:val="000000"/>
                <w:sz w:val="14"/>
                <w:szCs w:val="14"/>
              </w:rPr>
              <w:t xml:space="preserve">512 </w:t>
            </w:r>
          </w:p>
        </w:tc>
        <w:tc>
          <w:tcPr>
            <w:tcW w:w="3260" w:type="dxa"/>
            <w:tcBorders>
              <w:top w:val="nil"/>
              <w:left w:val="nil"/>
              <w:bottom w:val="nil"/>
              <w:right w:val="nil"/>
            </w:tcBorders>
            <w:shd w:val="clear" w:color="auto" w:fill="auto"/>
            <w:vAlign w:val="center"/>
          </w:tcPr>
          <w:p w14:paraId="4BB1C523"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60</w:t>
            </w:r>
            <w:r>
              <w:rPr>
                <w:rFonts w:cs="Arial"/>
                <w:color w:val="000000"/>
                <w:sz w:val="14"/>
                <w:szCs w:val="14"/>
              </w:rPr>
              <w:t>,</w:t>
            </w:r>
            <w:r w:rsidRPr="00627470">
              <w:rPr>
                <w:rFonts w:cs="Arial"/>
                <w:color w:val="000000"/>
                <w:sz w:val="14"/>
                <w:szCs w:val="14"/>
              </w:rPr>
              <w:t xml:space="preserve">424 </w:t>
            </w:r>
          </w:p>
        </w:tc>
      </w:tr>
      <w:tr w:rsidR="006A362F" w:rsidRPr="003361C0" w14:paraId="34D0BEC1"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818B776" w14:textId="77777777" w:rsidR="006A362F" w:rsidRPr="003361C0" w:rsidRDefault="006A362F" w:rsidP="006928A6">
            <w:pPr>
              <w:keepNext/>
              <w:keepLines/>
              <w:spacing w:before="40" w:after="40"/>
              <w:rPr>
                <w:rFonts w:eastAsia="Times New Roman" w:cs="Arial"/>
                <w:spacing w:val="-2"/>
                <w:sz w:val="14"/>
                <w:szCs w:val="14"/>
              </w:rPr>
            </w:pPr>
            <w:r>
              <w:rPr>
                <w:rFonts w:cs="Arial"/>
                <w:color w:val="000000"/>
                <w:sz w:val="14"/>
                <w:szCs w:val="14"/>
              </w:rPr>
              <w:t>Total Assets</w:t>
            </w:r>
          </w:p>
        </w:tc>
        <w:tc>
          <w:tcPr>
            <w:tcW w:w="3260" w:type="dxa"/>
            <w:tcBorders>
              <w:top w:val="nil"/>
              <w:left w:val="nil"/>
              <w:bottom w:val="nil"/>
              <w:right w:val="nil"/>
            </w:tcBorders>
            <w:shd w:val="clear" w:color="auto" w:fill="auto"/>
            <w:vAlign w:val="center"/>
          </w:tcPr>
          <w:p w14:paraId="7742F385" w14:textId="77777777" w:rsidR="006A362F" w:rsidRPr="003361C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845</w:t>
            </w:r>
            <w:r>
              <w:rPr>
                <w:rFonts w:cs="Arial"/>
                <w:b/>
                <w:bCs/>
                <w:color w:val="000000"/>
                <w:sz w:val="14"/>
                <w:szCs w:val="14"/>
              </w:rPr>
              <w:t>,</w:t>
            </w:r>
            <w:r w:rsidRPr="003361C0">
              <w:rPr>
                <w:rFonts w:cs="Arial"/>
                <w:b/>
                <w:bCs/>
                <w:color w:val="000000"/>
                <w:sz w:val="14"/>
                <w:szCs w:val="14"/>
              </w:rPr>
              <w:t>52</w:t>
            </w:r>
            <w:r>
              <w:rPr>
                <w:rFonts w:cs="Arial"/>
                <w:b/>
                <w:bCs/>
                <w:color w:val="000000"/>
                <w:sz w:val="14"/>
                <w:szCs w:val="14"/>
              </w:rPr>
              <w:t>1</w:t>
            </w:r>
            <w:r w:rsidRPr="003361C0">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5E85245C" w14:textId="77777777" w:rsidR="006A362F" w:rsidRPr="003361C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754</w:t>
            </w:r>
            <w:r>
              <w:rPr>
                <w:rFonts w:cs="Arial"/>
                <w:b/>
                <w:bCs/>
                <w:color w:val="000000"/>
                <w:sz w:val="14"/>
                <w:szCs w:val="14"/>
              </w:rPr>
              <w:t>,</w:t>
            </w:r>
            <w:r w:rsidRPr="003361C0">
              <w:rPr>
                <w:rFonts w:cs="Arial"/>
                <w:b/>
                <w:bCs/>
                <w:color w:val="000000"/>
                <w:sz w:val="14"/>
                <w:szCs w:val="14"/>
              </w:rPr>
              <w:t xml:space="preserve">256 </w:t>
            </w:r>
          </w:p>
        </w:tc>
      </w:tr>
      <w:tr w:rsidR="006A362F" w:rsidRPr="00627470" w14:paraId="212A024D"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32CA14" w14:textId="77777777" w:rsidR="006A362F" w:rsidRPr="00627470" w:rsidRDefault="006A362F" w:rsidP="006928A6">
            <w:pPr>
              <w:keepNext/>
              <w:keepLines/>
              <w:spacing w:before="40" w:after="40"/>
              <w:rPr>
                <w:rFonts w:eastAsia="Times New Roman" w:cs="Arial"/>
                <w:b w:val="0"/>
                <w:bCs w:val="0"/>
                <w:spacing w:val="-2"/>
                <w:sz w:val="14"/>
                <w:szCs w:val="14"/>
              </w:rPr>
            </w:pPr>
            <w:r w:rsidRPr="00627470">
              <w:rPr>
                <w:rFonts w:cs="Arial"/>
                <w:b w:val="0"/>
                <w:bCs w:val="0"/>
                <w:color w:val="000000"/>
                <w:sz w:val="14"/>
                <w:szCs w:val="14"/>
              </w:rPr>
              <w:t> </w:t>
            </w:r>
          </w:p>
        </w:tc>
        <w:tc>
          <w:tcPr>
            <w:tcW w:w="3260" w:type="dxa"/>
            <w:tcBorders>
              <w:top w:val="nil"/>
              <w:left w:val="nil"/>
              <w:bottom w:val="nil"/>
              <w:right w:val="nil"/>
            </w:tcBorders>
            <w:shd w:val="clear" w:color="auto" w:fill="auto"/>
            <w:vAlign w:val="center"/>
          </w:tcPr>
          <w:p w14:paraId="027F448D"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260" w:type="dxa"/>
            <w:tcBorders>
              <w:top w:val="nil"/>
              <w:left w:val="nil"/>
              <w:bottom w:val="nil"/>
              <w:right w:val="nil"/>
            </w:tcBorders>
            <w:shd w:val="clear" w:color="auto" w:fill="auto"/>
            <w:vAlign w:val="center"/>
          </w:tcPr>
          <w:p w14:paraId="67757C2F"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6A362F" w:rsidRPr="003361C0" w14:paraId="0C077F99"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3A70BAD" w14:textId="77777777" w:rsidR="006A362F" w:rsidRPr="003361C0" w:rsidRDefault="006A362F" w:rsidP="006928A6">
            <w:pPr>
              <w:keepNext/>
              <w:keepLines/>
              <w:spacing w:before="40" w:after="40"/>
              <w:rPr>
                <w:rFonts w:cs="Arial"/>
                <w:sz w:val="14"/>
                <w:szCs w:val="14"/>
              </w:rPr>
            </w:pPr>
            <w:r>
              <w:rPr>
                <w:rFonts w:cs="Arial"/>
                <w:color w:val="000000"/>
                <w:sz w:val="14"/>
                <w:szCs w:val="14"/>
              </w:rPr>
              <w:t>Current Liabilities</w:t>
            </w:r>
          </w:p>
        </w:tc>
        <w:tc>
          <w:tcPr>
            <w:tcW w:w="3260" w:type="dxa"/>
            <w:tcBorders>
              <w:top w:val="nil"/>
              <w:left w:val="nil"/>
              <w:bottom w:val="nil"/>
              <w:right w:val="nil"/>
            </w:tcBorders>
            <w:shd w:val="clear" w:color="auto" w:fill="auto"/>
            <w:vAlign w:val="center"/>
          </w:tcPr>
          <w:p w14:paraId="1A77E589" w14:textId="77777777" w:rsidR="006A362F" w:rsidRPr="003361C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561</w:t>
            </w:r>
            <w:r>
              <w:rPr>
                <w:rFonts w:cs="Arial"/>
                <w:b/>
                <w:bCs/>
                <w:color w:val="000000"/>
                <w:sz w:val="14"/>
                <w:szCs w:val="14"/>
              </w:rPr>
              <w:t>,</w:t>
            </w:r>
            <w:r w:rsidRPr="003361C0">
              <w:rPr>
                <w:rFonts w:cs="Arial"/>
                <w:b/>
                <w:bCs/>
                <w:color w:val="000000"/>
                <w:sz w:val="14"/>
                <w:szCs w:val="14"/>
              </w:rPr>
              <w:t xml:space="preserve">048 </w:t>
            </w:r>
          </w:p>
        </w:tc>
        <w:tc>
          <w:tcPr>
            <w:tcW w:w="3260" w:type="dxa"/>
            <w:tcBorders>
              <w:top w:val="nil"/>
              <w:left w:val="nil"/>
              <w:bottom w:val="nil"/>
              <w:right w:val="nil"/>
            </w:tcBorders>
            <w:shd w:val="clear" w:color="auto" w:fill="auto"/>
            <w:vAlign w:val="center"/>
          </w:tcPr>
          <w:p w14:paraId="04AD6BA6" w14:textId="77777777" w:rsidR="006A362F" w:rsidRPr="003361C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361C0">
              <w:rPr>
                <w:rFonts w:cs="Arial"/>
                <w:b/>
                <w:bCs/>
                <w:color w:val="000000"/>
                <w:sz w:val="14"/>
                <w:szCs w:val="14"/>
              </w:rPr>
              <w:t xml:space="preserve">               472</w:t>
            </w:r>
            <w:r>
              <w:rPr>
                <w:rFonts w:cs="Arial"/>
                <w:b/>
                <w:bCs/>
                <w:color w:val="000000"/>
                <w:sz w:val="14"/>
                <w:szCs w:val="14"/>
              </w:rPr>
              <w:t>,</w:t>
            </w:r>
            <w:r w:rsidRPr="003361C0">
              <w:rPr>
                <w:rFonts w:cs="Arial"/>
                <w:b/>
                <w:bCs/>
                <w:color w:val="000000"/>
                <w:sz w:val="14"/>
                <w:szCs w:val="14"/>
              </w:rPr>
              <w:t xml:space="preserve">695 </w:t>
            </w:r>
          </w:p>
        </w:tc>
      </w:tr>
      <w:tr w:rsidR="006A362F" w:rsidRPr="00627470" w14:paraId="5C075827"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B6BE37" w14:textId="77777777" w:rsidR="006A362F" w:rsidRPr="00627470" w:rsidRDefault="006A362F" w:rsidP="006928A6">
            <w:pPr>
              <w:keepNext/>
              <w:keepLines/>
              <w:spacing w:before="40" w:after="40"/>
              <w:ind w:left="113"/>
              <w:rPr>
                <w:rFonts w:cs="Arial"/>
                <w:b w:val="0"/>
                <w:bCs w:val="0"/>
                <w:sz w:val="14"/>
                <w:szCs w:val="14"/>
              </w:rPr>
            </w:pPr>
            <w:r w:rsidRPr="00A94E39">
              <w:rPr>
                <w:rFonts w:cs="Arial"/>
                <w:b w:val="0"/>
                <w:bCs w:val="0"/>
                <w:color w:val="000000"/>
                <w:sz w:val="14"/>
                <w:szCs w:val="14"/>
              </w:rPr>
              <w:t>Amounts payable</w:t>
            </w:r>
          </w:p>
        </w:tc>
        <w:tc>
          <w:tcPr>
            <w:tcW w:w="3260" w:type="dxa"/>
            <w:tcBorders>
              <w:top w:val="nil"/>
              <w:left w:val="nil"/>
              <w:bottom w:val="nil"/>
              <w:right w:val="nil"/>
            </w:tcBorders>
            <w:shd w:val="clear" w:color="auto" w:fill="auto"/>
            <w:vAlign w:val="center"/>
          </w:tcPr>
          <w:p w14:paraId="7BAC0F35"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14</w:t>
            </w:r>
            <w:r>
              <w:rPr>
                <w:rFonts w:cs="Arial"/>
                <w:color w:val="000000"/>
                <w:sz w:val="14"/>
                <w:szCs w:val="14"/>
              </w:rPr>
              <w:t>,</w:t>
            </w:r>
            <w:r w:rsidRPr="00627470">
              <w:rPr>
                <w:rFonts w:cs="Arial"/>
                <w:color w:val="000000"/>
                <w:sz w:val="14"/>
                <w:szCs w:val="14"/>
              </w:rPr>
              <w:t xml:space="preserve">418 </w:t>
            </w:r>
          </w:p>
        </w:tc>
        <w:tc>
          <w:tcPr>
            <w:tcW w:w="3260" w:type="dxa"/>
            <w:tcBorders>
              <w:top w:val="nil"/>
              <w:left w:val="nil"/>
              <w:bottom w:val="nil"/>
              <w:right w:val="nil"/>
            </w:tcBorders>
            <w:shd w:val="clear" w:color="auto" w:fill="auto"/>
            <w:vAlign w:val="center"/>
          </w:tcPr>
          <w:p w14:paraId="12D04C2F"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17</w:t>
            </w:r>
            <w:r>
              <w:rPr>
                <w:rFonts w:cs="Arial"/>
                <w:color w:val="000000"/>
                <w:sz w:val="14"/>
                <w:szCs w:val="14"/>
              </w:rPr>
              <w:t>,</w:t>
            </w:r>
            <w:r w:rsidRPr="00627470">
              <w:rPr>
                <w:rFonts w:cs="Arial"/>
                <w:color w:val="000000"/>
                <w:sz w:val="14"/>
                <w:szCs w:val="14"/>
              </w:rPr>
              <w:t xml:space="preserve">781 </w:t>
            </w:r>
          </w:p>
        </w:tc>
      </w:tr>
      <w:tr w:rsidR="006A362F" w:rsidRPr="00627470" w14:paraId="33C90B01"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CDA909"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lang w:val="en"/>
              </w:rPr>
              <w:t>C</w:t>
            </w:r>
            <w:r w:rsidRPr="00A94E39">
              <w:rPr>
                <w:rFonts w:cs="Arial"/>
                <w:b w:val="0"/>
                <w:bCs w:val="0"/>
                <w:color w:val="000000"/>
                <w:sz w:val="14"/>
                <w:szCs w:val="14"/>
                <w:lang w:val="en"/>
              </w:rPr>
              <w:t>urrent tax liability</w:t>
            </w:r>
          </w:p>
        </w:tc>
        <w:tc>
          <w:tcPr>
            <w:tcW w:w="3260" w:type="dxa"/>
            <w:tcBorders>
              <w:top w:val="nil"/>
              <w:left w:val="nil"/>
              <w:bottom w:val="nil"/>
              <w:right w:val="nil"/>
            </w:tcBorders>
            <w:shd w:val="clear" w:color="auto" w:fill="auto"/>
            <w:vAlign w:val="center"/>
          </w:tcPr>
          <w:p w14:paraId="0CDA8215"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1</w:t>
            </w:r>
            <w:r>
              <w:rPr>
                <w:rFonts w:cs="Arial"/>
                <w:color w:val="000000"/>
                <w:sz w:val="14"/>
                <w:szCs w:val="14"/>
              </w:rPr>
              <w:t>,</w:t>
            </w:r>
            <w:r w:rsidRPr="00627470">
              <w:rPr>
                <w:rFonts w:cs="Arial"/>
                <w:color w:val="000000"/>
                <w:sz w:val="14"/>
                <w:szCs w:val="14"/>
              </w:rPr>
              <w:t xml:space="preserve">041 </w:t>
            </w:r>
          </w:p>
        </w:tc>
        <w:tc>
          <w:tcPr>
            <w:tcW w:w="3260" w:type="dxa"/>
            <w:tcBorders>
              <w:top w:val="nil"/>
              <w:left w:val="nil"/>
              <w:bottom w:val="nil"/>
              <w:right w:val="nil"/>
            </w:tcBorders>
            <w:shd w:val="clear" w:color="auto" w:fill="auto"/>
            <w:vAlign w:val="center"/>
          </w:tcPr>
          <w:p w14:paraId="35BD21DE"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3</w:t>
            </w:r>
            <w:r>
              <w:rPr>
                <w:rFonts w:cs="Arial"/>
                <w:color w:val="000000"/>
                <w:sz w:val="14"/>
                <w:szCs w:val="14"/>
              </w:rPr>
              <w:t>,</w:t>
            </w:r>
            <w:r w:rsidRPr="00627470">
              <w:rPr>
                <w:rFonts w:cs="Arial"/>
                <w:color w:val="000000"/>
                <w:sz w:val="14"/>
                <w:szCs w:val="14"/>
              </w:rPr>
              <w:t xml:space="preserve">718 </w:t>
            </w:r>
          </w:p>
        </w:tc>
      </w:tr>
      <w:tr w:rsidR="006A362F" w:rsidRPr="00627470" w14:paraId="0579F593"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2B7F889" w14:textId="77777777" w:rsidR="006A362F" w:rsidRPr="00627470" w:rsidRDefault="006A362F" w:rsidP="006928A6">
            <w:pPr>
              <w:keepNext/>
              <w:keepLines/>
              <w:spacing w:before="40" w:after="40"/>
              <w:ind w:left="113"/>
              <w:rPr>
                <w:rFonts w:cs="Arial"/>
                <w:b w:val="0"/>
                <w:bCs w:val="0"/>
                <w:sz w:val="14"/>
                <w:szCs w:val="14"/>
              </w:rPr>
            </w:pPr>
            <w:r w:rsidRPr="00A94E39">
              <w:rPr>
                <w:rFonts w:cs="Arial"/>
                <w:b w:val="0"/>
                <w:bCs w:val="0"/>
                <w:color w:val="000000"/>
                <w:sz w:val="14"/>
                <w:szCs w:val="14"/>
              </w:rPr>
              <w:t>Debt from insurance operations</w:t>
            </w:r>
          </w:p>
        </w:tc>
        <w:tc>
          <w:tcPr>
            <w:tcW w:w="3260" w:type="dxa"/>
            <w:tcBorders>
              <w:top w:val="nil"/>
              <w:left w:val="nil"/>
              <w:bottom w:val="nil"/>
              <w:right w:val="nil"/>
            </w:tcBorders>
            <w:shd w:val="clear" w:color="auto" w:fill="auto"/>
            <w:vAlign w:val="center"/>
          </w:tcPr>
          <w:p w14:paraId="26C66B13"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w:t>
            </w:r>
            <w:r>
              <w:rPr>
                <w:rFonts w:cs="Arial"/>
                <w:color w:val="000000"/>
                <w:sz w:val="14"/>
                <w:szCs w:val="14"/>
              </w:rPr>
              <w:t>,</w:t>
            </w:r>
            <w:r w:rsidRPr="00627470">
              <w:rPr>
                <w:rFonts w:cs="Arial"/>
                <w:color w:val="000000"/>
                <w:sz w:val="14"/>
                <w:szCs w:val="14"/>
              </w:rPr>
              <w:t xml:space="preserve">978 </w:t>
            </w:r>
          </w:p>
        </w:tc>
        <w:tc>
          <w:tcPr>
            <w:tcW w:w="3260" w:type="dxa"/>
            <w:tcBorders>
              <w:top w:val="nil"/>
              <w:left w:val="nil"/>
              <w:bottom w:val="nil"/>
              <w:right w:val="nil"/>
            </w:tcBorders>
            <w:shd w:val="clear" w:color="auto" w:fill="auto"/>
            <w:vAlign w:val="center"/>
          </w:tcPr>
          <w:p w14:paraId="2506806F"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w:t>
            </w:r>
            <w:r>
              <w:rPr>
                <w:rFonts w:cs="Arial"/>
                <w:color w:val="000000"/>
                <w:sz w:val="14"/>
                <w:szCs w:val="14"/>
              </w:rPr>
              <w:t>,</w:t>
            </w:r>
            <w:r w:rsidRPr="00627470">
              <w:rPr>
                <w:rFonts w:cs="Arial"/>
                <w:color w:val="000000"/>
                <w:sz w:val="14"/>
                <w:szCs w:val="14"/>
              </w:rPr>
              <w:t xml:space="preserve">978 </w:t>
            </w:r>
          </w:p>
        </w:tc>
      </w:tr>
      <w:tr w:rsidR="006A362F" w:rsidRPr="00627470" w14:paraId="70560A83"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CEB450" w14:textId="77777777" w:rsidR="006A362F" w:rsidRPr="00627470" w:rsidRDefault="006A362F" w:rsidP="006928A6">
            <w:pPr>
              <w:keepNext/>
              <w:keepLines/>
              <w:spacing w:before="40" w:after="40"/>
              <w:ind w:left="113"/>
              <w:rPr>
                <w:rFonts w:cs="Arial"/>
                <w:b w:val="0"/>
                <w:bCs w:val="0"/>
                <w:sz w:val="14"/>
                <w:szCs w:val="14"/>
              </w:rPr>
            </w:pPr>
            <w:r w:rsidRPr="00A94E39">
              <w:rPr>
                <w:rFonts w:cs="Arial"/>
                <w:b w:val="0"/>
                <w:bCs w:val="0"/>
                <w:color w:val="000000"/>
                <w:sz w:val="14"/>
                <w:szCs w:val="14"/>
              </w:rPr>
              <w:t xml:space="preserve">Insurance </w:t>
            </w:r>
            <w:r>
              <w:rPr>
                <w:rFonts w:cs="Arial"/>
                <w:b w:val="0"/>
                <w:bCs w:val="0"/>
                <w:color w:val="000000"/>
                <w:sz w:val="14"/>
                <w:szCs w:val="14"/>
              </w:rPr>
              <w:t>c</w:t>
            </w:r>
            <w:r w:rsidRPr="00A94E39">
              <w:rPr>
                <w:rFonts w:cs="Arial"/>
                <w:b w:val="0"/>
                <w:bCs w:val="0"/>
                <w:color w:val="000000"/>
                <w:sz w:val="14"/>
                <w:szCs w:val="14"/>
              </w:rPr>
              <w:t>ontract</w:t>
            </w:r>
          </w:p>
        </w:tc>
        <w:tc>
          <w:tcPr>
            <w:tcW w:w="3260" w:type="dxa"/>
            <w:tcBorders>
              <w:top w:val="nil"/>
              <w:left w:val="nil"/>
              <w:bottom w:val="nil"/>
              <w:right w:val="nil"/>
            </w:tcBorders>
            <w:shd w:val="clear" w:color="auto" w:fill="auto"/>
            <w:vAlign w:val="center"/>
          </w:tcPr>
          <w:p w14:paraId="3EE82579"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528</w:t>
            </w:r>
            <w:r>
              <w:rPr>
                <w:rFonts w:cs="Arial"/>
                <w:color w:val="000000"/>
                <w:sz w:val="14"/>
                <w:szCs w:val="14"/>
              </w:rPr>
              <w:t>,</w:t>
            </w:r>
            <w:r w:rsidRPr="00627470">
              <w:rPr>
                <w:rFonts w:cs="Arial"/>
                <w:color w:val="000000"/>
                <w:sz w:val="14"/>
                <w:szCs w:val="14"/>
              </w:rPr>
              <w:t xml:space="preserve">477 </w:t>
            </w:r>
          </w:p>
        </w:tc>
        <w:tc>
          <w:tcPr>
            <w:tcW w:w="3260" w:type="dxa"/>
            <w:tcBorders>
              <w:top w:val="nil"/>
              <w:left w:val="nil"/>
              <w:bottom w:val="nil"/>
              <w:right w:val="nil"/>
            </w:tcBorders>
            <w:shd w:val="clear" w:color="auto" w:fill="auto"/>
            <w:vAlign w:val="center"/>
          </w:tcPr>
          <w:p w14:paraId="6AF26693"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433</w:t>
            </w:r>
            <w:r>
              <w:rPr>
                <w:rFonts w:cs="Arial"/>
                <w:color w:val="000000"/>
                <w:sz w:val="14"/>
                <w:szCs w:val="14"/>
              </w:rPr>
              <w:t>,</w:t>
            </w:r>
            <w:r w:rsidRPr="00627470">
              <w:rPr>
                <w:rFonts w:cs="Arial"/>
                <w:color w:val="000000"/>
                <w:sz w:val="14"/>
                <w:szCs w:val="14"/>
              </w:rPr>
              <w:t xml:space="preserve">658 </w:t>
            </w:r>
          </w:p>
        </w:tc>
      </w:tr>
      <w:tr w:rsidR="006A362F" w:rsidRPr="00627470" w14:paraId="1EC386E0"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FDE4032"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Dividends payable</w:t>
            </w:r>
          </w:p>
        </w:tc>
        <w:tc>
          <w:tcPr>
            <w:tcW w:w="3260" w:type="dxa"/>
            <w:tcBorders>
              <w:top w:val="nil"/>
              <w:left w:val="nil"/>
              <w:bottom w:val="nil"/>
              <w:right w:val="nil"/>
            </w:tcBorders>
            <w:shd w:val="clear" w:color="auto" w:fill="auto"/>
            <w:vAlign w:val="center"/>
          </w:tcPr>
          <w:p w14:paraId="7C519AB2"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11</w:t>
            </w:r>
            <w:r>
              <w:rPr>
                <w:rFonts w:cs="Arial"/>
                <w:color w:val="000000"/>
                <w:sz w:val="14"/>
                <w:szCs w:val="14"/>
              </w:rPr>
              <w:t>,</w:t>
            </w:r>
            <w:r w:rsidRPr="00627470">
              <w:rPr>
                <w:rFonts w:cs="Arial"/>
                <w:color w:val="000000"/>
                <w:sz w:val="14"/>
                <w:szCs w:val="14"/>
              </w:rPr>
              <w:t xml:space="preserve">566 </w:t>
            </w:r>
          </w:p>
        </w:tc>
        <w:tc>
          <w:tcPr>
            <w:tcW w:w="3260" w:type="dxa"/>
            <w:tcBorders>
              <w:top w:val="nil"/>
              <w:left w:val="nil"/>
              <w:bottom w:val="nil"/>
              <w:right w:val="nil"/>
            </w:tcBorders>
            <w:shd w:val="clear" w:color="auto" w:fill="auto"/>
            <w:vAlign w:val="center"/>
          </w:tcPr>
          <w:p w14:paraId="61A8AB61"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627470">
              <w:rPr>
                <w:rFonts w:cs="Arial"/>
                <w:color w:val="000000"/>
                <w:sz w:val="14"/>
                <w:szCs w:val="14"/>
              </w:rPr>
              <w:t xml:space="preserve">              11</w:t>
            </w:r>
            <w:r>
              <w:rPr>
                <w:rFonts w:cs="Arial"/>
                <w:color w:val="000000"/>
                <w:sz w:val="14"/>
                <w:szCs w:val="14"/>
              </w:rPr>
              <w:t>,</w:t>
            </w:r>
            <w:r w:rsidRPr="00627470">
              <w:rPr>
                <w:rFonts w:cs="Arial"/>
                <w:color w:val="000000"/>
                <w:sz w:val="14"/>
                <w:szCs w:val="14"/>
              </w:rPr>
              <w:t xml:space="preserve">566 </w:t>
            </w:r>
          </w:p>
        </w:tc>
      </w:tr>
      <w:tr w:rsidR="006A362F" w:rsidRPr="00627470" w14:paraId="3BFD64A4"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1A02A9"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56E4EB94"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3</w:t>
            </w:r>
            <w:r>
              <w:rPr>
                <w:rFonts w:cs="Arial"/>
                <w:color w:val="000000"/>
                <w:sz w:val="14"/>
                <w:szCs w:val="14"/>
              </w:rPr>
              <w:t>,</w:t>
            </w:r>
            <w:r w:rsidRPr="00627470">
              <w:rPr>
                <w:rFonts w:cs="Arial"/>
                <w:color w:val="000000"/>
                <w:sz w:val="14"/>
                <w:szCs w:val="14"/>
              </w:rPr>
              <w:t xml:space="preserve">568 </w:t>
            </w:r>
          </w:p>
        </w:tc>
        <w:tc>
          <w:tcPr>
            <w:tcW w:w="3260" w:type="dxa"/>
            <w:tcBorders>
              <w:top w:val="nil"/>
              <w:left w:val="nil"/>
              <w:bottom w:val="nil"/>
              <w:right w:val="nil"/>
            </w:tcBorders>
            <w:shd w:val="clear" w:color="auto" w:fill="auto"/>
            <w:vAlign w:val="center"/>
          </w:tcPr>
          <w:p w14:paraId="272E72F8"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3</w:t>
            </w:r>
            <w:r>
              <w:rPr>
                <w:rFonts w:cs="Arial"/>
                <w:color w:val="000000"/>
                <w:sz w:val="14"/>
                <w:szCs w:val="14"/>
              </w:rPr>
              <w:t>,</w:t>
            </w:r>
            <w:r w:rsidRPr="00627470">
              <w:rPr>
                <w:rFonts w:cs="Arial"/>
                <w:color w:val="000000"/>
                <w:sz w:val="14"/>
                <w:szCs w:val="14"/>
              </w:rPr>
              <w:t xml:space="preserve">994 </w:t>
            </w:r>
          </w:p>
        </w:tc>
      </w:tr>
      <w:tr w:rsidR="006A362F" w:rsidRPr="003361C0" w14:paraId="78EDFD10"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30ACB89" w14:textId="77777777" w:rsidR="006A362F" w:rsidRPr="003361C0" w:rsidRDefault="006A362F" w:rsidP="006928A6">
            <w:pPr>
              <w:keepNext/>
              <w:keepLines/>
              <w:spacing w:before="40" w:after="40"/>
              <w:rPr>
                <w:rFonts w:cs="Arial"/>
                <w:sz w:val="14"/>
                <w:szCs w:val="14"/>
              </w:rPr>
            </w:pPr>
            <w:r>
              <w:rPr>
                <w:rFonts w:cs="Arial"/>
                <w:color w:val="000000"/>
                <w:sz w:val="14"/>
                <w:szCs w:val="14"/>
              </w:rPr>
              <w:t>Non-Current Liabilities</w:t>
            </w:r>
          </w:p>
        </w:tc>
        <w:tc>
          <w:tcPr>
            <w:tcW w:w="3260" w:type="dxa"/>
            <w:tcBorders>
              <w:top w:val="nil"/>
              <w:left w:val="nil"/>
              <w:bottom w:val="nil"/>
              <w:right w:val="nil"/>
            </w:tcBorders>
            <w:shd w:val="clear" w:color="auto" w:fill="auto"/>
            <w:vAlign w:val="center"/>
          </w:tcPr>
          <w:p w14:paraId="502F0615"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46</w:t>
            </w:r>
            <w:r>
              <w:rPr>
                <w:rFonts w:cs="Arial"/>
                <w:b/>
                <w:bCs/>
                <w:color w:val="000000"/>
                <w:sz w:val="14"/>
                <w:szCs w:val="14"/>
              </w:rPr>
              <w:t>,</w:t>
            </w:r>
            <w:r w:rsidRPr="003361C0">
              <w:rPr>
                <w:rFonts w:cs="Arial"/>
                <w:b/>
                <w:bCs/>
                <w:color w:val="000000"/>
                <w:sz w:val="14"/>
                <w:szCs w:val="14"/>
              </w:rPr>
              <w:t>5</w:t>
            </w:r>
            <w:r>
              <w:rPr>
                <w:rFonts w:cs="Arial"/>
                <w:b/>
                <w:bCs/>
                <w:color w:val="000000"/>
                <w:sz w:val="14"/>
                <w:szCs w:val="14"/>
              </w:rPr>
              <w:t>90</w:t>
            </w:r>
            <w:r w:rsidRPr="003361C0">
              <w:rPr>
                <w:rFonts w:cs="Arial"/>
                <w:b/>
                <w:bCs/>
                <w:color w:val="000000"/>
                <w:sz w:val="14"/>
                <w:szCs w:val="14"/>
              </w:rPr>
              <w:t xml:space="preserve"> </w:t>
            </w:r>
          </w:p>
        </w:tc>
        <w:tc>
          <w:tcPr>
            <w:tcW w:w="3260" w:type="dxa"/>
            <w:tcBorders>
              <w:top w:val="nil"/>
              <w:left w:val="nil"/>
              <w:bottom w:val="nil"/>
              <w:right w:val="nil"/>
            </w:tcBorders>
            <w:shd w:val="clear" w:color="auto" w:fill="auto"/>
            <w:vAlign w:val="center"/>
          </w:tcPr>
          <w:p w14:paraId="37094021"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44</w:t>
            </w:r>
            <w:r>
              <w:rPr>
                <w:rFonts w:cs="Arial"/>
                <w:b/>
                <w:bCs/>
                <w:color w:val="000000"/>
                <w:sz w:val="14"/>
                <w:szCs w:val="14"/>
              </w:rPr>
              <w:t>,</w:t>
            </w:r>
            <w:r w:rsidRPr="003361C0">
              <w:rPr>
                <w:rFonts w:cs="Arial"/>
                <w:b/>
                <w:bCs/>
                <w:color w:val="000000"/>
                <w:sz w:val="14"/>
                <w:szCs w:val="14"/>
              </w:rPr>
              <w:t xml:space="preserve">441 </w:t>
            </w:r>
          </w:p>
        </w:tc>
      </w:tr>
      <w:tr w:rsidR="006A362F" w:rsidRPr="00627470" w14:paraId="3A6EF0FA"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124F2A"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2273DDF2"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46</w:t>
            </w:r>
            <w:r>
              <w:rPr>
                <w:rFonts w:cs="Arial"/>
                <w:color w:val="000000"/>
                <w:sz w:val="14"/>
                <w:szCs w:val="14"/>
              </w:rPr>
              <w:t>,</w:t>
            </w:r>
            <w:r w:rsidRPr="00627470">
              <w:rPr>
                <w:rFonts w:cs="Arial"/>
                <w:color w:val="000000"/>
                <w:sz w:val="14"/>
                <w:szCs w:val="14"/>
              </w:rPr>
              <w:t>5</w:t>
            </w:r>
            <w:r>
              <w:rPr>
                <w:rFonts w:cs="Arial"/>
                <w:color w:val="000000"/>
                <w:sz w:val="14"/>
                <w:szCs w:val="14"/>
              </w:rPr>
              <w:t>90</w:t>
            </w:r>
            <w:r w:rsidRPr="00627470">
              <w:rPr>
                <w:rFonts w:cs="Arial"/>
                <w:color w:val="000000"/>
                <w:sz w:val="14"/>
                <w:szCs w:val="14"/>
              </w:rPr>
              <w:t xml:space="preserve"> </w:t>
            </w:r>
          </w:p>
        </w:tc>
        <w:tc>
          <w:tcPr>
            <w:tcW w:w="3260" w:type="dxa"/>
            <w:tcBorders>
              <w:top w:val="nil"/>
              <w:left w:val="nil"/>
              <w:bottom w:val="nil"/>
              <w:right w:val="nil"/>
            </w:tcBorders>
            <w:shd w:val="clear" w:color="auto" w:fill="auto"/>
            <w:vAlign w:val="center"/>
          </w:tcPr>
          <w:p w14:paraId="52163EAA"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44</w:t>
            </w:r>
            <w:r>
              <w:rPr>
                <w:rFonts w:cs="Arial"/>
                <w:color w:val="000000"/>
                <w:sz w:val="14"/>
                <w:szCs w:val="14"/>
              </w:rPr>
              <w:t>,</w:t>
            </w:r>
            <w:r w:rsidRPr="00627470">
              <w:rPr>
                <w:rFonts w:cs="Arial"/>
                <w:color w:val="000000"/>
                <w:sz w:val="14"/>
                <w:szCs w:val="14"/>
              </w:rPr>
              <w:t xml:space="preserve">441 </w:t>
            </w:r>
          </w:p>
        </w:tc>
      </w:tr>
      <w:tr w:rsidR="006A362F" w:rsidRPr="003361C0" w14:paraId="5A06FEBC"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1F6BE7" w14:textId="77777777" w:rsidR="006A362F" w:rsidRPr="003361C0" w:rsidRDefault="006A362F" w:rsidP="006928A6">
            <w:pPr>
              <w:keepNext/>
              <w:keepLines/>
              <w:spacing w:before="40" w:after="40"/>
              <w:rPr>
                <w:rFonts w:cs="Arial"/>
                <w:sz w:val="14"/>
                <w:szCs w:val="14"/>
              </w:rPr>
            </w:pPr>
            <w:r>
              <w:rPr>
                <w:rFonts w:cs="Arial"/>
                <w:color w:val="000000"/>
                <w:sz w:val="14"/>
                <w:szCs w:val="14"/>
              </w:rPr>
              <w:t>Equity</w:t>
            </w:r>
          </w:p>
        </w:tc>
        <w:tc>
          <w:tcPr>
            <w:tcW w:w="3260" w:type="dxa"/>
            <w:tcBorders>
              <w:top w:val="nil"/>
              <w:left w:val="nil"/>
              <w:bottom w:val="nil"/>
              <w:right w:val="nil"/>
            </w:tcBorders>
            <w:shd w:val="clear" w:color="auto" w:fill="auto"/>
            <w:vAlign w:val="center"/>
          </w:tcPr>
          <w:p w14:paraId="497B68E4"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237</w:t>
            </w:r>
            <w:r>
              <w:rPr>
                <w:rFonts w:cs="Arial"/>
                <w:b/>
                <w:bCs/>
                <w:color w:val="000000"/>
                <w:sz w:val="14"/>
                <w:szCs w:val="14"/>
              </w:rPr>
              <w:t>,</w:t>
            </w:r>
            <w:r w:rsidRPr="003361C0">
              <w:rPr>
                <w:rFonts w:cs="Arial"/>
                <w:b/>
                <w:bCs/>
                <w:color w:val="000000"/>
                <w:sz w:val="14"/>
                <w:szCs w:val="14"/>
              </w:rPr>
              <w:t xml:space="preserve">883 </w:t>
            </w:r>
          </w:p>
        </w:tc>
        <w:tc>
          <w:tcPr>
            <w:tcW w:w="3260" w:type="dxa"/>
            <w:tcBorders>
              <w:top w:val="nil"/>
              <w:left w:val="nil"/>
              <w:bottom w:val="nil"/>
              <w:right w:val="nil"/>
            </w:tcBorders>
            <w:shd w:val="clear" w:color="auto" w:fill="auto"/>
            <w:vAlign w:val="center"/>
          </w:tcPr>
          <w:p w14:paraId="1E73C2DB"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237</w:t>
            </w:r>
            <w:r>
              <w:rPr>
                <w:rFonts w:cs="Arial"/>
                <w:b/>
                <w:bCs/>
                <w:color w:val="000000"/>
                <w:sz w:val="14"/>
                <w:szCs w:val="14"/>
              </w:rPr>
              <w:t>,</w:t>
            </w:r>
            <w:r w:rsidRPr="003361C0">
              <w:rPr>
                <w:rFonts w:cs="Arial"/>
                <w:b/>
                <w:bCs/>
                <w:color w:val="000000"/>
                <w:sz w:val="14"/>
                <w:szCs w:val="14"/>
              </w:rPr>
              <w:t xml:space="preserve">120 </w:t>
            </w:r>
          </w:p>
        </w:tc>
      </w:tr>
      <w:tr w:rsidR="006A362F" w:rsidRPr="00627470" w14:paraId="13C3C693"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674E75"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Capital and reserves</w:t>
            </w:r>
          </w:p>
        </w:tc>
        <w:tc>
          <w:tcPr>
            <w:tcW w:w="3260" w:type="dxa"/>
            <w:tcBorders>
              <w:top w:val="nil"/>
              <w:left w:val="nil"/>
              <w:bottom w:val="nil"/>
              <w:right w:val="nil"/>
            </w:tcBorders>
            <w:shd w:val="clear" w:color="auto" w:fill="auto"/>
            <w:vAlign w:val="center"/>
          </w:tcPr>
          <w:p w14:paraId="6B39C860"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242</w:t>
            </w:r>
            <w:r>
              <w:rPr>
                <w:rFonts w:cs="Arial"/>
                <w:color w:val="000000"/>
                <w:sz w:val="14"/>
                <w:szCs w:val="14"/>
              </w:rPr>
              <w:t>,</w:t>
            </w:r>
            <w:r w:rsidRPr="00627470">
              <w:rPr>
                <w:rFonts w:cs="Arial"/>
                <w:color w:val="000000"/>
                <w:sz w:val="14"/>
                <w:szCs w:val="14"/>
              </w:rPr>
              <w:t xml:space="preserve">259 </w:t>
            </w:r>
          </w:p>
        </w:tc>
        <w:tc>
          <w:tcPr>
            <w:tcW w:w="3260" w:type="dxa"/>
            <w:tcBorders>
              <w:top w:val="nil"/>
              <w:left w:val="nil"/>
              <w:bottom w:val="nil"/>
              <w:right w:val="nil"/>
            </w:tcBorders>
            <w:shd w:val="clear" w:color="auto" w:fill="auto"/>
            <w:vAlign w:val="center"/>
          </w:tcPr>
          <w:p w14:paraId="22C8FDF8"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242</w:t>
            </w:r>
            <w:r>
              <w:rPr>
                <w:rFonts w:cs="Arial"/>
                <w:color w:val="000000"/>
                <w:sz w:val="14"/>
                <w:szCs w:val="14"/>
              </w:rPr>
              <w:t>,</w:t>
            </w:r>
            <w:r w:rsidRPr="00627470">
              <w:rPr>
                <w:rFonts w:cs="Arial"/>
                <w:color w:val="000000"/>
                <w:sz w:val="14"/>
                <w:szCs w:val="14"/>
              </w:rPr>
              <w:t xml:space="preserve">389 </w:t>
            </w:r>
          </w:p>
        </w:tc>
      </w:tr>
      <w:tr w:rsidR="006A362F" w:rsidRPr="00627470" w14:paraId="534E29E4"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8A5A0B6" w14:textId="77777777" w:rsidR="006A362F" w:rsidRPr="00080F19" w:rsidRDefault="006A362F" w:rsidP="006928A6">
            <w:pPr>
              <w:keepNext/>
              <w:keepLines/>
              <w:spacing w:before="40" w:after="40"/>
              <w:ind w:left="113"/>
              <w:rPr>
                <w:rFonts w:cs="Arial"/>
                <w:b w:val="0"/>
                <w:bCs w:val="0"/>
                <w:sz w:val="14"/>
                <w:szCs w:val="14"/>
              </w:rPr>
            </w:pPr>
            <w:r w:rsidRPr="00A94E39">
              <w:rPr>
                <w:rFonts w:cs="Arial"/>
                <w:b w:val="0"/>
                <w:bCs w:val="0"/>
                <w:color w:val="000000"/>
                <w:sz w:val="14"/>
                <w:szCs w:val="14"/>
              </w:rPr>
              <w:t>Accumulated losses</w:t>
            </w:r>
          </w:p>
        </w:tc>
        <w:tc>
          <w:tcPr>
            <w:tcW w:w="3260" w:type="dxa"/>
            <w:tcBorders>
              <w:top w:val="nil"/>
              <w:left w:val="nil"/>
              <w:bottom w:val="nil"/>
              <w:right w:val="nil"/>
            </w:tcBorders>
            <w:shd w:val="clear" w:color="auto" w:fill="auto"/>
            <w:vAlign w:val="center"/>
          </w:tcPr>
          <w:p w14:paraId="65133F81"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(4</w:t>
            </w:r>
            <w:r>
              <w:rPr>
                <w:rFonts w:cs="Arial"/>
                <w:color w:val="000000"/>
                <w:sz w:val="14"/>
                <w:szCs w:val="14"/>
              </w:rPr>
              <w:t>,</w:t>
            </w:r>
            <w:r w:rsidRPr="00080F19">
              <w:rPr>
                <w:rFonts w:cs="Arial"/>
                <w:color w:val="000000"/>
                <w:sz w:val="14"/>
                <w:szCs w:val="14"/>
              </w:rPr>
              <w:t>565)</w:t>
            </w:r>
          </w:p>
        </w:tc>
        <w:tc>
          <w:tcPr>
            <w:tcW w:w="3260" w:type="dxa"/>
            <w:tcBorders>
              <w:top w:val="nil"/>
              <w:left w:val="nil"/>
              <w:bottom w:val="nil"/>
              <w:right w:val="nil"/>
            </w:tcBorders>
            <w:shd w:val="clear" w:color="auto" w:fill="auto"/>
            <w:vAlign w:val="center"/>
          </w:tcPr>
          <w:p w14:paraId="2E782C74" w14:textId="77777777" w:rsidR="006A362F" w:rsidRPr="0062747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(5</w:t>
            </w:r>
            <w:r>
              <w:rPr>
                <w:rFonts w:cs="Arial"/>
                <w:color w:val="000000"/>
                <w:sz w:val="14"/>
                <w:szCs w:val="14"/>
              </w:rPr>
              <w:t>,</w:t>
            </w:r>
            <w:r w:rsidRPr="00080F19">
              <w:rPr>
                <w:rFonts w:cs="Arial"/>
                <w:color w:val="000000"/>
                <w:sz w:val="14"/>
                <w:szCs w:val="14"/>
              </w:rPr>
              <w:t>407)</w:t>
            </w:r>
          </w:p>
        </w:tc>
      </w:tr>
      <w:tr w:rsidR="006A362F" w:rsidRPr="00627470" w14:paraId="427AB61E" w14:textId="77777777" w:rsidTr="00A263A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AA022A" w14:textId="77777777" w:rsidR="006A362F" w:rsidRPr="00627470" w:rsidRDefault="006A362F" w:rsidP="006928A6">
            <w:pPr>
              <w:keepNext/>
              <w:keepLines/>
              <w:spacing w:before="40" w:after="40"/>
              <w:ind w:left="113"/>
              <w:rPr>
                <w:rFonts w:cs="Arial"/>
                <w:b w:val="0"/>
                <w:bCs w:val="0"/>
                <w:sz w:val="14"/>
                <w:szCs w:val="14"/>
              </w:rPr>
            </w:pPr>
            <w:r>
              <w:rPr>
                <w:rFonts w:cs="Arial"/>
                <w:b w:val="0"/>
                <w:bCs w:val="0"/>
                <w:color w:val="000000"/>
                <w:sz w:val="14"/>
                <w:szCs w:val="14"/>
              </w:rPr>
              <w:t>Other comprehensive results</w:t>
            </w:r>
          </w:p>
        </w:tc>
        <w:tc>
          <w:tcPr>
            <w:tcW w:w="3260" w:type="dxa"/>
            <w:tcBorders>
              <w:top w:val="nil"/>
              <w:left w:val="nil"/>
              <w:bottom w:val="nil"/>
              <w:right w:val="nil"/>
            </w:tcBorders>
            <w:shd w:val="clear" w:color="auto" w:fill="auto"/>
            <w:vAlign w:val="center"/>
          </w:tcPr>
          <w:p w14:paraId="2D220C81"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189 </w:t>
            </w:r>
          </w:p>
        </w:tc>
        <w:tc>
          <w:tcPr>
            <w:tcW w:w="3260" w:type="dxa"/>
            <w:tcBorders>
              <w:top w:val="nil"/>
              <w:left w:val="nil"/>
              <w:bottom w:val="nil"/>
              <w:right w:val="nil"/>
            </w:tcBorders>
            <w:shd w:val="clear" w:color="auto" w:fill="auto"/>
            <w:vAlign w:val="center"/>
          </w:tcPr>
          <w:p w14:paraId="0E468576" w14:textId="77777777" w:rsidR="006A362F" w:rsidRPr="00627470" w:rsidRDefault="006A362F" w:rsidP="00A263A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627470">
              <w:rPr>
                <w:rFonts w:cs="Arial"/>
                <w:color w:val="000000"/>
                <w:sz w:val="14"/>
                <w:szCs w:val="14"/>
              </w:rPr>
              <w:t xml:space="preserve">                   138 </w:t>
            </w:r>
          </w:p>
        </w:tc>
      </w:tr>
      <w:tr w:rsidR="006A362F" w:rsidRPr="003361C0" w14:paraId="10EE01F0" w14:textId="77777777" w:rsidTr="00A263A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78A963DA" w14:textId="77777777" w:rsidR="006A362F" w:rsidRPr="003361C0" w:rsidRDefault="006A362F" w:rsidP="006928A6">
            <w:pPr>
              <w:keepNext/>
              <w:keepLines/>
              <w:spacing w:before="40" w:after="40"/>
              <w:rPr>
                <w:rFonts w:cs="Arial"/>
                <w:sz w:val="14"/>
                <w:szCs w:val="14"/>
              </w:rPr>
            </w:pPr>
            <w:r>
              <w:rPr>
                <w:rFonts w:cs="Arial"/>
                <w:color w:val="000000"/>
                <w:sz w:val="14"/>
                <w:szCs w:val="14"/>
              </w:rPr>
              <w:t>Liabilities and Equity</w:t>
            </w:r>
          </w:p>
        </w:tc>
        <w:tc>
          <w:tcPr>
            <w:tcW w:w="3260" w:type="dxa"/>
            <w:tcBorders>
              <w:top w:val="nil"/>
              <w:left w:val="nil"/>
              <w:bottom w:val="single" w:sz="2" w:space="0" w:color="1F4E79" w:themeColor="accent1" w:themeShade="80"/>
              <w:right w:val="nil"/>
            </w:tcBorders>
            <w:shd w:val="clear" w:color="auto" w:fill="auto"/>
            <w:vAlign w:val="center"/>
          </w:tcPr>
          <w:p w14:paraId="1568A2ED"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845</w:t>
            </w:r>
            <w:r>
              <w:rPr>
                <w:rFonts w:cs="Arial"/>
                <w:b/>
                <w:bCs/>
                <w:color w:val="000000"/>
                <w:sz w:val="14"/>
                <w:szCs w:val="14"/>
              </w:rPr>
              <w:t>,</w:t>
            </w:r>
            <w:r w:rsidRPr="003361C0">
              <w:rPr>
                <w:rFonts w:cs="Arial"/>
                <w:b/>
                <w:bCs/>
                <w:color w:val="000000"/>
                <w:sz w:val="14"/>
                <w:szCs w:val="14"/>
              </w:rPr>
              <w:t>52</w:t>
            </w:r>
            <w:r>
              <w:rPr>
                <w:rFonts w:cs="Arial"/>
                <w:b/>
                <w:bCs/>
                <w:color w:val="000000"/>
                <w:sz w:val="14"/>
                <w:szCs w:val="14"/>
              </w:rPr>
              <w:t>1</w:t>
            </w:r>
            <w:r w:rsidRPr="003361C0">
              <w:rPr>
                <w:rFonts w:cs="Arial"/>
                <w:b/>
                <w:bCs/>
                <w:color w:val="000000"/>
                <w:sz w:val="14"/>
                <w:szCs w:val="14"/>
              </w:rPr>
              <w:t xml:space="preserve"> </w:t>
            </w:r>
          </w:p>
        </w:tc>
        <w:tc>
          <w:tcPr>
            <w:tcW w:w="3260" w:type="dxa"/>
            <w:tcBorders>
              <w:top w:val="nil"/>
              <w:left w:val="nil"/>
              <w:bottom w:val="single" w:sz="2" w:space="0" w:color="1F4E79" w:themeColor="accent1" w:themeShade="80"/>
              <w:right w:val="nil"/>
            </w:tcBorders>
            <w:shd w:val="clear" w:color="auto" w:fill="auto"/>
            <w:vAlign w:val="center"/>
          </w:tcPr>
          <w:p w14:paraId="6A3F13F8" w14:textId="77777777" w:rsidR="006A362F" w:rsidRPr="003361C0" w:rsidRDefault="006A362F" w:rsidP="00A263A7">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361C0">
              <w:rPr>
                <w:rFonts w:cs="Arial"/>
                <w:b/>
                <w:bCs/>
                <w:color w:val="000000"/>
                <w:sz w:val="14"/>
                <w:szCs w:val="14"/>
              </w:rPr>
              <w:t xml:space="preserve">               754</w:t>
            </w:r>
            <w:r>
              <w:rPr>
                <w:rFonts w:cs="Arial"/>
                <w:b/>
                <w:bCs/>
                <w:color w:val="000000"/>
                <w:sz w:val="14"/>
                <w:szCs w:val="14"/>
              </w:rPr>
              <w:t>,</w:t>
            </w:r>
            <w:r w:rsidRPr="003361C0">
              <w:rPr>
                <w:rFonts w:cs="Arial"/>
                <w:b/>
                <w:bCs/>
                <w:color w:val="000000"/>
                <w:sz w:val="14"/>
                <w:szCs w:val="14"/>
              </w:rPr>
              <w:t xml:space="preserve">256 </w:t>
            </w:r>
          </w:p>
        </w:tc>
      </w:tr>
    </w:tbl>
    <w:p w14:paraId="15CD1CCC" w14:textId="77777777" w:rsidR="006A362F" w:rsidRDefault="006A362F" w:rsidP="00076945">
      <w:pPr>
        <w:spacing w:line="257" w:lineRule="auto"/>
        <w:contextualSpacing/>
        <w:jc w:val="both"/>
        <w:rPr>
          <w:rFonts w:eastAsia="Times New Roman" w:cs="Times New Roman"/>
          <w:spacing w:val="-2"/>
          <w:sz w:val="14"/>
          <w:szCs w:val="18"/>
          <w:lang w:eastAsia="pt-BR"/>
        </w:rPr>
      </w:pPr>
    </w:p>
    <w:p w14:paraId="78D671F5"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55DEB884" w14:textId="77777777" w:rsidR="006A362F" w:rsidRPr="00C83A83"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2</w:t>
      </w:r>
      <w:r w:rsidRPr="006F152E">
        <w:rPr>
          <w:rFonts w:eastAsia="Times New Roman" w:cs="Times New Roman"/>
          <w:b/>
          <w:color w:val="1F4E79" w:themeColor="accent1" w:themeShade="80"/>
          <w:spacing w:val="-2"/>
          <w:szCs w:val="20"/>
          <w:lang w:eastAsia="pt-BR"/>
        </w:rPr>
        <w:t xml:space="preserve">) </w:t>
      </w:r>
      <w:r w:rsidRPr="004C34C1">
        <w:rPr>
          <w:rFonts w:eastAsia="Times New Roman" w:cs="Times New Roman"/>
          <w:b/>
          <w:color w:val="1F4E79" w:themeColor="accent1" w:themeShade="80"/>
          <w:spacing w:val="-2"/>
          <w:szCs w:val="20"/>
          <w:lang w:eastAsia="pt-BR"/>
        </w:rPr>
        <w:t xml:space="preserve">Brasilprev Seguros </w:t>
      </w:r>
      <w:r>
        <w:rPr>
          <w:rFonts w:eastAsia="Times New Roman" w:cs="Times New Roman"/>
          <w:b/>
          <w:color w:val="1F4E79" w:themeColor="accent1" w:themeShade="80"/>
          <w:spacing w:val="-2"/>
          <w:szCs w:val="20"/>
          <w:lang w:eastAsia="pt-BR"/>
        </w:rPr>
        <w:t>and</w:t>
      </w:r>
      <w:r w:rsidRPr="004C34C1">
        <w:rPr>
          <w:rFonts w:eastAsia="Times New Roman" w:cs="Times New Roman"/>
          <w:b/>
          <w:color w:val="1F4E79" w:themeColor="accent1" w:themeShade="80"/>
          <w:spacing w:val="-2"/>
          <w:szCs w:val="20"/>
          <w:lang w:eastAsia="pt-BR"/>
        </w:rPr>
        <w:t xml:space="preserve"> Previdência S.A. (Brasilprev)</w:t>
      </w:r>
    </w:p>
    <w:p w14:paraId="5C598B2D"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723D1469" w14:textId="77777777" w:rsidR="006A362F" w:rsidRPr="00A263A7" w:rsidRDefault="006A362F" w:rsidP="00076945">
      <w:pPr>
        <w:jc w:val="both"/>
        <w:rPr>
          <w:rFonts w:eastAsia="Times New Roman" w:cs="Arial"/>
          <w:kern w:val="20"/>
          <w:szCs w:val="20"/>
          <w:lang w:val="en-US" w:eastAsia="pt-BR"/>
        </w:rPr>
      </w:pPr>
      <w:r w:rsidRPr="00A263A7">
        <w:rPr>
          <w:rFonts w:eastAsia="Times New Roman" w:cs="Arial"/>
          <w:kern w:val="20"/>
          <w:szCs w:val="20"/>
          <w:lang w:val="en-US" w:eastAsia="pt-BR"/>
        </w:rPr>
        <w:t>Brasilprev aggregated the contract groups into three levels, by portfolio identification, profitability and segregation by harvest, as shown below.</w:t>
      </w:r>
    </w:p>
    <w:tbl>
      <w:tblPr>
        <w:tblW w:w="9639" w:type="dxa"/>
        <w:tblBorders>
          <w:top w:val="single" w:sz="2" w:space="0" w:color="44546A" w:themeColor="text2"/>
          <w:bottom w:val="single" w:sz="2" w:space="0" w:color="44546A" w:themeColor="text2"/>
        </w:tblBorders>
        <w:tblLook w:val="04A0" w:firstRow="1" w:lastRow="0" w:firstColumn="1" w:lastColumn="0" w:noHBand="0" w:noVBand="1"/>
      </w:tblPr>
      <w:tblGrid>
        <w:gridCol w:w="1854"/>
        <w:gridCol w:w="1855"/>
        <w:gridCol w:w="4054"/>
        <w:gridCol w:w="1876"/>
      </w:tblGrid>
      <w:tr w:rsidR="006A362F" w:rsidRPr="00A94E39" w14:paraId="7C16511A" w14:textId="77777777" w:rsidTr="00A94E39">
        <w:trPr>
          <w:trHeight w:val="170"/>
        </w:trPr>
        <w:tc>
          <w:tcPr>
            <w:tcW w:w="962" w:type="pct"/>
            <w:tcBorders>
              <w:top w:val="single" w:sz="2" w:space="0" w:color="44546A" w:themeColor="text2"/>
              <w:bottom w:val="single" w:sz="2" w:space="0" w:color="44546A" w:themeColor="text2"/>
            </w:tcBorders>
            <w:vAlign w:val="center"/>
          </w:tcPr>
          <w:p w14:paraId="2C4502E5" w14:textId="77777777" w:rsidR="006A362F" w:rsidRPr="00A94E39" w:rsidRDefault="006A362F" w:rsidP="00A94E39">
            <w:pPr>
              <w:widowControl w:val="0"/>
              <w:spacing w:after="120" w:line="240" w:lineRule="auto"/>
              <w:ind w:left="57"/>
              <w:jc w:val="center"/>
              <w:rPr>
                <w:rFonts w:eastAsia="Times New Roman" w:cs="Arial"/>
                <w:b/>
                <w:bCs/>
                <w:snapToGrid w:val="0"/>
                <w:sz w:val="14"/>
                <w:szCs w:val="14"/>
                <w:lang w:val="es-ES" w:eastAsia="pt-BR"/>
              </w:rPr>
            </w:pPr>
            <w:r w:rsidRPr="00A94E39">
              <w:rPr>
                <w:rFonts w:eastAsia="Times New Roman" w:cs="Arial"/>
                <w:b/>
                <w:bCs/>
                <w:kern w:val="20"/>
                <w:sz w:val="14"/>
                <w:szCs w:val="14"/>
                <w:lang w:val="en-US" w:eastAsia="pt-BR"/>
              </w:rPr>
              <w:t>Profitability</w:t>
            </w:r>
          </w:p>
        </w:tc>
        <w:tc>
          <w:tcPr>
            <w:tcW w:w="962" w:type="pct"/>
            <w:tcBorders>
              <w:top w:val="single" w:sz="2" w:space="0" w:color="44546A" w:themeColor="text2"/>
              <w:bottom w:val="single" w:sz="2" w:space="0" w:color="44546A" w:themeColor="text2"/>
            </w:tcBorders>
            <w:vAlign w:val="center"/>
          </w:tcPr>
          <w:p w14:paraId="6E8CE3AE" w14:textId="77777777" w:rsidR="006A362F" w:rsidRPr="00A94E39" w:rsidRDefault="006A362F" w:rsidP="00A94E39">
            <w:pPr>
              <w:widowControl w:val="0"/>
              <w:spacing w:after="120" w:line="240" w:lineRule="auto"/>
              <w:ind w:left="57"/>
              <w:jc w:val="center"/>
              <w:rPr>
                <w:rFonts w:eastAsia="Times New Roman" w:cs="Arial"/>
                <w:b/>
                <w:bCs/>
                <w:snapToGrid w:val="0"/>
                <w:sz w:val="14"/>
                <w:szCs w:val="14"/>
                <w:lang w:val="es-ES" w:eastAsia="pt-BR"/>
              </w:rPr>
            </w:pPr>
            <w:r w:rsidRPr="00A94E39">
              <w:rPr>
                <w:rFonts w:eastAsia="Times New Roman" w:cs="Arial"/>
                <w:b/>
                <w:bCs/>
                <w:snapToGrid w:val="0"/>
                <w:sz w:val="14"/>
                <w:szCs w:val="14"/>
                <w:lang w:val="es-ES" w:eastAsia="pt-BR"/>
              </w:rPr>
              <w:t>Portfolio</w:t>
            </w:r>
          </w:p>
        </w:tc>
        <w:tc>
          <w:tcPr>
            <w:tcW w:w="2103" w:type="pct"/>
            <w:tcBorders>
              <w:top w:val="single" w:sz="2" w:space="0" w:color="44546A" w:themeColor="text2"/>
              <w:bottom w:val="single" w:sz="2" w:space="0" w:color="44546A" w:themeColor="text2"/>
            </w:tcBorders>
            <w:vAlign w:val="center"/>
          </w:tcPr>
          <w:p w14:paraId="2E0777E8" w14:textId="77777777" w:rsidR="006A362F" w:rsidRPr="00A94E39" w:rsidRDefault="006A362F" w:rsidP="00A94E39">
            <w:pPr>
              <w:widowControl w:val="0"/>
              <w:spacing w:after="120" w:line="240" w:lineRule="auto"/>
              <w:ind w:left="57"/>
              <w:jc w:val="center"/>
              <w:rPr>
                <w:rFonts w:eastAsia="Times New Roman" w:cs="Arial"/>
                <w:b/>
                <w:bCs/>
                <w:snapToGrid w:val="0"/>
                <w:sz w:val="14"/>
                <w:szCs w:val="14"/>
                <w:lang w:val="es-ES" w:eastAsia="pt-BR"/>
              </w:rPr>
            </w:pPr>
            <w:r w:rsidRPr="00A94E39">
              <w:rPr>
                <w:rFonts w:eastAsia="Times New Roman" w:cs="Arial"/>
                <w:b/>
                <w:bCs/>
                <w:snapToGrid w:val="0"/>
                <w:sz w:val="14"/>
                <w:szCs w:val="14"/>
                <w:lang w:val="es-ES" w:eastAsia="pt-BR"/>
              </w:rPr>
              <w:t>Description</w:t>
            </w:r>
          </w:p>
        </w:tc>
        <w:tc>
          <w:tcPr>
            <w:tcW w:w="973" w:type="pct"/>
            <w:tcBorders>
              <w:top w:val="single" w:sz="2" w:space="0" w:color="44546A" w:themeColor="text2"/>
              <w:bottom w:val="single" w:sz="2" w:space="0" w:color="44546A" w:themeColor="text2"/>
            </w:tcBorders>
            <w:vAlign w:val="center"/>
          </w:tcPr>
          <w:p w14:paraId="6F8FD61F" w14:textId="77777777" w:rsidR="006A362F" w:rsidRPr="00A94E39" w:rsidRDefault="006A362F" w:rsidP="00A94E39">
            <w:pPr>
              <w:widowControl w:val="0"/>
              <w:spacing w:after="120" w:line="240" w:lineRule="auto"/>
              <w:ind w:left="57"/>
              <w:jc w:val="center"/>
              <w:rPr>
                <w:rFonts w:eastAsia="Times New Roman" w:cs="Arial"/>
                <w:b/>
                <w:bCs/>
                <w:snapToGrid w:val="0"/>
                <w:sz w:val="14"/>
                <w:szCs w:val="14"/>
                <w:lang w:val="es-ES" w:eastAsia="pt-BR"/>
              </w:rPr>
            </w:pPr>
            <w:r w:rsidRPr="00A94E39">
              <w:rPr>
                <w:rFonts w:eastAsia="Times New Roman" w:cs="Arial"/>
                <w:b/>
                <w:bCs/>
                <w:snapToGrid w:val="0"/>
                <w:sz w:val="14"/>
                <w:szCs w:val="14"/>
                <w:lang w:val="es-ES" w:eastAsia="pt-BR"/>
              </w:rPr>
              <w:t xml:space="preserve">Measurement model </w:t>
            </w:r>
            <w:r w:rsidRPr="00A94E39">
              <w:rPr>
                <w:rFonts w:eastAsia="Times New Roman" w:cs="Arial"/>
                <w:b/>
                <w:bCs/>
                <w:snapToGrid w:val="0"/>
                <w:sz w:val="14"/>
                <w:szCs w:val="14"/>
                <w:vertAlign w:val="superscript"/>
                <w:lang w:val="es-ES" w:eastAsia="pt-BR"/>
              </w:rPr>
              <w:t>(1)</w:t>
            </w:r>
          </w:p>
        </w:tc>
      </w:tr>
      <w:tr w:rsidR="006A362F" w:rsidRPr="009E6042" w14:paraId="35F9CEED" w14:textId="77777777" w:rsidTr="00A94E39">
        <w:trPr>
          <w:trHeight w:val="170"/>
        </w:trPr>
        <w:tc>
          <w:tcPr>
            <w:tcW w:w="962" w:type="pct"/>
            <w:tcBorders>
              <w:top w:val="single" w:sz="2" w:space="0" w:color="44546A" w:themeColor="text2"/>
              <w:bottom w:val="single" w:sz="2" w:space="0" w:color="44546A" w:themeColor="text2"/>
            </w:tcBorders>
            <w:vAlign w:val="center"/>
          </w:tcPr>
          <w:p w14:paraId="7F325DBC" w14:textId="77777777" w:rsidR="006A362F" w:rsidRPr="00F02504"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O</w:t>
            </w:r>
            <w:r w:rsidRPr="00A94E39">
              <w:rPr>
                <w:rFonts w:eastAsia="Times New Roman" w:cs="Arial"/>
                <w:bCs/>
                <w:snapToGrid w:val="0"/>
                <w:sz w:val="14"/>
                <w:szCs w:val="14"/>
                <w:lang w:val="es-ES" w:eastAsia="pt-BR"/>
              </w:rPr>
              <w:t>nerous contracts</w:t>
            </w:r>
          </w:p>
        </w:tc>
        <w:tc>
          <w:tcPr>
            <w:tcW w:w="962" w:type="pct"/>
            <w:tcBorders>
              <w:top w:val="single" w:sz="2" w:space="0" w:color="44546A" w:themeColor="text2"/>
              <w:bottom w:val="single" w:sz="2" w:space="0" w:color="44546A" w:themeColor="text2"/>
            </w:tcBorders>
            <w:vAlign w:val="center"/>
          </w:tcPr>
          <w:p w14:paraId="4A42E8E9"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Traditional</w:t>
            </w:r>
          </w:p>
        </w:tc>
        <w:tc>
          <w:tcPr>
            <w:tcW w:w="2103" w:type="pct"/>
            <w:tcBorders>
              <w:top w:val="single" w:sz="2" w:space="0" w:color="44546A" w:themeColor="text2"/>
              <w:bottom w:val="single" w:sz="2" w:space="0" w:color="44546A" w:themeColor="text2"/>
            </w:tcBorders>
            <w:vAlign w:val="center"/>
          </w:tcPr>
          <w:p w14:paraId="03EE16FA"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Traditional pension plan contracts</w:t>
            </w:r>
          </w:p>
        </w:tc>
        <w:tc>
          <w:tcPr>
            <w:tcW w:w="973" w:type="pct"/>
            <w:tcBorders>
              <w:top w:val="single" w:sz="2" w:space="0" w:color="44546A" w:themeColor="text2"/>
              <w:bottom w:val="single" w:sz="2" w:space="0" w:color="44546A" w:themeColor="text2"/>
            </w:tcBorders>
            <w:vAlign w:val="center"/>
          </w:tcPr>
          <w:p w14:paraId="5FF4309D"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eastAsia="pt-BR"/>
              </w:rPr>
            </w:pPr>
            <w:r>
              <w:rPr>
                <w:rFonts w:eastAsia="Times New Roman" w:cs="Arial"/>
                <w:bCs/>
                <w:snapToGrid w:val="0"/>
                <w:sz w:val="14"/>
                <w:szCs w:val="14"/>
                <w:lang w:eastAsia="pt-BR"/>
              </w:rPr>
              <w:t>BBA</w:t>
            </w:r>
          </w:p>
        </w:tc>
      </w:tr>
      <w:tr w:rsidR="006A362F" w:rsidRPr="009E6042" w14:paraId="48E408D0" w14:textId="77777777" w:rsidTr="00A94E39">
        <w:trPr>
          <w:trHeight w:val="170"/>
        </w:trPr>
        <w:tc>
          <w:tcPr>
            <w:tcW w:w="962" w:type="pct"/>
            <w:vMerge w:val="restart"/>
            <w:tcBorders>
              <w:top w:val="single" w:sz="2" w:space="0" w:color="44546A" w:themeColor="text2"/>
            </w:tcBorders>
            <w:vAlign w:val="center"/>
          </w:tcPr>
          <w:p w14:paraId="4B843669" w14:textId="77777777" w:rsidR="006A362F"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N</w:t>
            </w:r>
            <w:r w:rsidRPr="00A94E39">
              <w:rPr>
                <w:rFonts w:eastAsia="Times New Roman" w:cs="Arial"/>
                <w:bCs/>
                <w:snapToGrid w:val="0"/>
                <w:sz w:val="14"/>
                <w:szCs w:val="14"/>
                <w:lang w:val="es-ES" w:eastAsia="pt-BR"/>
              </w:rPr>
              <w:t>on-onerous contracts</w:t>
            </w:r>
          </w:p>
        </w:tc>
        <w:tc>
          <w:tcPr>
            <w:tcW w:w="962" w:type="pct"/>
            <w:tcBorders>
              <w:top w:val="single" w:sz="2" w:space="0" w:color="44546A" w:themeColor="text2"/>
            </w:tcBorders>
            <w:vAlign w:val="center"/>
          </w:tcPr>
          <w:p w14:paraId="2A282B98" w14:textId="77777777" w:rsidR="006A362F" w:rsidRPr="009E6042" w:rsidRDefault="006A362F" w:rsidP="006928A6">
            <w:pPr>
              <w:widowControl w:val="0"/>
              <w:spacing w:after="120" w:line="240" w:lineRule="auto"/>
              <w:ind w:left="57"/>
              <w:rPr>
                <w:rFonts w:eastAsia="Times New Roman" w:cs="Arial"/>
                <w:bCs/>
                <w:snapToGrid w:val="0"/>
                <w:sz w:val="14"/>
                <w:szCs w:val="14"/>
                <w:highlight w:val="green"/>
                <w:lang w:val="es-ES" w:eastAsia="pt-BR"/>
              </w:rPr>
            </w:pPr>
            <w:r>
              <w:rPr>
                <w:rFonts w:eastAsia="Times New Roman" w:cs="Arial"/>
                <w:bCs/>
                <w:snapToGrid w:val="0"/>
                <w:sz w:val="14"/>
                <w:szCs w:val="14"/>
                <w:lang w:val="es-ES" w:eastAsia="pt-BR"/>
              </w:rPr>
              <w:t>PGBL/VGBL</w:t>
            </w:r>
          </w:p>
        </w:tc>
        <w:tc>
          <w:tcPr>
            <w:tcW w:w="2103" w:type="pct"/>
            <w:tcBorders>
              <w:top w:val="single" w:sz="2" w:space="0" w:color="44546A" w:themeColor="text2"/>
            </w:tcBorders>
            <w:vAlign w:val="center"/>
          </w:tcPr>
          <w:p w14:paraId="621D2AB4" w14:textId="77777777" w:rsidR="006A362F" w:rsidRPr="009E6042" w:rsidRDefault="006A362F" w:rsidP="006928A6">
            <w:pPr>
              <w:widowControl w:val="0"/>
              <w:spacing w:after="120" w:line="240" w:lineRule="auto"/>
              <w:ind w:left="57"/>
              <w:rPr>
                <w:rFonts w:eastAsia="Times New Roman" w:cs="Arial"/>
                <w:bCs/>
                <w:snapToGrid w:val="0"/>
                <w:sz w:val="14"/>
                <w:szCs w:val="14"/>
                <w:highlight w:val="green"/>
                <w:lang w:val="es-ES" w:eastAsia="pt-BR"/>
              </w:rPr>
            </w:pPr>
            <w:r w:rsidRPr="00FC4DCD">
              <w:rPr>
                <w:rFonts w:eastAsia="Times New Roman" w:cs="Arial"/>
                <w:bCs/>
                <w:snapToGrid w:val="0"/>
                <w:sz w:val="14"/>
                <w:szCs w:val="14"/>
                <w:lang w:val="es-ES" w:eastAsia="pt-BR"/>
              </w:rPr>
              <w:t>Free benefit generating plan pension plans and free benefit generating life plans</w:t>
            </w:r>
          </w:p>
        </w:tc>
        <w:tc>
          <w:tcPr>
            <w:tcW w:w="973" w:type="pct"/>
            <w:tcBorders>
              <w:top w:val="single" w:sz="2" w:space="0" w:color="44546A" w:themeColor="text2"/>
            </w:tcBorders>
            <w:vAlign w:val="center"/>
          </w:tcPr>
          <w:p w14:paraId="13FC15FB"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VFA</w:t>
            </w:r>
          </w:p>
        </w:tc>
      </w:tr>
      <w:tr w:rsidR="006A362F" w:rsidRPr="009E6042" w14:paraId="27B4607C" w14:textId="77777777" w:rsidTr="00A94E39">
        <w:trPr>
          <w:trHeight w:val="170"/>
        </w:trPr>
        <w:tc>
          <w:tcPr>
            <w:tcW w:w="962" w:type="pct"/>
            <w:vMerge/>
            <w:vAlign w:val="center"/>
          </w:tcPr>
          <w:p w14:paraId="6F32EA1A" w14:textId="77777777" w:rsidR="006A362F" w:rsidRDefault="006A362F" w:rsidP="006928A6">
            <w:pPr>
              <w:widowControl w:val="0"/>
              <w:spacing w:after="120" w:line="240" w:lineRule="auto"/>
              <w:ind w:left="57"/>
              <w:rPr>
                <w:rFonts w:eastAsia="Times New Roman" w:cs="Arial"/>
                <w:bCs/>
                <w:snapToGrid w:val="0"/>
                <w:sz w:val="14"/>
                <w:szCs w:val="14"/>
                <w:lang w:val="es-ES" w:eastAsia="pt-BR"/>
              </w:rPr>
            </w:pPr>
          </w:p>
        </w:tc>
        <w:tc>
          <w:tcPr>
            <w:tcW w:w="962" w:type="pct"/>
            <w:vAlign w:val="center"/>
          </w:tcPr>
          <w:p w14:paraId="0F4BDFC9"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R</w:t>
            </w:r>
            <w:r w:rsidRPr="00A94E39">
              <w:rPr>
                <w:rFonts w:eastAsia="Times New Roman" w:cs="Arial"/>
                <w:bCs/>
                <w:snapToGrid w:val="0"/>
                <w:sz w:val="14"/>
                <w:szCs w:val="14"/>
                <w:lang w:val="es-ES" w:eastAsia="pt-BR"/>
              </w:rPr>
              <w:t>isk coverage</w:t>
            </w:r>
          </w:p>
        </w:tc>
        <w:tc>
          <w:tcPr>
            <w:tcW w:w="2103" w:type="pct"/>
            <w:vAlign w:val="center"/>
          </w:tcPr>
          <w:p w14:paraId="6CD4CAB4"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Risk Coverage Pension Agreements</w:t>
            </w:r>
          </w:p>
        </w:tc>
        <w:tc>
          <w:tcPr>
            <w:tcW w:w="973" w:type="pct"/>
            <w:vAlign w:val="center"/>
          </w:tcPr>
          <w:p w14:paraId="3A714D6F"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BBA</w:t>
            </w:r>
          </w:p>
        </w:tc>
      </w:tr>
      <w:tr w:rsidR="006A362F" w:rsidRPr="009E6042" w14:paraId="63C322B5" w14:textId="77777777" w:rsidTr="00A94E39">
        <w:trPr>
          <w:trHeight w:val="170"/>
        </w:trPr>
        <w:tc>
          <w:tcPr>
            <w:tcW w:w="962" w:type="pct"/>
            <w:vMerge/>
            <w:vAlign w:val="center"/>
          </w:tcPr>
          <w:p w14:paraId="4DE641A0" w14:textId="77777777" w:rsidR="006A362F" w:rsidRDefault="006A362F" w:rsidP="006928A6">
            <w:pPr>
              <w:widowControl w:val="0"/>
              <w:spacing w:after="120" w:line="240" w:lineRule="auto"/>
              <w:ind w:left="57"/>
              <w:rPr>
                <w:rFonts w:eastAsia="Times New Roman" w:cs="Arial"/>
                <w:bCs/>
                <w:snapToGrid w:val="0"/>
                <w:sz w:val="14"/>
                <w:szCs w:val="14"/>
                <w:lang w:val="es-ES" w:eastAsia="pt-BR"/>
              </w:rPr>
            </w:pPr>
          </w:p>
        </w:tc>
        <w:tc>
          <w:tcPr>
            <w:tcW w:w="962" w:type="pct"/>
            <w:vAlign w:val="center"/>
          </w:tcPr>
          <w:p w14:paraId="15706308"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Conjugated VGBL</w:t>
            </w:r>
          </w:p>
        </w:tc>
        <w:tc>
          <w:tcPr>
            <w:tcW w:w="2103" w:type="pct"/>
            <w:vAlign w:val="center"/>
          </w:tcPr>
          <w:p w14:paraId="1393DD76" w14:textId="77777777" w:rsidR="006A362F" w:rsidRPr="009E6042" w:rsidRDefault="006A362F" w:rsidP="006928A6">
            <w:pPr>
              <w:widowControl w:val="0"/>
              <w:spacing w:after="120" w:line="240" w:lineRule="auto"/>
              <w:ind w:left="57"/>
              <w:rPr>
                <w:rFonts w:eastAsia="Times New Roman" w:cs="Arial"/>
                <w:b/>
                <w:bCs/>
                <w:snapToGrid w:val="0"/>
                <w:sz w:val="14"/>
                <w:szCs w:val="14"/>
                <w:lang w:val="es-ES" w:eastAsia="pt-BR"/>
              </w:rPr>
            </w:pPr>
            <w:r w:rsidRPr="00FC4DCD">
              <w:rPr>
                <w:rFonts w:eastAsia="Times New Roman" w:cs="Arial"/>
                <w:bCs/>
                <w:snapToGrid w:val="0"/>
                <w:sz w:val="14"/>
                <w:szCs w:val="14"/>
                <w:lang w:val="es-ES" w:eastAsia="pt-BR"/>
              </w:rPr>
              <w:t>Private pension contracts of the life plans that generate a conjugated free benefit</w:t>
            </w:r>
          </w:p>
        </w:tc>
        <w:tc>
          <w:tcPr>
            <w:tcW w:w="973" w:type="pct"/>
            <w:vAlign w:val="center"/>
          </w:tcPr>
          <w:p w14:paraId="2AA3AA25"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BBA</w:t>
            </w:r>
          </w:p>
        </w:tc>
      </w:tr>
      <w:tr w:rsidR="006A362F" w:rsidRPr="009E6042" w14:paraId="4472415E" w14:textId="77777777" w:rsidTr="00A94E39">
        <w:trPr>
          <w:trHeight w:val="170"/>
        </w:trPr>
        <w:tc>
          <w:tcPr>
            <w:tcW w:w="962" w:type="pct"/>
            <w:vMerge/>
            <w:vAlign w:val="center"/>
          </w:tcPr>
          <w:p w14:paraId="50176EB7" w14:textId="77777777" w:rsidR="006A362F" w:rsidRDefault="006A362F" w:rsidP="006928A6">
            <w:pPr>
              <w:widowControl w:val="0"/>
              <w:spacing w:after="120" w:line="240" w:lineRule="auto"/>
              <w:ind w:left="57"/>
              <w:rPr>
                <w:rFonts w:eastAsia="Times New Roman" w:cs="Arial"/>
                <w:bCs/>
                <w:snapToGrid w:val="0"/>
                <w:sz w:val="14"/>
                <w:szCs w:val="14"/>
                <w:lang w:val="es-ES" w:eastAsia="pt-BR"/>
              </w:rPr>
            </w:pPr>
          </w:p>
        </w:tc>
        <w:tc>
          <w:tcPr>
            <w:tcW w:w="962" w:type="pct"/>
            <w:vAlign w:val="center"/>
          </w:tcPr>
          <w:p w14:paraId="2DFF5113"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sidRPr="00A94E39">
              <w:rPr>
                <w:rFonts w:eastAsia="Times New Roman" w:cs="Arial"/>
                <w:bCs/>
                <w:snapToGrid w:val="0"/>
                <w:sz w:val="14"/>
                <w:szCs w:val="14"/>
                <w:lang w:val="es-ES" w:eastAsia="pt-BR"/>
              </w:rPr>
              <w:t>Reinsurance</w:t>
            </w:r>
          </w:p>
        </w:tc>
        <w:tc>
          <w:tcPr>
            <w:tcW w:w="2103" w:type="pct"/>
            <w:vAlign w:val="center"/>
          </w:tcPr>
          <w:p w14:paraId="36D623A3" w14:textId="77777777" w:rsidR="006A362F" w:rsidRPr="009E6042" w:rsidRDefault="006A362F" w:rsidP="006928A6">
            <w:pPr>
              <w:widowControl w:val="0"/>
              <w:spacing w:after="120" w:line="240" w:lineRule="auto"/>
              <w:ind w:left="57"/>
              <w:rPr>
                <w:rFonts w:eastAsia="Times New Roman" w:cs="Arial"/>
                <w:bCs/>
                <w:snapToGrid w:val="0"/>
                <w:sz w:val="14"/>
                <w:szCs w:val="14"/>
                <w:lang w:val="es-ES" w:eastAsia="pt-BR"/>
              </w:rPr>
            </w:pPr>
            <w:r>
              <w:rPr>
                <w:rFonts w:eastAsia="Times New Roman" w:cs="Arial"/>
                <w:bCs/>
                <w:snapToGrid w:val="0"/>
                <w:sz w:val="14"/>
                <w:szCs w:val="14"/>
                <w:lang w:val="es-ES" w:eastAsia="pt-BR"/>
              </w:rPr>
              <w:t>R</w:t>
            </w:r>
            <w:r w:rsidRPr="00FC4DCD">
              <w:rPr>
                <w:rFonts w:eastAsia="Times New Roman" w:cs="Arial"/>
                <w:bCs/>
                <w:snapToGrid w:val="0"/>
                <w:sz w:val="14"/>
                <w:szCs w:val="14"/>
                <w:lang w:val="es-ES" w:eastAsia="pt-BR"/>
              </w:rPr>
              <w:t>einsurance contracts</w:t>
            </w:r>
          </w:p>
        </w:tc>
        <w:tc>
          <w:tcPr>
            <w:tcW w:w="973" w:type="pct"/>
            <w:vAlign w:val="center"/>
          </w:tcPr>
          <w:p w14:paraId="502206F8"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BBA</w:t>
            </w:r>
          </w:p>
        </w:tc>
      </w:tr>
    </w:tbl>
    <w:p w14:paraId="6E4294DA" w14:textId="77777777" w:rsidR="006A362F" w:rsidRPr="00466C18" w:rsidRDefault="006A362F" w:rsidP="006A362F">
      <w:pPr>
        <w:pStyle w:val="PargrafodaLista"/>
        <w:numPr>
          <w:ilvl w:val="0"/>
          <w:numId w:val="43"/>
        </w:numPr>
        <w:jc w:val="both"/>
        <w:rPr>
          <w:rFonts w:ascii="Arial" w:eastAsia="Times New Roman" w:hAnsi="Arial" w:cs="Arial"/>
          <w:kern w:val="20"/>
          <w:sz w:val="14"/>
          <w:szCs w:val="16"/>
          <w:lang w:val="en-US" w:eastAsia="pt-BR"/>
        </w:rPr>
      </w:pPr>
      <w:r w:rsidRPr="00466C18">
        <w:rPr>
          <w:rFonts w:ascii="Arial" w:eastAsia="Times New Roman" w:hAnsi="Arial" w:cs="Arial"/>
          <w:kern w:val="20"/>
          <w:sz w:val="14"/>
          <w:szCs w:val="16"/>
          <w:lang w:val="en-US" w:eastAsia="pt-BR"/>
        </w:rPr>
        <w:t>BBA - Building Block Approach and VFA - Variable Fee Approach.</w:t>
      </w:r>
    </w:p>
    <w:p w14:paraId="0B556A02" w14:textId="77777777" w:rsidR="006A362F" w:rsidRPr="00A263A7" w:rsidRDefault="006A362F" w:rsidP="00A263A7">
      <w:pPr>
        <w:spacing w:after="0" w:line="240" w:lineRule="auto"/>
        <w:rPr>
          <w:rFonts w:eastAsia="Times New Roman" w:cs="Arial"/>
          <w:b/>
          <w:color w:val="1F4E79" w:themeColor="accent1" w:themeShade="80"/>
          <w:spacing w:val="-2"/>
          <w:szCs w:val="18"/>
          <w:lang w:val="en-US" w:eastAsia="pt-BR"/>
        </w:rPr>
      </w:pPr>
      <w:r w:rsidRPr="00A263A7">
        <w:rPr>
          <w:rFonts w:eastAsia="Times New Roman" w:cs="Arial"/>
          <w:b/>
          <w:color w:val="1F4E79" w:themeColor="accent1" w:themeShade="80"/>
          <w:spacing w:val="-2"/>
          <w:szCs w:val="18"/>
          <w:lang w:val="en-US" w:eastAsia="pt-BR"/>
        </w:rPr>
        <w:t>Initial Adoption of CPC 50 [IFRS 17] and CPC 48 [IFRS 9]</w:t>
      </w:r>
    </w:p>
    <w:p w14:paraId="66D0771C" w14:textId="77777777" w:rsidR="006A362F" w:rsidRPr="00A263A7" w:rsidRDefault="006A362F" w:rsidP="00A263A7">
      <w:pPr>
        <w:spacing w:after="0" w:line="240" w:lineRule="auto"/>
        <w:rPr>
          <w:rFonts w:eastAsia="Times New Roman" w:cs="Arial"/>
          <w:b/>
          <w:color w:val="1F4E79" w:themeColor="accent1" w:themeShade="80"/>
          <w:spacing w:val="-2"/>
          <w:szCs w:val="18"/>
          <w:lang w:val="en-US" w:eastAsia="pt-BR"/>
        </w:rPr>
      </w:pPr>
    </w:p>
    <w:p w14:paraId="667669B3" w14:textId="77777777" w:rsidR="006A362F" w:rsidRPr="00A263A7" w:rsidRDefault="006A362F" w:rsidP="00A263A7">
      <w:pPr>
        <w:jc w:val="both"/>
        <w:rPr>
          <w:rFonts w:eastAsia="Times New Roman" w:cs="Arial"/>
          <w:kern w:val="20"/>
          <w:szCs w:val="20"/>
          <w:lang w:val="en-US" w:eastAsia="pt-BR"/>
        </w:rPr>
      </w:pPr>
      <w:r w:rsidRPr="00A263A7">
        <w:rPr>
          <w:rFonts w:eastAsia="Times New Roman" w:cs="Arial"/>
          <w:kern w:val="20"/>
          <w:szCs w:val="20"/>
          <w:lang w:val="en-US" w:eastAsia="pt-BR"/>
        </w:rPr>
        <w:t>The changes in accounting policies, resulting from CPC 50 [IFRS 17], were applied using the modified retrospective approach for all contracts, since until December 2020 it was possible to evaluate the amounts of insurance liabilities, with the recognition in BB Security on January 1, 2021.</w:t>
      </w:r>
    </w:p>
    <w:p w14:paraId="67C1F3E2" w14:textId="77777777" w:rsidR="006A362F" w:rsidRPr="00A263A7" w:rsidRDefault="006A362F" w:rsidP="00A263A7">
      <w:pPr>
        <w:jc w:val="both"/>
        <w:rPr>
          <w:rFonts w:eastAsia="Times New Roman" w:cs="Arial"/>
          <w:kern w:val="20"/>
          <w:szCs w:val="20"/>
          <w:lang w:val="en-US" w:eastAsia="pt-BR"/>
        </w:rPr>
      </w:pPr>
      <w:r w:rsidRPr="00A263A7">
        <w:rPr>
          <w:rFonts w:eastAsia="Times New Roman" w:cs="Arial"/>
          <w:kern w:val="20"/>
          <w:szCs w:val="20"/>
          <w:lang w:val="en-US" w:eastAsia="pt-BR"/>
        </w:rPr>
        <w:t>Regarding the impacts of IFRS 9, the classification of financial assets, according to IFRS 9, is based on the business model in which a financial asset is managed together with the contractual cash flow characteristics. Regarding the impacts of IFRS 9, an expected loss was recognized in the amount of R$ 4,883 thousand.</w:t>
      </w:r>
    </w:p>
    <w:p w14:paraId="16B6089C" w14:textId="77777777" w:rsidR="006A362F" w:rsidRPr="00A263A7" w:rsidRDefault="006A362F" w:rsidP="00A263A7">
      <w:pPr>
        <w:jc w:val="both"/>
        <w:rPr>
          <w:rFonts w:eastAsia="Times New Roman" w:cs="Arial"/>
          <w:kern w:val="20"/>
          <w:szCs w:val="20"/>
          <w:lang w:val="en-US" w:eastAsia="pt-BR"/>
        </w:rPr>
      </w:pPr>
      <w:r w:rsidRPr="00A263A7">
        <w:rPr>
          <w:rFonts w:eastAsia="Times New Roman" w:cs="Arial"/>
          <w:kern w:val="20"/>
          <w:szCs w:val="20"/>
          <w:lang w:val="en-US" w:eastAsia="pt-BR"/>
        </w:rPr>
        <w:t>For the purpose of calculating the transition impacts on shareholders' equity, the opening balances as of December 2021 are presented, as shown in the table below:</w:t>
      </w:r>
    </w:p>
    <w:p w14:paraId="6075048A" w14:textId="77777777" w:rsidR="006A362F" w:rsidRPr="00B77F46" w:rsidRDefault="006A362F" w:rsidP="00076945">
      <w:pPr>
        <w:pStyle w:val="01-TtulodeNota"/>
        <w:spacing w:before="0" w:after="0"/>
        <w:jc w:val="right"/>
        <w:rPr>
          <w:sz w:val="14"/>
          <w:szCs w:val="14"/>
        </w:rPr>
      </w:pPr>
      <w:r w:rsidRPr="00B77F46">
        <w:rPr>
          <w:sz w:val="14"/>
          <w:szCs w:val="14"/>
        </w:rPr>
        <w:t xml:space="preserve">R$ </w:t>
      </w:r>
      <w:r>
        <w:rPr>
          <w:sz w:val="14"/>
          <w:szCs w:val="14"/>
        </w:rPr>
        <w:t>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466C18" w14:paraId="0CFEE878" w14:textId="77777777" w:rsidTr="006928A6">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043C00FF" w14:textId="77777777" w:rsidR="006A362F" w:rsidRPr="003222DA" w:rsidRDefault="006A362F" w:rsidP="006928A6">
            <w:pPr>
              <w:pStyle w:val="08-Tabelageral"/>
              <w:jc w:val="center"/>
              <w:rPr>
                <w:rFonts w:cs="Arial"/>
                <w:b/>
                <w:szCs w:val="14"/>
                <w:lang w:val="en-US"/>
              </w:rPr>
            </w:pPr>
            <w:r w:rsidRPr="003222DA">
              <w:rPr>
                <w:rFonts w:cs="Arial"/>
                <w:b/>
                <w:szCs w:val="14"/>
                <w:lang w:val="en-US"/>
              </w:rPr>
              <w:t>Equity Reconciliation - Effects of the adoption of CPC 50 [IFRS 17] and CPC 48 [IFRS 9]</w:t>
            </w:r>
          </w:p>
        </w:tc>
      </w:tr>
      <w:tr w:rsidR="006A362F" w:rsidRPr="000644A1" w14:paraId="476691B5"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2A28EF0E" w14:textId="77777777" w:rsidR="006A362F" w:rsidRPr="00C33BBD" w:rsidRDefault="006A362F" w:rsidP="006928A6">
            <w:pPr>
              <w:pStyle w:val="08-Tabelageral"/>
              <w:jc w:val="left"/>
              <w:rPr>
                <w:rFonts w:cs="Arial"/>
                <w:b/>
                <w:bCs/>
                <w:szCs w:val="14"/>
              </w:rPr>
            </w:pPr>
            <w:r>
              <w:rPr>
                <w:rFonts w:cs="Arial"/>
                <w:b/>
                <w:bCs/>
                <w:szCs w:val="14"/>
              </w:rPr>
              <w:t>Equity on</w:t>
            </w:r>
            <w:r w:rsidRPr="00C33BBD">
              <w:rPr>
                <w:rFonts w:cs="Arial"/>
                <w:b/>
                <w:bCs/>
                <w:szCs w:val="14"/>
              </w:rPr>
              <w:t xml:space="preserve"> </w:t>
            </w:r>
            <w:r>
              <w:rPr>
                <w:rFonts w:cs="Arial"/>
                <w:b/>
                <w:bCs/>
                <w:szCs w:val="14"/>
              </w:rPr>
              <w:t>Dec 31,</w:t>
            </w:r>
            <w:r w:rsidRPr="00C33BBD">
              <w:rPr>
                <w:rFonts w:cs="Arial"/>
                <w:b/>
                <w:bCs/>
                <w:szCs w:val="14"/>
              </w:rPr>
              <w:t>2021</w:t>
            </w:r>
          </w:p>
        </w:tc>
        <w:tc>
          <w:tcPr>
            <w:tcW w:w="2267" w:type="dxa"/>
            <w:tcBorders>
              <w:top w:val="single" w:sz="2" w:space="0" w:color="1F4E79" w:themeColor="accent1" w:themeShade="80"/>
            </w:tcBorders>
            <w:shd w:val="clear" w:color="auto" w:fill="auto"/>
            <w:vAlign w:val="center"/>
          </w:tcPr>
          <w:p w14:paraId="7F67AD0C" w14:textId="77777777" w:rsidR="006A362F" w:rsidRPr="00C33BBD" w:rsidRDefault="006A362F" w:rsidP="006928A6">
            <w:pPr>
              <w:pStyle w:val="08-Tabelageral"/>
              <w:rPr>
                <w:rFonts w:cs="Arial"/>
                <w:b/>
                <w:bCs/>
                <w:szCs w:val="14"/>
              </w:rPr>
            </w:pPr>
            <w:r w:rsidRPr="00C33BBD">
              <w:rPr>
                <w:rFonts w:cs="Arial"/>
                <w:b/>
                <w:bCs/>
                <w:szCs w:val="14"/>
              </w:rPr>
              <w:t>5</w:t>
            </w:r>
            <w:r>
              <w:rPr>
                <w:rFonts w:cs="Arial"/>
                <w:b/>
                <w:bCs/>
                <w:szCs w:val="14"/>
              </w:rPr>
              <w:t>,</w:t>
            </w:r>
            <w:r w:rsidRPr="00C33BBD">
              <w:rPr>
                <w:rFonts w:cs="Arial"/>
                <w:b/>
                <w:bCs/>
                <w:szCs w:val="14"/>
              </w:rPr>
              <w:t>833</w:t>
            </w:r>
            <w:r>
              <w:rPr>
                <w:rFonts w:cs="Arial"/>
                <w:b/>
                <w:bCs/>
                <w:szCs w:val="14"/>
              </w:rPr>
              <w:t>,</w:t>
            </w:r>
            <w:r w:rsidRPr="00C33BBD">
              <w:rPr>
                <w:rFonts w:cs="Arial"/>
                <w:b/>
                <w:bCs/>
                <w:szCs w:val="14"/>
              </w:rPr>
              <w:t>437</w:t>
            </w:r>
          </w:p>
        </w:tc>
      </w:tr>
      <w:tr w:rsidR="006A362F" w:rsidRPr="00143235" w14:paraId="14C4C577" w14:textId="77777777" w:rsidTr="006928A6">
        <w:trPr>
          <w:trHeight w:val="238"/>
          <w:jc w:val="center"/>
        </w:trPr>
        <w:tc>
          <w:tcPr>
            <w:tcW w:w="7372" w:type="dxa"/>
            <w:tcBorders>
              <w:top w:val="single" w:sz="2" w:space="0" w:color="1F4E79" w:themeColor="accent1" w:themeShade="80"/>
            </w:tcBorders>
            <w:shd w:val="clear" w:color="auto" w:fill="auto"/>
          </w:tcPr>
          <w:p w14:paraId="44F09968" w14:textId="77777777" w:rsidR="006A362F" w:rsidRPr="00981C76" w:rsidRDefault="006A362F" w:rsidP="006928A6">
            <w:pPr>
              <w:pStyle w:val="08-Tabelageral"/>
              <w:ind w:left="113"/>
              <w:jc w:val="left"/>
              <w:rPr>
                <w:rFonts w:cs="Arial"/>
                <w:szCs w:val="14"/>
              </w:rPr>
            </w:pPr>
            <w:r>
              <w:rPr>
                <w:rFonts w:cs="Arial"/>
                <w:szCs w:val="14"/>
              </w:rPr>
              <w:t>Total impact</w:t>
            </w:r>
          </w:p>
        </w:tc>
        <w:tc>
          <w:tcPr>
            <w:tcW w:w="2267" w:type="dxa"/>
            <w:tcBorders>
              <w:top w:val="single" w:sz="2" w:space="0" w:color="1F4E79" w:themeColor="accent1" w:themeShade="80"/>
            </w:tcBorders>
            <w:shd w:val="clear" w:color="auto" w:fill="auto"/>
          </w:tcPr>
          <w:p w14:paraId="5D39FDA7" w14:textId="77777777" w:rsidR="006A362F" w:rsidRPr="00143235" w:rsidRDefault="006A362F" w:rsidP="006928A6">
            <w:pPr>
              <w:pStyle w:val="08-Tabelageral"/>
              <w:rPr>
                <w:rFonts w:cs="Arial"/>
                <w:szCs w:val="14"/>
              </w:rPr>
            </w:pPr>
            <w:r w:rsidRPr="00981C76">
              <w:t>(219</w:t>
            </w:r>
            <w:r>
              <w:t>,</w:t>
            </w:r>
            <w:r w:rsidRPr="00981C76">
              <w:t>916)</w:t>
            </w:r>
          </w:p>
        </w:tc>
      </w:tr>
      <w:tr w:rsidR="006A362F" w:rsidRPr="0048242D" w14:paraId="777FD030" w14:textId="77777777" w:rsidTr="006928A6">
        <w:trPr>
          <w:trHeight w:val="238"/>
          <w:jc w:val="center"/>
        </w:trPr>
        <w:tc>
          <w:tcPr>
            <w:tcW w:w="7372" w:type="dxa"/>
            <w:shd w:val="clear" w:color="auto" w:fill="auto"/>
          </w:tcPr>
          <w:p w14:paraId="5BD818E1" w14:textId="77777777" w:rsidR="006A362F" w:rsidRPr="00190ECA" w:rsidRDefault="006A362F" w:rsidP="006928A6">
            <w:pPr>
              <w:pStyle w:val="08-Tabelageral"/>
              <w:jc w:val="left"/>
              <w:rPr>
                <w:rFonts w:cs="Arial"/>
                <w:b/>
                <w:bCs/>
                <w:szCs w:val="14"/>
                <w:lang w:val="en-US"/>
              </w:rPr>
            </w:pPr>
            <w:r w:rsidRPr="00190ECA">
              <w:rPr>
                <w:rFonts w:cs="Arial"/>
                <w:b/>
                <w:bCs/>
                <w:szCs w:val="14"/>
                <w:lang w:val="en-US"/>
              </w:rPr>
              <w:t>Equity on Jan 01, 2022, after adjustments of CPC 50 [IFRS 17] and CPC 48 [IFRS 9]</w:t>
            </w:r>
          </w:p>
        </w:tc>
        <w:tc>
          <w:tcPr>
            <w:tcW w:w="2267" w:type="dxa"/>
            <w:shd w:val="clear" w:color="auto" w:fill="auto"/>
          </w:tcPr>
          <w:p w14:paraId="0C3F67DA" w14:textId="77777777" w:rsidR="006A362F" w:rsidRPr="00FA17F3" w:rsidRDefault="006A362F" w:rsidP="006928A6">
            <w:pPr>
              <w:pStyle w:val="08-Tabelageral"/>
              <w:rPr>
                <w:rFonts w:cs="Arial"/>
                <w:b/>
                <w:bCs/>
                <w:szCs w:val="14"/>
              </w:rPr>
            </w:pPr>
            <w:r w:rsidRPr="00FA17F3">
              <w:rPr>
                <w:rFonts w:cs="Arial"/>
                <w:b/>
                <w:bCs/>
                <w:szCs w:val="14"/>
              </w:rPr>
              <w:t>5</w:t>
            </w:r>
            <w:r>
              <w:rPr>
                <w:rFonts w:cs="Arial"/>
                <w:b/>
                <w:bCs/>
                <w:szCs w:val="14"/>
              </w:rPr>
              <w:t>,</w:t>
            </w:r>
            <w:r w:rsidRPr="00FA17F3">
              <w:rPr>
                <w:rFonts w:cs="Arial"/>
                <w:b/>
                <w:bCs/>
                <w:szCs w:val="14"/>
              </w:rPr>
              <w:t>613</w:t>
            </w:r>
            <w:r>
              <w:rPr>
                <w:rFonts w:cs="Arial"/>
                <w:b/>
                <w:bCs/>
                <w:szCs w:val="14"/>
              </w:rPr>
              <w:t>,</w:t>
            </w:r>
            <w:r w:rsidRPr="00FA17F3">
              <w:rPr>
                <w:rFonts w:cs="Arial"/>
                <w:b/>
                <w:bCs/>
                <w:szCs w:val="14"/>
              </w:rPr>
              <w:t>521</w:t>
            </w:r>
          </w:p>
        </w:tc>
      </w:tr>
    </w:tbl>
    <w:p w14:paraId="7D62B1E7"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4E4FDD7C" w14:textId="77777777" w:rsidR="006A362F" w:rsidRDefault="006A362F" w:rsidP="00076945">
      <w:pPr>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t>Income Statement Information</w:t>
      </w:r>
    </w:p>
    <w:p w14:paraId="743EA2FB"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6A362F" w:rsidRPr="00EB59D3" w14:paraId="51B13EF5"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1FF7032" w14:textId="77777777" w:rsidR="006A362F" w:rsidRPr="00EB59D3" w:rsidRDefault="006A362F" w:rsidP="006928A6">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F7FEF20" w14:textId="77777777" w:rsidR="006A362F" w:rsidRPr="00EB59D3"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w:t>
            </w:r>
            <w:r w:rsidRPr="00A263A7">
              <w:rPr>
                <w:rFonts w:cs="Arial"/>
                <w:sz w:val="14"/>
                <w:szCs w:val="14"/>
                <w:vertAlign w:val="superscript"/>
              </w:rPr>
              <w:t>st</w:t>
            </w:r>
            <w:r>
              <w:rPr>
                <w:rFonts w:cs="Arial"/>
                <w:sz w:val="14"/>
                <w:szCs w:val="14"/>
              </w:rPr>
              <w:t xml:space="preserve"> Quarter 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A058AF9" w14:textId="77777777" w:rsidR="006A362F" w:rsidRPr="00EB59D3"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w:t>
            </w:r>
            <w:r w:rsidRPr="00A263A7">
              <w:rPr>
                <w:rFonts w:cs="Arial"/>
                <w:sz w:val="14"/>
                <w:szCs w:val="14"/>
                <w:vertAlign w:val="superscript"/>
              </w:rPr>
              <w:t>st</w:t>
            </w:r>
            <w:r>
              <w:rPr>
                <w:rFonts w:cs="Arial"/>
                <w:sz w:val="14"/>
                <w:szCs w:val="14"/>
              </w:rPr>
              <w:t xml:space="preserve"> Quarter 2022</w:t>
            </w:r>
            <w:r w:rsidRPr="00EB59D3">
              <w:rPr>
                <w:rFonts w:cs="Arial"/>
                <w:sz w:val="14"/>
                <w:szCs w:val="14"/>
              </w:rPr>
              <w:t xml:space="preserve"> (</w:t>
            </w:r>
            <w:r>
              <w:rPr>
                <w:rFonts w:cs="Arial"/>
                <w:sz w:val="14"/>
                <w:szCs w:val="14"/>
              </w:rPr>
              <w:t>Restated balances</w:t>
            </w:r>
            <w:r w:rsidRPr="00EB59D3">
              <w:rPr>
                <w:rFonts w:cs="Arial"/>
                <w:sz w:val="14"/>
                <w:szCs w:val="14"/>
              </w:rPr>
              <w:t>)</w:t>
            </w:r>
          </w:p>
        </w:tc>
      </w:tr>
      <w:tr w:rsidR="006A362F" w:rsidRPr="00D4490E" w14:paraId="5B706D1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17C9284E" w14:textId="77777777" w:rsidR="006A362F" w:rsidRPr="00D4490E" w:rsidRDefault="006A362F" w:rsidP="006928A6">
            <w:pPr>
              <w:keepNext/>
              <w:keepLines/>
              <w:rPr>
                <w:rFonts w:eastAsia="Times New Roman" w:cs="Arial"/>
                <w:spacing w:val="-2"/>
                <w:sz w:val="14"/>
                <w:szCs w:val="14"/>
              </w:rPr>
            </w:pPr>
            <w:r>
              <w:rPr>
                <w:rFonts w:cs="Arial"/>
                <w:sz w:val="14"/>
                <w:szCs w:val="14"/>
              </w:rPr>
              <w:t>Result of insurance contracts</w:t>
            </w:r>
          </w:p>
        </w:tc>
        <w:tc>
          <w:tcPr>
            <w:tcW w:w="2906" w:type="dxa"/>
            <w:tcBorders>
              <w:top w:val="single" w:sz="2" w:space="0" w:color="1F4E79" w:themeColor="accent1" w:themeShade="80"/>
              <w:left w:val="nil"/>
              <w:bottom w:val="nil"/>
              <w:right w:val="nil"/>
            </w:tcBorders>
            <w:shd w:val="clear" w:color="auto" w:fill="auto"/>
            <w:vAlign w:val="center"/>
          </w:tcPr>
          <w:p w14:paraId="1B1BF003" w14:textId="77777777" w:rsidR="006A362F" w:rsidRPr="00500E52"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00E52">
              <w:rPr>
                <w:rFonts w:cs="Arial"/>
                <w:b/>
                <w:bCs/>
                <w:sz w:val="14"/>
                <w:szCs w:val="14"/>
              </w:rPr>
              <w:t>918</w:t>
            </w:r>
            <w:r>
              <w:rPr>
                <w:rFonts w:cs="Arial"/>
                <w:b/>
                <w:bCs/>
                <w:sz w:val="14"/>
                <w:szCs w:val="14"/>
              </w:rPr>
              <w:t>,</w:t>
            </w:r>
            <w:r w:rsidRPr="00500E52">
              <w:rPr>
                <w:rFonts w:cs="Arial"/>
                <w:b/>
                <w:bCs/>
                <w:sz w:val="14"/>
                <w:szCs w:val="14"/>
              </w:rPr>
              <w:t>582</w:t>
            </w:r>
          </w:p>
        </w:tc>
        <w:tc>
          <w:tcPr>
            <w:tcW w:w="2906" w:type="dxa"/>
            <w:tcBorders>
              <w:top w:val="single" w:sz="2" w:space="0" w:color="1F4E79" w:themeColor="accent1" w:themeShade="80"/>
              <w:left w:val="nil"/>
              <w:bottom w:val="nil"/>
              <w:right w:val="nil"/>
            </w:tcBorders>
            <w:shd w:val="clear" w:color="auto" w:fill="auto"/>
            <w:vAlign w:val="center"/>
          </w:tcPr>
          <w:p w14:paraId="19D354FF" w14:textId="77777777" w:rsidR="006A362F" w:rsidRPr="00500E52"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500E52">
              <w:rPr>
                <w:rFonts w:cs="Arial"/>
                <w:sz w:val="14"/>
                <w:szCs w:val="14"/>
              </w:rPr>
              <w:t xml:space="preserve"> 879</w:t>
            </w:r>
            <w:r>
              <w:rPr>
                <w:rFonts w:cs="Arial"/>
                <w:sz w:val="14"/>
                <w:szCs w:val="14"/>
              </w:rPr>
              <w:t>,</w:t>
            </w:r>
            <w:r w:rsidRPr="00500E52">
              <w:rPr>
                <w:rFonts w:cs="Arial"/>
                <w:sz w:val="14"/>
                <w:szCs w:val="14"/>
              </w:rPr>
              <w:t xml:space="preserve">124 </w:t>
            </w:r>
          </w:p>
        </w:tc>
      </w:tr>
      <w:tr w:rsidR="006A362F" w:rsidRPr="00EB59D3" w14:paraId="30C02F36"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314E206" w14:textId="77777777" w:rsidR="006A362F" w:rsidRPr="00EB59D3" w:rsidRDefault="006A362F" w:rsidP="006928A6">
            <w:pPr>
              <w:keepNext/>
              <w:keepLines/>
              <w:ind w:left="113"/>
              <w:rPr>
                <w:rFonts w:cs="Arial"/>
                <w:b w:val="0"/>
                <w:bCs w:val="0"/>
                <w:sz w:val="14"/>
                <w:szCs w:val="14"/>
              </w:rPr>
            </w:pPr>
            <w:r>
              <w:rPr>
                <w:rFonts w:cs="Arial"/>
                <w:b w:val="0"/>
                <w:bCs w:val="0"/>
                <w:sz w:val="14"/>
                <w:szCs w:val="14"/>
              </w:rPr>
              <w:t>Result of contracts</w:t>
            </w:r>
            <w:r w:rsidRPr="00EB59D3">
              <w:rPr>
                <w:rFonts w:cs="Arial"/>
                <w:b w:val="0"/>
                <w:bCs w:val="0"/>
                <w:sz w:val="14"/>
                <w:szCs w:val="14"/>
              </w:rPr>
              <w:t xml:space="preserve"> BBA</w:t>
            </w:r>
            <w:r>
              <w:rPr>
                <w:rFonts w:cs="Arial"/>
                <w:b w:val="0"/>
                <w:bCs w:val="0"/>
                <w:sz w:val="14"/>
                <w:szCs w:val="14"/>
              </w:rPr>
              <w:t xml:space="preserve"> </w:t>
            </w:r>
            <w:r w:rsidRPr="00F44763">
              <w:rPr>
                <w:rFonts w:cs="Arial"/>
                <w:b w:val="0"/>
                <w:bCs w:val="0"/>
                <w:sz w:val="14"/>
                <w:szCs w:val="14"/>
                <w:vertAlign w:val="superscript"/>
              </w:rPr>
              <w:t>(1)</w:t>
            </w:r>
          </w:p>
        </w:tc>
        <w:tc>
          <w:tcPr>
            <w:tcW w:w="2906" w:type="dxa"/>
            <w:tcBorders>
              <w:top w:val="nil"/>
              <w:left w:val="nil"/>
              <w:bottom w:val="nil"/>
              <w:right w:val="nil"/>
            </w:tcBorders>
            <w:shd w:val="clear" w:color="auto" w:fill="auto"/>
            <w:vAlign w:val="center"/>
          </w:tcPr>
          <w:p w14:paraId="532FA02C"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148</w:t>
            </w:r>
            <w:r>
              <w:rPr>
                <w:rFonts w:cs="Arial"/>
                <w:sz w:val="14"/>
                <w:szCs w:val="14"/>
              </w:rPr>
              <w:t>,</w:t>
            </w:r>
            <w:r w:rsidRPr="00500E52">
              <w:rPr>
                <w:rFonts w:cs="Arial"/>
                <w:sz w:val="14"/>
                <w:szCs w:val="14"/>
              </w:rPr>
              <w:t xml:space="preserve">424 </w:t>
            </w:r>
          </w:p>
        </w:tc>
        <w:tc>
          <w:tcPr>
            <w:tcW w:w="2906" w:type="dxa"/>
            <w:tcBorders>
              <w:top w:val="nil"/>
              <w:left w:val="nil"/>
              <w:bottom w:val="nil"/>
              <w:right w:val="nil"/>
            </w:tcBorders>
            <w:shd w:val="clear" w:color="auto" w:fill="auto"/>
            <w:vAlign w:val="center"/>
          </w:tcPr>
          <w:p w14:paraId="6520A754"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137</w:t>
            </w:r>
            <w:r>
              <w:rPr>
                <w:rFonts w:cs="Arial"/>
                <w:sz w:val="14"/>
                <w:szCs w:val="14"/>
              </w:rPr>
              <w:t>,</w:t>
            </w:r>
            <w:r w:rsidRPr="00500E52">
              <w:rPr>
                <w:rFonts w:cs="Arial"/>
                <w:sz w:val="14"/>
                <w:szCs w:val="14"/>
              </w:rPr>
              <w:t>42</w:t>
            </w:r>
            <w:r>
              <w:rPr>
                <w:rFonts w:cs="Arial"/>
                <w:sz w:val="14"/>
                <w:szCs w:val="14"/>
              </w:rPr>
              <w:t>4</w:t>
            </w:r>
            <w:r w:rsidRPr="00500E52">
              <w:rPr>
                <w:rFonts w:cs="Arial"/>
                <w:sz w:val="14"/>
                <w:szCs w:val="14"/>
              </w:rPr>
              <w:t xml:space="preserve"> </w:t>
            </w:r>
          </w:p>
        </w:tc>
      </w:tr>
      <w:tr w:rsidR="006A362F" w:rsidRPr="00EB59D3" w14:paraId="358B31C7"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7E00175" w14:textId="77777777" w:rsidR="006A362F" w:rsidRPr="00EB59D3" w:rsidRDefault="006A362F" w:rsidP="006928A6">
            <w:pPr>
              <w:keepNext/>
              <w:keepLines/>
              <w:spacing w:before="40" w:after="40"/>
              <w:ind w:left="113"/>
              <w:rPr>
                <w:rFonts w:cs="Arial"/>
                <w:b w:val="0"/>
                <w:bCs w:val="0"/>
                <w:sz w:val="14"/>
                <w:szCs w:val="14"/>
              </w:rPr>
            </w:pPr>
            <w:r>
              <w:rPr>
                <w:rFonts w:cs="Arial"/>
                <w:b w:val="0"/>
                <w:bCs w:val="0"/>
                <w:sz w:val="14"/>
                <w:szCs w:val="14"/>
              </w:rPr>
              <w:t>Result of contracts</w:t>
            </w:r>
            <w:r w:rsidRPr="00EB59D3">
              <w:rPr>
                <w:rFonts w:cs="Arial"/>
                <w:b w:val="0"/>
                <w:bCs w:val="0"/>
                <w:sz w:val="14"/>
                <w:szCs w:val="14"/>
              </w:rPr>
              <w:t xml:space="preserve"> VFA</w:t>
            </w:r>
            <w:r>
              <w:rPr>
                <w:rFonts w:cs="Arial"/>
                <w:b w:val="0"/>
                <w:bCs w:val="0"/>
                <w:sz w:val="14"/>
                <w:szCs w:val="14"/>
              </w:rPr>
              <w:t xml:space="preserve"> </w:t>
            </w:r>
            <w:r w:rsidRPr="00F44763">
              <w:rPr>
                <w:rFonts w:cs="Arial"/>
                <w:b w:val="0"/>
                <w:bCs w:val="0"/>
                <w:sz w:val="14"/>
                <w:szCs w:val="14"/>
                <w:vertAlign w:val="superscript"/>
              </w:rPr>
              <w:t>(1)</w:t>
            </w:r>
          </w:p>
        </w:tc>
        <w:tc>
          <w:tcPr>
            <w:tcW w:w="2906" w:type="dxa"/>
            <w:tcBorders>
              <w:top w:val="nil"/>
              <w:left w:val="nil"/>
              <w:bottom w:val="nil"/>
              <w:right w:val="nil"/>
            </w:tcBorders>
            <w:shd w:val="clear" w:color="auto" w:fill="auto"/>
            <w:vAlign w:val="center"/>
          </w:tcPr>
          <w:p w14:paraId="47A4D359" w14:textId="77777777" w:rsidR="006A362F" w:rsidRPr="00500E52"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770</w:t>
            </w:r>
            <w:r>
              <w:rPr>
                <w:rFonts w:cs="Arial"/>
                <w:sz w:val="14"/>
                <w:szCs w:val="14"/>
              </w:rPr>
              <w:t>,</w:t>
            </w:r>
            <w:r w:rsidRPr="00500E52">
              <w:rPr>
                <w:rFonts w:cs="Arial"/>
                <w:sz w:val="14"/>
                <w:szCs w:val="14"/>
              </w:rPr>
              <w:t>158</w:t>
            </w:r>
          </w:p>
        </w:tc>
        <w:tc>
          <w:tcPr>
            <w:tcW w:w="2906" w:type="dxa"/>
            <w:tcBorders>
              <w:top w:val="nil"/>
              <w:left w:val="nil"/>
              <w:bottom w:val="nil"/>
              <w:right w:val="nil"/>
            </w:tcBorders>
            <w:shd w:val="clear" w:color="auto" w:fill="auto"/>
            <w:vAlign w:val="center"/>
          </w:tcPr>
          <w:p w14:paraId="194CE21D" w14:textId="77777777" w:rsidR="006A362F" w:rsidRPr="00500E52"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 xml:space="preserve"> 741</w:t>
            </w:r>
            <w:r>
              <w:rPr>
                <w:rFonts w:cs="Arial"/>
                <w:sz w:val="14"/>
                <w:szCs w:val="14"/>
              </w:rPr>
              <w:t>,</w:t>
            </w:r>
            <w:r w:rsidRPr="00500E52">
              <w:rPr>
                <w:rFonts w:cs="Arial"/>
                <w:sz w:val="14"/>
                <w:szCs w:val="14"/>
              </w:rPr>
              <w:t xml:space="preserve">700 </w:t>
            </w:r>
          </w:p>
        </w:tc>
      </w:tr>
      <w:tr w:rsidR="006A362F" w:rsidRPr="00EB59D3" w14:paraId="6DBDA114"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8015E75" w14:textId="77777777" w:rsidR="006A362F" w:rsidRPr="00EB59D3" w:rsidRDefault="006A362F" w:rsidP="006928A6">
            <w:pPr>
              <w:keepNext/>
              <w:keepLines/>
              <w:rPr>
                <w:rFonts w:cs="Arial"/>
                <w:b w:val="0"/>
                <w:bCs w:val="0"/>
                <w:sz w:val="14"/>
                <w:szCs w:val="14"/>
              </w:rPr>
            </w:pPr>
            <w:r>
              <w:rPr>
                <w:rFonts w:cs="Arial"/>
                <w:b w:val="0"/>
                <w:bCs w:val="0"/>
                <w:sz w:val="14"/>
                <w:szCs w:val="14"/>
              </w:rPr>
              <w:t>Insurance expenses</w:t>
            </w:r>
          </w:p>
        </w:tc>
        <w:tc>
          <w:tcPr>
            <w:tcW w:w="2906" w:type="dxa"/>
            <w:tcBorders>
              <w:top w:val="nil"/>
              <w:left w:val="nil"/>
              <w:bottom w:val="nil"/>
              <w:right w:val="nil"/>
            </w:tcBorders>
            <w:shd w:val="clear" w:color="auto" w:fill="auto"/>
            <w:vAlign w:val="center"/>
          </w:tcPr>
          <w:p w14:paraId="27918D11"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(123</w:t>
            </w:r>
            <w:r>
              <w:rPr>
                <w:rFonts w:cs="Arial"/>
                <w:sz w:val="14"/>
                <w:szCs w:val="14"/>
              </w:rPr>
              <w:t>,</w:t>
            </w:r>
            <w:r w:rsidRPr="00500E52">
              <w:rPr>
                <w:rFonts w:cs="Arial"/>
                <w:sz w:val="14"/>
                <w:szCs w:val="14"/>
              </w:rPr>
              <w:t>967)</w:t>
            </w:r>
          </w:p>
        </w:tc>
        <w:tc>
          <w:tcPr>
            <w:tcW w:w="2906" w:type="dxa"/>
            <w:tcBorders>
              <w:top w:val="nil"/>
              <w:left w:val="nil"/>
              <w:bottom w:val="nil"/>
              <w:right w:val="nil"/>
            </w:tcBorders>
            <w:shd w:val="clear" w:color="auto" w:fill="auto"/>
            <w:vAlign w:val="center"/>
          </w:tcPr>
          <w:p w14:paraId="15DD817F"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(866</w:t>
            </w:r>
            <w:r>
              <w:rPr>
                <w:rFonts w:cs="Arial"/>
                <w:sz w:val="14"/>
                <w:szCs w:val="14"/>
              </w:rPr>
              <w:t>,</w:t>
            </w:r>
            <w:r w:rsidRPr="00500E52">
              <w:rPr>
                <w:rFonts w:cs="Arial"/>
                <w:sz w:val="14"/>
                <w:szCs w:val="14"/>
              </w:rPr>
              <w:t>008)</w:t>
            </w:r>
          </w:p>
        </w:tc>
      </w:tr>
      <w:tr w:rsidR="006A362F" w:rsidRPr="00D4490E" w14:paraId="75EA8C7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ED96218" w14:textId="77777777" w:rsidR="006A362F" w:rsidRPr="00D4490E" w:rsidRDefault="006A362F" w:rsidP="006928A6">
            <w:pPr>
              <w:keepNext/>
              <w:keepLines/>
              <w:rPr>
                <w:rFonts w:cs="Arial"/>
                <w:sz w:val="14"/>
                <w:szCs w:val="14"/>
              </w:rPr>
            </w:pPr>
            <w:r>
              <w:rPr>
                <w:rFonts w:cs="Arial"/>
                <w:sz w:val="14"/>
                <w:szCs w:val="14"/>
              </w:rPr>
              <w:t>Insurance margin</w:t>
            </w:r>
          </w:p>
        </w:tc>
        <w:tc>
          <w:tcPr>
            <w:tcW w:w="2906" w:type="dxa"/>
            <w:tcBorders>
              <w:top w:val="nil"/>
              <w:left w:val="nil"/>
              <w:bottom w:val="nil"/>
              <w:right w:val="nil"/>
            </w:tcBorders>
            <w:shd w:val="clear" w:color="auto" w:fill="auto"/>
            <w:vAlign w:val="center"/>
          </w:tcPr>
          <w:p w14:paraId="149506DE"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sz w:val="14"/>
                <w:szCs w:val="14"/>
              </w:rPr>
              <w:t xml:space="preserve"> 794</w:t>
            </w:r>
            <w:r>
              <w:rPr>
                <w:rFonts w:cs="Arial"/>
                <w:b/>
                <w:bCs/>
                <w:sz w:val="14"/>
                <w:szCs w:val="14"/>
              </w:rPr>
              <w:t>,</w:t>
            </w:r>
            <w:r w:rsidRPr="00500E52">
              <w:rPr>
                <w:rFonts w:cs="Arial"/>
                <w:b/>
                <w:bCs/>
                <w:sz w:val="14"/>
                <w:szCs w:val="14"/>
              </w:rPr>
              <w:t xml:space="preserve">615 </w:t>
            </w:r>
          </w:p>
        </w:tc>
        <w:tc>
          <w:tcPr>
            <w:tcW w:w="2906" w:type="dxa"/>
            <w:tcBorders>
              <w:top w:val="nil"/>
              <w:left w:val="nil"/>
              <w:bottom w:val="nil"/>
              <w:right w:val="nil"/>
            </w:tcBorders>
            <w:shd w:val="clear" w:color="auto" w:fill="auto"/>
            <w:vAlign w:val="center"/>
          </w:tcPr>
          <w:p w14:paraId="34352573"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sz w:val="14"/>
                <w:szCs w:val="14"/>
              </w:rPr>
              <w:t xml:space="preserve"> 13</w:t>
            </w:r>
            <w:r>
              <w:rPr>
                <w:rFonts w:cs="Arial"/>
                <w:sz w:val="14"/>
                <w:szCs w:val="14"/>
              </w:rPr>
              <w:t>,</w:t>
            </w:r>
            <w:r w:rsidRPr="00500E52">
              <w:rPr>
                <w:rFonts w:cs="Arial"/>
                <w:sz w:val="14"/>
                <w:szCs w:val="14"/>
              </w:rPr>
              <w:t xml:space="preserve">116 </w:t>
            </w:r>
          </w:p>
        </w:tc>
      </w:tr>
      <w:tr w:rsidR="006A362F" w:rsidRPr="00D4490E" w14:paraId="38B76679"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21B62FC" w14:textId="77777777" w:rsidR="006A362F" w:rsidRPr="00D4490E" w:rsidRDefault="006A362F" w:rsidP="006928A6">
            <w:pPr>
              <w:keepNext/>
              <w:keepLines/>
              <w:rPr>
                <w:rFonts w:cs="Arial"/>
                <w:sz w:val="14"/>
                <w:szCs w:val="14"/>
              </w:rPr>
            </w:pPr>
            <w:r>
              <w:rPr>
                <w:rFonts w:cs="Arial"/>
                <w:sz w:val="14"/>
                <w:szCs w:val="14"/>
              </w:rPr>
              <w:t>Financial result</w:t>
            </w:r>
          </w:p>
        </w:tc>
        <w:tc>
          <w:tcPr>
            <w:tcW w:w="2906" w:type="dxa"/>
            <w:tcBorders>
              <w:top w:val="nil"/>
              <w:left w:val="nil"/>
              <w:bottom w:val="nil"/>
              <w:right w:val="nil"/>
            </w:tcBorders>
            <w:shd w:val="clear" w:color="auto" w:fill="auto"/>
            <w:vAlign w:val="center"/>
          </w:tcPr>
          <w:p w14:paraId="2FB12867"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sz w:val="14"/>
                <w:szCs w:val="14"/>
              </w:rPr>
              <w:t xml:space="preserve"> 270</w:t>
            </w:r>
            <w:r>
              <w:rPr>
                <w:rFonts w:cs="Arial"/>
                <w:b/>
                <w:bCs/>
                <w:sz w:val="14"/>
                <w:szCs w:val="14"/>
              </w:rPr>
              <w:t>,</w:t>
            </w:r>
            <w:r w:rsidRPr="00500E52">
              <w:rPr>
                <w:rFonts w:cs="Arial"/>
                <w:b/>
                <w:bCs/>
                <w:sz w:val="14"/>
                <w:szCs w:val="14"/>
              </w:rPr>
              <w:t xml:space="preserve">175 </w:t>
            </w:r>
          </w:p>
        </w:tc>
        <w:tc>
          <w:tcPr>
            <w:tcW w:w="2906" w:type="dxa"/>
            <w:tcBorders>
              <w:top w:val="nil"/>
              <w:left w:val="nil"/>
              <w:bottom w:val="nil"/>
              <w:right w:val="nil"/>
            </w:tcBorders>
            <w:shd w:val="clear" w:color="auto" w:fill="auto"/>
            <w:vAlign w:val="center"/>
          </w:tcPr>
          <w:p w14:paraId="3A67BC81"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sz w:val="14"/>
                <w:szCs w:val="14"/>
              </w:rPr>
              <w:t xml:space="preserve"> 826</w:t>
            </w:r>
            <w:r>
              <w:rPr>
                <w:rFonts w:cs="Arial"/>
                <w:sz w:val="14"/>
                <w:szCs w:val="14"/>
              </w:rPr>
              <w:t>,</w:t>
            </w:r>
            <w:r w:rsidRPr="00500E52">
              <w:rPr>
                <w:rFonts w:cs="Arial"/>
                <w:sz w:val="14"/>
                <w:szCs w:val="14"/>
              </w:rPr>
              <w:t xml:space="preserve">920 </w:t>
            </w:r>
          </w:p>
        </w:tc>
      </w:tr>
      <w:tr w:rsidR="006A362F" w:rsidRPr="00EB59D3" w14:paraId="535DA1E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EE2FFFA" w14:textId="77777777" w:rsidR="006A362F" w:rsidRPr="00EB59D3" w:rsidRDefault="006A362F" w:rsidP="006928A6">
            <w:pPr>
              <w:keepNext/>
              <w:keepLines/>
              <w:ind w:left="113"/>
              <w:rPr>
                <w:rFonts w:cs="Arial"/>
                <w:b w:val="0"/>
                <w:bCs w:val="0"/>
                <w:sz w:val="14"/>
                <w:szCs w:val="14"/>
              </w:rPr>
            </w:pPr>
            <w:r>
              <w:rPr>
                <w:rFonts w:cs="Arial"/>
                <w:b w:val="0"/>
                <w:bCs w:val="0"/>
                <w:sz w:val="14"/>
                <w:szCs w:val="14"/>
              </w:rPr>
              <w:t>Financial income</w:t>
            </w:r>
          </w:p>
        </w:tc>
        <w:tc>
          <w:tcPr>
            <w:tcW w:w="2906" w:type="dxa"/>
            <w:tcBorders>
              <w:top w:val="nil"/>
              <w:left w:val="nil"/>
              <w:bottom w:val="nil"/>
              <w:right w:val="nil"/>
            </w:tcBorders>
            <w:shd w:val="clear" w:color="auto" w:fill="auto"/>
            <w:vAlign w:val="center"/>
          </w:tcPr>
          <w:p w14:paraId="158319BA"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10</w:t>
            </w:r>
            <w:r>
              <w:rPr>
                <w:rFonts w:cs="Arial"/>
                <w:sz w:val="14"/>
                <w:szCs w:val="14"/>
              </w:rPr>
              <w:t>,</w:t>
            </w:r>
            <w:r w:rsidRPr="00500E52">
              <w:rPr>
                <w:rFonts w:cs="Arial"/>
                <w:sz w:val="14"/>
                <w:szCs w:val="14"/>
              </w:rPr>
              <w:t>235</w:t>
            </w:r>
            <w:r>
              <w:rPr>
                <w:rFonts w:cs="Arial"/>
                <w:sz w:val="14"/>
                <w:szCs w:val="14"/>
              </w:rPr>
              <w:t>,</w:t>
            </w:r>
            <w:r w:rsidRPr="00500E52">
              <w:rPr>
                <w:rFonts w:cs="Arial"/>
                <w:sz w:val="14"/>
                <w:szCs w:val="14"/>
              </w:rPr>
              <w:t xml:space="preserve">020 </w:t>
            </w:r>
          </w:p>
        </w:tc>
        <w:tc>
          <w:tcPr>
            <w:tcW w:w="2906" w:type="dxa"/>
            <w:tcBorders>
              <w:top w:val="nil"/>
              <w:left w:val="nil"/>
              <w:bottom w:val="nil"/>
              <w:right w:val="nil"/>
            </w:tcBorders>
            <w:shd w:val="clear" w:color="auto" w:fill="auto"/>
            <w:vAlign w:val="center"/>
          </w:tcPr>
          <w:p w14:paraId="617EAA71"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9</w:t>
            </w:r>
            <w:r>
              <w:rPr>
                <w:rFonts w:cs="Arial"/>
                <w:sz w:val="14"/>
                <w:szCs w:val="14"/>
              </w:rPr>
              <w:t>,</w:t>
            </w:r>
            <w:r w:rsidRPr="00500E52">
              <w:rPr>
                <w:rFonts w:cs="Arial"/>
                <w:sz w:val="14"/>
                <w:szCs w:val="14"/>
              </w:rPr>
              <w:t>843</w:t>
            </w:r>
            <w:r>
              <w:rPr>
                <w:rFonts w:cs="Arial"/>
                <w:sz w:val="14"/>
                <w:szCs w:val="14"/>
              </w:rPr>
              <w:t>,</w:t>
            </w:r>
            <w:r w:rsidRPr="00500E52">
              <w:rPr>
                <w:rFonts w:cs="Arial"/>
                <w:sz w:val="14"/>
                <w:szCs w:val="14"/>
              </w:rPr>
              <w:t>47</w:t>
            </w:r>
            <w:r>
              <w:rPr>
                <w:rFonts w:cs="Arial"/>
                <w:sz w:val="14"/>
                <w:szCs w:val="14"/>
              </w:rPr>
              <w:t>6</w:t>
            </w:r>
            <w:r w:rsidRPr="00500E52">
              <w:rPr>
                <w:rFonts w:cs="Arial"/>
                <w:sz w:val="14"/>
                <w:szCs w:val="14"/>
              </w:rPr>
              <w:t xml:space="preserve"> </w:t>
            </w:r>
          </w:p>
        </w:tc>
      </w:tr>
      <w:tr w:rsidR="006A362F" w:rsidRPr="00EB59D3" w14:paraId="73F6B51E"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A1896CC" w14:textId="77777777" w:rsidR="006A362F" w:rsidRPr="00EB59D3" w:rsidRDefault="006A362F" w:rsidP="006928A6">
            <w:pPr>
              <w:keepNext/>
              <w:keepLines/>
              <w:ind w:left="113"/>
              <w:rPr>
                <w:rFonts w:cs="Arial"/>
                <w:b w:val="0"/>
                <w:bCs w:val="0"/>
                <w:sz w:val="14"/>
                <w:szCs w:val="14"/>
              </w:rPr>
            </w:pPr>
            <w:r>
              <w:rPr>
                <w:rFonts w:cs="Arial"/>
                <w:b w:val="0"/>
                <w:bCs w:val="0"/>
                <w:sz w:val="14"/>
                <w:szCs w:val="14"/>
              </w:rPr>
              <w:t>Financial expenses</w:t>
            </w:r>
          </w:p>
        </w:tc>
        <w:tc>
          <w:tcPr>
            <w:tcW w:w="2906" w:type="dxa"/>
            <w:tcBorders>
              <w:top w:val="nil"/>
              <w:left w:val="nil"/>
              <w:bottom w:val="nil"/>
              <w:right w:val="nil"/>
            </w:tcBorders>
            <w:shd w:val="clear" w:color="auto" w:fill="auto"/>
            <w:vAlign w:val="center"/>
          </w:tcPr>
          <w:p w14:paraId="2C5DEA53"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(9</w:t>
            </w:r>
            <w:r>
              <w:rPr>
                <w:rFonts w:cs="Arial"/>
                <w:sz w:val="14"/>
                <w:szCs w:val="14"/>
              </w:rPr>
              <w:t>,</w:t>
            </w:r>
            <w:r w:rsidRPr="00500E52">
              <w:rPr>
                <w:rFonts w:cs="Arial"/>
                <w:sz w:val="14"/>
                <w:szCs w:val="14"/>
              </w:rPr>
              <w:t>964</w:t>
            </w:r>
            <w:r>
              <w:rPr>
                <w:rFonts w:cs="Arial"/>
                <w:sz w:val="14"/>
                <w:szCs w:val="14"/>
              </w:rPr>
              <w:t>,</w:t>
            </w:r>
            <w:r w:rsidRPr="00500E52">
              <w:rPr>
                <w:rFonts w:cs="Arial"/>
                <w:sz w:val="14"/>
                <w:szCs w:val="14"/>
              </w:rPr>
              <w:t>846)</w:t>
            </w:r>
          </w:p>
        </w:tc>
        <w:tc>
          <w:tcPr>
            <w:tcW w:w="2906" w:type="dxa"/>
            <w:tcBorders>
              <w:top w:val="nil"/>
              <w:left w:val="nil"/>
              <w:bottom w:val="nil"/>
              <w:right w:val="nil"/>
            </w:tcBorders>
            <w:shd w:val="clear" w:color="auto" w:fill="auto"/>
            <w:vAlign w:val="center"/>
          </w:tcPr>
          <w:p w14:paraId="29F3404E"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(9</w:t>
            </w:r>
            <w:r>
              <w:rPr>
                <w:rFonts w:cs="Arial"/>
                <w:sz w:val="14"/>
                <w:szCs w:val="14"/>
              </w:rPr>
              <w:t>,</w:t>
            </w:r>
            <w:r w:rsidRPr="00500E52">
              <w:rPr>
                <w:rFonts w:cs="Arial"/>
                <w:sz w:val="14"/>
                <w:szCs w:val="14"/>
              </w:rPr>
              <w:t>016</w:t>
            </w:r>
            <w:r>
              <w:rPr>
                <w:rFonts w:cs="Arial"/>
                <w:sz w:val="14"/>
                <w:szCs w:val="14"/>
              </w:rPr>
              <w:t>,</w:t>
            </w:r>
            <w:r w:rsidRPr="00500E52">
              <w:rPr>
                <w:rFonts w:cs="Arial"/>
                <w:sz w:val="14"/>
                <w:szCs w:val="14"/>
              </w:rPr>
              <w:t>556)</w:t>
            </w:r>
          </w:p>
        </w:tc>
      </w:tr>
      <w:tr w:rsidR="006A362F" w:rsidRPr="00EB59D3" w14:paraId="54017BA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A8F365C" w14:textId="77777777" w:rsidR="006A362F" w:rsidRPr="00EB59D3" w:rsidRDefault="006A362F" w:rsidP="006928A6">
            <w:pPr>
              <w:keepNext/>
              <w:keepLines/>
              <w:rPr>
                <w:rFonts w:cs="Arial"/>
                <w:b w:val="0"/>
                <w:bCs w:val="0"/>
                <w:sz w:val="14"/>
                <w:szCs w:val="14"/>
              </w:rPr>
            </w:pPr>
            <w:r>
              <w:rPr>
                <w:rFonts w:cs="Arial"/>
                <w:b w:val="0"/>
                <w:bCs w:val="0"/>
                <w:sz w:val="14"/>
                <w:szCs w:val="14"/>
              </w:rPr>
              <w:t>Non-Attributable Expenses</w:t>
            </w:r>
          </w:p>
        </w:tc>
        <w:tc>
          <w:tcPr>
            <w:tcW w:w="2906" w:type="dxa"/>
            <w:tcBorders>
              <w:top w:val="nil"/>
              <w:left w:val="nil"/>
              <w:bottom w:val="nil"/>
              <w:right w:val="nil"/>
            </w:tcBorders>
            <w:shd w:val="clear" w:color="auto" w:fill="auto"/>
            <w:vAlign w:val="center"/>
          </w:tcPr>
          <w:p w14:paraId="43254801"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(17</w:t>
            </w:r>
            <w:r>
              <w:rPr>
                <w:rFonts w:cs="Arial"/>
                <w:sz w:val="14"/>
                <w:szCs w:val="14"/>
              </w:rPr>
              <w:t>,</w:t>
            </w:r>
            <w:r w:rsidRPr="00500E52">
              <w:rPr>
                <w:rFonts w:cs="Arial"/>
                <w:sz w:val="14"/>
                <w:szCs w:val="14"/>
              </w:rPr>
              <w:t>052)</w:t>
            </w:r>
          </w:p>
        </w:tc>
        <w:tc>
          <w:tcPr>
            <w:tcW w:w="2906" w:type="dxa"/>
            <w:tcBorders>
              <w:top w:val="nil"/>
              <w:left w:val="nil"/>
              <w:bottom w:val="nil"/>
              <w:right w:val="nil"/>
            </w:tcBorders>
            <w:shd w:val="clear" w:color="auto" w:fill="auto"/>
            <w:vAlign w:val="center"/>
          </w:tcPr>
          <w:p w14:paraId="08482D60"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(16</w:t>
            </w:r>
            <w:r>
              <w:rPr>
                <w:rFonts w:cs="Arial"/>
                <w:sz w:val="14"/>
                <w:szCs w:val="14"/>
              </w:rPr>
              <w:t>,</w:t>
            </w:r>
            <w:r w:rsidRPr="00500E52">
              <w:rPr>
                <w:rFonts w:cs="Arial"/>
                <w:sz w:val="14"/>
                <w:szCs w:val="14"/>
              </w:rPr>
              <w:t>047)</w:t>
            </w:r>
          </w:p>
        </w:tc>
      </w:tr>
      <w:tr w:rsidR="006A362F" w:rsidRPr="00EB59D3" w14:paraId="109765B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7F10C28" w14:textId="77777777" w:rsidR="006A362F" w:rsidRPr="00EB59D3" w:rsidRDefault="006A362F" w:rsidP="006928A6">
            <w:pPr>
              <w:keepNext/>
              <w:keepLines/>
              <w:rPr>
                <w:rFonts w:cs="Arial"/>
                <w:b w:val="0"/>
                <w:bCs w:val="0"/>
                <w:sz w:val="14"/>
                <w:szCs w:val="14"/>
              </w:rPr>
            </w:pPr>
            <w:r>
              <w:rPr>
                <w:rFonts w:cs="Arial"/>
                <w:b w:val="0"/>
                <w:bCs w:val="0"/>
                <w:sz w:val="14"/>
                <w:szCs w:val="14"/>
              </w:rPr>
              <w:t>Other income and expenses</w:t>
            </w:r>
          </w:p>
        </w:tc>
        <w:tc>
          <w:tcPr>
            <w:tcW w:w="2906" w:type="dxa"/>
            <w:tcBorders>
              <w:top w:val="nil"/>
              <w:left w:val="nil"/>
              <w:bottom w:val="nil"/>
              <w:right w:val="nil"/>
            </w:tcBorders>
            <w:shd w:val="clear" w:color="auto" w:fill="auto"/>
            <w:vAlign w:val="center"/>
          </w:tcPr>
          <w:p w14:paraId="556C429B"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18 </w:t>
            </w:r>
          </w:p>
        </w:tc>
        <w:tc>
          <w:tcPr>
            <w:tcW w:w="2906" w:type="dxa"/>
            <w:tcBorders>
              <w:top w:val="nil"/>
              <w:left w:val="nil"/>
              <w:bottom w:val="nil"/>
              <w:right w:val="nil"/>
            </w:tcBorders>
            <w:shd w:val="clear" w:color="auto" w:fill="auto"/>
            <w:vAlign w:val="center"/>
          </w:tcPr>
          <w:p w14:paraId="3544199D"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sz w:val="14"/>
                <w:szCs w:val="14"/>
              </w:rPr>
              <w:t xml:space="preserve"> </w:t>
            </w:r>
            <w:r>
              <w:rPr>
                <w:rFonts w:cs="Arial"/>
                <w:sz w:val="14"/>
                <w:szCs w:val="14"/>
              </w:rPr>
              <w:t>-</w:t>
            </w:r>
            <w:r w:rsidRPr="00500E52">
              <w:rPr>
                <w:rFonts w:cs="Arial"/>
                <w:sz w:val="14"/>
                <w:szCs w:val="14"/>
              </w:rPr>
              <w:t xml:space="preserve">-   </w:t>
            </w:r>
          </w:p>
        </w:tc>
      </w:tr>
      <w:tr w:rsidR="006A362F" w:rsidRPr="00D4490E" w14:paraId="30B2F2D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B24FFFC" w14:textId="77777777" w:rsidR="006A362F" w:rsidRPr="00D4490E" w:rsidRDefault="006A362F" w:rsidP="006928A6">
            <w:pPr>
              <w:keepNext/>
              <w:keepLines/>
              <w:rPr>
                <w:rFonts w:cs="Arial"/>
                <w:sz w:val="14"/>
                <w:szCs w:val="14"/>
              </w:rPr>
            </w:pPr>
            <w:r>
              <w:rPr>
                <w:rFonts w:cs="Arial"/>
                <w:sz w:val="14"/>
                <w:szCs w:val="14"/>
              </w:rPr>
              <w:t>Income before taxes</w:t>
            </w:r>
          </w:p>
        </w:tc>
        <w:tc>
          <w:tcPr>
            <w:tcW w:w="2906" w:type="dxa"/>
            <w:tcBorders>
              <w:top w:val="nil"/>
              <w:left w:val="nil"/>
              <w:bottom w:val="nil"/>
              <w:right w:val="nil"/>
            </w:tcBorders>
            <w:shd w:val="clear" w:color="auto" w:fill="auto"/>
            <w:vAlign w:val="center"/>
          </w:tcPr>
          <w:p w14:paraId="757D215D"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sz w:val="14"/>
                <w:szCs w:val="14"/>
              </w:rPr>
              <w:t xml:space="preserve"> 1</w:t>
            </w:r>
            <w:r>
              <w:rPr>
                <w:rFonts w:cs="Arial"/>
                <w:b/>
                <w:bCs/>
                <w:sz w:val="14"/>
                <w:szCs w:val="14"/>
              </w:rPr>
              <w:t>,</w:t>
            </w:r>
            <w:r w:rsidRPr="00500E52">
              <w:rPr>
                <w:rFonts w:cs="Arial"/>
                <w:b/>
                <w:bCs/>
                <w:sz w:val="14"/>
                <w:szCs w:val="14"/>
              </w:rPr>
              <w:t>047</w:t>
            </w:r>
            <w:r>
              <w:rPr>
                <w:rFonts w:cs="Arial"/>
                <w:b/>
                <w:bCs/>
                <w:sz w:val="14"/>
                <w:szCs w:val="14"/>
              </w:rPr>
              <w:t>,</w:t>
            </w:r>
            <w:r w:rsidRPr="00500E52">
              <w:rPr>
                <w:rFonts w:cs="Arial"/>
                <w:b/>
                <w:bCs/>
                <w:sz w:val="14"/>
                <w:szCs w:val="14"/>
              </w:rPr>
              <w:t xml:space="preserve">755 </w:t>
            </w:r>
          </w:p>
        </w:tc>
        <w:tc>
          <w:tcPr>
            <w:tcW w:w="2906" w:type="dxa"/>
            <w:tcBorders>
              <w:top w:val="nil"/>
              <w:left w:val="nil"/>
              <w:bottom w:val="nil"/>
              <w:right w:val="nil"/>
            </w:tcBorders>
            <w:shd w:val="clear" w:color="auto" w:fill="auto"/>
            <w:vAlign w:val="center"/>
          </w:tcPr>
          <w:p w14:paraId="5C75DD2D"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sz w:val="14"/>
                <w:szCs w:val="14"/>
              </w:rPr>
              <w:t xml:space="preserve"> 806</w:t>
            </w:r>
            <w:r>
              <w:rPr>
                <w:rFonts w:cs="Arial"/>
                <w:sz w:val="14"/>
                <w:szCs w:val="14"/>
              </w:rPr>
              <w:t>,</w:t>
            </w:r>
            <w:r w:rsidRPr="00500E52">
              <w:rPr>
                <w:rFonts w:cs="Arial"/>
                <w:sz w:val="14"/>
                <w:szCs w:val="14"/>
              </w:rPr>
              <w:t xml:space="preserve">315 </w:t>
            </w:r>
          </w:p>
        </w:tc>
      </w:tr>
      <w:tr w:rsidR="006A362F" w:rsidRPr="00EB59D3" w14:paraId="353F01F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C1C2196" w14:textId="77777777" w:rsidR="006A362F" w:rsidRPr="00EB59D3" w:rsidRDefault="006A362F" w:rsidP="006928A6">
            <w:pPr>
              <w:keepNext/>
              <w:keepLines/>
              <w:ind w:left="113"/>
              <w:rPr>
                <w:rFonts w:cs="Arial"/>
                <w:b w:val="0"/>
                <w:bCs w:val="0"/>
                <w:color w:val="000000"/>
                <w:sz w:val="14"/>
                <w:szCs w:val="14"/>
              </w:rPr>
            </w:pPr>
            <w:r>
              <w:rPr>
                <w:rFonts w:cs="Arial"/>
                <w:b w:val="0"/>
                <w:bCs w:val="0"/>
                <w:sz w:val="14"/>
                <w:szCs w:val="14"/>
              </w:rPr>
              <w:t>Taxes</w:t>
            </w:r>
          </w:p>
        </w:tc>
        <w:tc>
          <w:tcPr>
            <w:tcW w:w="2906" w:type="dxa"/>
            <w:tcBorders>
              <w:top w:val="nil"/>
              <w:left w:val="nil"/>
              <w:bottom w:val="nil"/>
              <w:right w:val="nil"/>
            </w:tcBorders>
            <w:shd w:val="clear" w:color="auto" w:fill="auto"/>
            <w:vAlign w:val="center"/>
          </w:tcPr>
          <w:p w14:paraId="3E4169C2"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color w:val="000000"/>
                <w:sz w:val="14"/>
                <w:szCs w:val="14"/>
              </w:rPr>
              <w:t>(425</w:t>
            </w:r>
            <w:r>
              <w:rPr>
                <w:rFonts w:cs="Arial"/>
                <w:color w:val="000000"/>
                <w:sz w:val="14"/>
                <w:szCs w:val="14"/>
              </w:rPr>
              <w:t>,</w:t>
            </w:r>
            <w:r w:rsidRPr="00500E52">
              <w:rPr>
                <w:rFonts w:cs="Arial"/>
                <w:color w:val="000000"/>
                <w:sz w:val="14"/>
                <w:szCs w:val="14"/>
              </w:rPr>
              <w:t>792)</w:t>
            </w:r>
          </w:p>
        </w:tc>
        <w:tc>
          <w:tcPr>
            <w:tcW w:w="2906" w:type="dxa"/>
            <w:tcBorders>
              <w:top w:val="nil"/>
              <w:left w:val="nil"/>
              <w:bottom w:val="nil"/>
              <w:right w:val="nil"/>
            </w:tcBorders>
            <w:shd w:val="clear" w:color="auto" w:fill="auto"/>
            <w:vAlign w:val="center"/>
          </w:tcPr>
          <w:p w14:paraId="6E831163"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500E52">
              <w:rPr>
                <w:rFonts w:cs="Arial"/>
                <w:color w:val="000000"/>
                <w:sz w:val="14"/>
                <w:szCs w:val="14"/>
              </w:rPr>
              <w:t>(331</w:t>
            </w:r>
            <w:r>
              <w:rPr>
                <w:rFonts w:cs="Arial"/>
                <w:color w:val="000000"/>
                <w:sz w:val="14"/>
                <w:szCs w:val="14"/>
              </w:rPr>
              <w:t>,</w:t>
            </w:r>
            <w:r w:rsidRPr="00500E52">
              <w:rPr>
                <w:rFonts w:cs="Arial"/>
                <w:color w:val="000000"/>
                <w:sz w:val="14"/>
                <w:szCs w:val="14"/>
              </w:rPr>
              <w:t>002)</w:t>
            </w:r>
          </w:p>
        </w:tc>
      </w:tr>
      <w:tr w:rsidR="006A362F" w:rsidRPr="00EB59D3" w14:paraId="0F2B0C2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D3B5C70" w14:textId="77777777" w:rsidR="006A362F" w:rsidRPr="00EB59D3" w:rsidRDefault="006A362F" w:rsidP="006928A6">
            <w:pPr>
              <w:keepNext/>
              <w:keepLines/>
              <w:spacing w:before="40" w:after="40"/>
              <w:ind w:left="113"/>
              <w:rPr>
                <w:rFonts w:cs="Arial"/>
                <w:b w:val="0"/>
                <w:bCs w:val="0"/>
                <w:sz w:val="14"/>
                <w:szCs w:val="14"/>
              </w:rPr>
            </w:pPr>
            <w:r>
              <w:rPr>
                <w:rFonts w:cs="Arial"/>
                <w:b w:val="0"/>
                <w:bCs w:val="0"/>
                <w:sz w:val="14"/>
                <w:szCs w:val="14"/>
              </w:rPr>
              <w:t>Shares on the result</w:t>
            </w:r>
          </w:p>
        </w:tc>
        <w:tc>
          <w:tcPr>
            <w:tcW w:w="2906" w:type="dxa"/>
            <w:tcBorders>
              <w:top w:val="nil"/>
              <w:left w:val="nil"/>
              <w:bottom w:val="nil"/>
              <w:right w:val="nil"/>
            </w:tcBorders>
            <w:shd w:val="clear" w:color="auto" w:fill="auto"/>
            <w:vAlign w:val="center"/>
          </w:tcPr>
          <w:p w14:paraId="79560A41" w14:textId="77777777" w:rsidR="006A362F" w:rsidRPr="00500E52"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(1</w:t>
            </w:r>
            <w:r>
              <w:rPr>
                <w:rFonts w:cs="Arial"/>
                <w:sz w:val="14"/>
                <w:szCs w:val="14"/>
              </w:rPr>
              <w:t>,</w:t>
            </w:r>
            <w:r w:rsidRPr="00500E52">
              <w:rPr>
                <w:rFonts w:cs="Arial"/>
                <w:sz w:val="14"/>
                <w:szCs w:val="14"/>
              </w:rPr>
              <w:t>009)</w:t>
            </w:r>
          </w:p>
        </w:tc>
        <w:tc>
          <w:tcPr>
            <w:tcW w:w="2906" w:type="dxa"/>
            <w:tcBorders>
              <w:top w:val="nil"/>
              <w:left w:val="nil"/>
              <w:bottom w:val="nil"/>
              <w:right w:val="nil"/>
            </w:tcBorders>
            <w:shd w:val="clear" w:color="auto" w:fill="auto"/>
            <w:vAlign w:val="center"/>
          </w:tcPr>
          <w:p w14:paraId="74D44A15" w14:textId="77777777" w:rsidR="006A362F" w:rsidRPr="00500E52"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500E52">
              <w:rPr>
                <w:rFonts w:cs="Arial"/>
                <w:sz w:val="14"/>
                <w:szCs w:val="14"/>
              </w:rPr>
              <w:t>(3</w:t>
            </w:r>
            <w:r>
              <w:rPr>
                <w:rFonts w:cs="Arial"/>
                <w:sz w:val="14"/>
                <w:szCs w:val="14"/>
              </w:rPr>
              <w:t>,</w:t>
            </w:r>
            <w:r w:rsidRPr="00500E52">
              <w:rPr>
                <w:rFonts w:cs="Arial"/>
                <w:sz w:val="14"/>
                <w:szCs w:val="14"/>
              </w:rPr>
              <w:t>369)</w:t>
            </w:r>
          </w:p>
        </w:tc>
      </w:tr>
      <w:tr w:rsidR="006A362F" w:rsidRPr="00D4490E" w14:paraId="33798DB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17F00A1" w14:textId="77777777" w:rsidR="006A362F" w:rsidRPr="00D4490E" w:rsidRDefault="006A362F" w:rsidP="006928A6">
            <w:pPr>
              <w:keepNext/>
              <w:keepLines/>
              <w:spacing w:before="40" w:after="40"/>
              <w:rPr>
                <w:rFonts w:cs="Arial"/>
                <w:color w:val="000000"/>
                <w:sz w:val="14"/>
                <w:szCs w:val="14"/>
              </w:rPr>
            </w:pPr>
            <w:r>
              <w:rPr>
                <w:rFonts w:cs="Arial"/>
                <w:sz w:val="14"/>
                <w:szCs w:val="14"/>
              </w:rPr>
              <w:t>Net income</w:t>
            </w:r>
          </w:p>
        </w:tc>
        <w:tc>
          <w:tcPr>
            <w:tcW w:w="2906" w:type="dxa"/>
            <w:tcBorders>
              <w:top w:val="nil"/>
              <w:left w:val="nil"/>
              <w:bottom w:val="nil"/>
              <w:right w:val="nil"/>
            </w:tcBorders>
            <w:shd w:val="clear" w:color="auto" w:fill="auto"/>
            <w:vAlign w:val="center"/>
          </w:tcPr>
          <w:p w14:paraId="0047D1A5" w14:textId="77777777" w:rsidR="006A362F" w:rsidRPr="00500E52"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sz w:val="14"/>
                <w:szCs w:val="14"/>
              </w:rPr>
              <w:t xml:space="preserve"> 620</w:t>
            </w:r>
            <w:r>
              <w:rPr>
                <w:rFonts w:cs="Arial"/>
                <w:b/>
                <w:bCs/>
                <w:sz w:val="14"/>
                <w:szCs w:val="14"/>
              </w:rPr>
              <w:t>,</w:t>
            </w:r>
            <w:r w:rsidRPr="00500E52">
              <w:rPr>
                <w:rFonts w:cs="Arial"/>
                <w:b/>
                <w:bCs/>
                <w:sz w:val="14"/>
                <w:szCs w:val="14"/>
              </w:rPr>
              <w:t xml:space="preserve">954 </w:t>
            </w:r>
          </w:p>
        </w:tc>
        <w:tc>
          <w:tcPr>
            <w:tcW w:w="2906" w:type="dxa"/>
            <w:tcBorders>
              <w:top w:val="nil"/>
              <w:left w:val="nil"/>
              <w:bottom w:val="nil"/>
              <w:right w:val="nil"/>
            </w:tcBorders>
            <w:shd w:val="clear" w:color="auto" w:fill="auto"/>
            <w:vAlign w:val="center"/>
          </w:tcPr>
          <w:p w14:paraId="5E426069" w14:textId="77777777" w:rsidR="006A362F" w:rsidRPr="00500E52"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sz w:val="14"/>
                <w:szCs w:val="14"/>
              </w:rPr>
              <w:t xml:space="preserve"> 471</w:t>
            </w:r>
            <w:r>
              <w:rPr>
                <w:rFonts w:cs="Arial"/>
                <w:sz w:val="14"/>
                <w:szCs w:val="14"/>
              </w:rPr>
              <w:t>,</w:t>
            </w:r>
            <w:r w:rsidRPr="00500E52">
              <w:rPr>
                <w:rFonts w:cs="Arial"/>
                <w:sz w:val="14"/>
                <w:szCs w:val="14"/>
              </w:rPr>
              <w:t xml:space="preserve">944 </w:t>
            </w:r>
          </w:p>
        </w:tc>
      </w:tr>
      <w:tr w:rsidR="006A362F" w:rsidRPr="00EB59D3" w14:paraId="5EC62B4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93DC92B" w14:textId="77777777" w:rsidR="006A362F" w:rsidRPr="00EB59D3" w:rsidRDefault="006A362F" w:rsidP="006928A6">
            <w:pPr>
              <w:keepNext/>
              <w:keepLines/>
              <w:ind w:left="113"/>
              <w:rPr>
                <w:rFonts w:cs="Arial"/>
                <w:b w:val="0"/>
                <w:bCs w:val="0"/>
                <w:color w:val="000000"/>
                <w:sz w:val="14"/>
                <w:szCs w:val="14"/>
              </w:rPr>
            </w:pPr>
            <w:r>
              <w:rPr>
                <w:rFonts w:cs="Arial"/>
                <w:b w:val="0"/>
                <w:bCs w:val="0"/>
                <w:sz w:val="14"/>
                <w:szCs w:val="14"/>
              </w:rPr>
              <w:t>Other comprehensive results</w:t>
            </w:r>
          </w:p>
        </w:tc>
        <w:tc>
          <w:tcPr>
            <w:tcW w:w="2906" w:type="dxa"/>
            <w:tcBorders>
              <w:top w:val="nil"/>
              <w:left w:val="nil"/>
              <w:bottom w:val="nil"/>
              <w:right w:val="nil"/>
            </w:tcBorders>
            <w:shd w:val="clear" w:color="auto" w:fill="auto"/>
            <w:vAlign w:val="center"/>
          </w:tcPr>
          <w:p w14:paraId="325B58DA" w14:textId="77777777" w:rsidR="006A362F" w:rsidRPr="00500E52"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217</w:t>
            </w:r>
            <w:r>
              <w:rPr>
                <w:rFonts w:cs="Arial"/>
                <w:sz w:val="14"/>
                <w:szCs w:val="14"/>
              </w:rPr>
              <w:t>,</w:t>
            </w:r>
            <w:r w:rsidRPr="00500E52">
              <w:rPr>
                <w:rFonts w:cs="Arial"/>
                <w:sz w:val="14"/>
                <w:szCs w:val="14"/>
              </w:rPr>
              <w:t xml:space="preserve">670 </w:t>
            </w:r>
          </w:p>
        </w:tc>
        <w:tc>
          <w:tcPr>
            <w:tcW w:w="2906" w:type="dxa"/>
            <w:tcBorders>
              <w:top w:val="nil"/>
              <w:left w:val="nil"/>
              <w:bottom w:val="nil"/>
              <w:right w:val="nil"/>
            </w:tcBorders>
            <w:shd w:val="clear" w:color="auto" w:fill="auto"/>
            <w:vAlign w:val="center"/>
          </w:tcPr>
          <w:p w14:paraId="756C820D" w14:textId="77777777" w:rsidR="006A362F" w:rsidRPr="00500E52"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500E52">
              <w:rPr>
                <w:rFonts w:cs="Arial"/>
                <w:sz w:val="14"/>
                <w:szCs w:val="14"/>
              </w:rPr>
              <w:t xml:space="preserve"> (7</w:t>
            </w:r>
            <w:r>
              <w:rPr>
                <w:rFonts w:cs="Arial"/>
                <w:sz w:val="14"/>
                <w:szCs w:val="14"/>
              </w:rPr>
              <w:t>,</w:t>
            </w:r>
            <w:r w:rsidRPr="00500E52">
              <w:rPr>
                <w:rFonts w:cs="Arial"/>
                <w:sz w:val="14"/>
                <w:szCs w:val="14"/>
              </w:rPr>
              <w:t>209)</w:t>
            </w:r>
          </w:p>
        </w:tc>
      </w:tr>
      <w:tr w:rsidR="006A362F" w:rsidRPr="00D4490E" w14:paraId="79CC2545"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37714B0" w14:textId="77777777" w:rsidR="006A362F" w:rsidRPr="00D4490E" w:rsidRDefault="006A362F" w:rsidP="006928A6">
            <w:pPr>
              <w:keepNext/>
              <w:keepLines/>
              <w:rPr>
                <w:rFonts w:cs="Arial"/>
                <w:color w:val="000000"/>
                <w:sz w:val="14"/>
                <w:szCs w:val="14"/>
              </w:rPr>
            </w:pPr>
            <w:r>
              <w:rPr>
                <w:rFonts w:cs="Arial"/>
                <w:sz w:val="14"/>
                <w:szCs w:val="14"/>
              </w:rPr>
              <w:t>Comprehensive income</w:t>
            </w:r>
          </w:p>
        </w:tc>
        <w:tc>
          <w:tcPr>
            <w:tcW w:w="2906" w:type="dxa"/>
            <w:tcBorders>
              <w:top w:val="nil"/>
              <w:left w:val="nil"/>
              <w:bottom w:val="nil"/>
              <w:right w:val="nil"/>
            </w:tcBorders>
            <w:shd w:val="clear" w:color="auto" w:fill="auto"/>
            <w:vAlign w:val="center"/>
          </w:tcPr>
          <w:p w14:paraId="3A61923C"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sz w:val="14"/>
                <w:szCs w:val="14"/>
              </w:rPr>
              <w:t xml:space="preserve"> 838</w:t>
            </w:r>
            <w:r>
              <w:rPr>
                <w:rFonts w:cs="Arial"/>
                <w:b/>
                <w:bCs/>
                <w:sz w:val="14"/>
                <w:szCs w:val="14"/>
              </w:rPr>
              <w:t>,</w:t>
            </w:r>
            <w:r w:rsidRPr="00500E52">
              <w:rPr>
                <w:rFonts w:cs="Arial"/>
                <w:b/>
                <w:bCs/>
                <w:sz w:val="14"/>
                <w:szCs w:val="14"/>
              </w:rPr>
              <w:t xml:space="preserve">624 </w:t>
            </w:r>
          </w:p>
        </w:tc>
        <w:tc>
          <w:tcPr>
            <w:tcW w:w="2906" w:type="dxa"/>
            <w:tcBorders>
              <w:top w:val="nil"/>
              <w:left w:val="nil"/>
              <w:bottom w:val="nil"/>
              <w:right w:val="nil"/>
            </w:tcBorders>
            <w:shd w:val="clear" w:color="auto" w:fill="auto"/>
            <w:vAlign w:val="center"/>
          </w:tcPr>
          <w:p w14:paraId="4C33C9A9"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sz w:val="14"/>
                <w:szCs w:val="14"/>
              </w:rPr>
              <w:t xml:space="preserve"> 464</w:t>
            </w:r>
            <w:r>
              <w:rPr>
                <w:rFonts w:cs="Arial"/>
                <w:sz w:val="14"/>
                <w:szCs w:val="14"/>
              </w:rPr>
              <w:t>,</w:t>
            </w:r>
            <w:r w:rsidRPr="00500E52">
              <w:rPr>
                <w:rFonts w:cs="Arial"/>
                <w:sz w:val="14"/>
                <w:szCs w:val="14"/>
              </w:rPr>
              <w:t xml:space="preserve">735 </w:t>
            </w:r>
          </w:p>
        </w:tc>
      </w:tr>
      <w:tr w:rsidR="006A362F" w:rsidRPr="00D4490E" w14:paraId="315454B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7BEAFD8" w14:textId="77777777" w:rsidR="006A362F" w:rsidRPr="00D4490E" w:rsidRDefault="006A362F" w:rsidP="006928A6">
            <w:pPr>
              <w:keepNext/>
              <w:keepLines/>
              <w:rPr>
                <w:rFonts w:cs="Arial"/>
                <w:color w:val="000000"/>
                <w:sz w:val="14"/>
                <w:szCs w:val="14"/>
              </w:rPr>
            </w:pPr>
            <w:r>
              <w:rPr>
                <w:rFonts w:eastAsia="Times New Roman" w:cs="Arial"/>
                <w:color w:val="000000"/>
                <w:spacing w:val="-2"/>
                <w:sz w:val="14"/>
                <w:szCs w:val="14"/>
                <w:lang w:eastAsia="pt-BR"/>
              </w:rPr>
              <w:t>Attributable to BB Seguridade</w:t>
            </w:r>
          </w:p>
        </w:tc>
        <w:tc>
          <w:tcPr>
            <w:tcW w:w="2906" w:type="dxa"/>
            <w:tcBorders>
              <w:top w:val="nil"/>
              <w:left w:val="nil"/>
              <w:bottom w:val="nil"/>
              <w:right w:val="nil"/>
            </w:tcBorders>
            <w:shd w:val="clear" w:color="auto" w:fill="auto"/>
            <w:vAlign w:val="center"/>
          </w:tcPr>
          <w:p w14:paraId="596CBAF9"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color w:val="000000"/>
                <w:sz w:val="14"/>
                <w:szCs w:val="14"/>
              </w:rPr>
              <w:t>465</w:t>
            </w:r>
            <w:r>
              <w:rPr>
                <w:rFonts w:cs="Arial"/>
                <w:b/>
                <w:bCs/>
                <w:color w:val="000000"/>
                <w:sz w:val="14"/>
                <w:szCs w:val="14"/>
              </w:rPr>
              <w:t>,</w:t>
            </w:r>
            <w:r w:rsidRPr="00500E52">
              <w:rPr>
                <w:rFonts w:cs="Arial"/>
                <w:b/>
                <w:bCs/>
                <w:color w:val="000000"/>
                <w:sz w:val="14"/>
                <w:szCs w:val="14"/>
              </w:rPr>
              <w:t>684</w:t>
            </w:r>
          </w:p>
        </w:tc>
        <w:tc>
          <w:tcPr>
            <w:tcW w:w="2906" w:type="dxa"/>
            <w:tcBorders>
              <w:top w:val="nil"/>
              <w:left w:val="nil"/>
              <w:bottom w:val="nil"/>
              <w:right w:val="nil"/>
            </w:tcBorders>
            <w:shd w:val="clear" w:color="auto" w:fill="auto"/>
            <w:vAlign w:val="center"/>
          </w:tcPr>
          <w:p w14:paraId="3B4DC391" w14:textId="77777777" w:rsidR="006A362F" w:rsidRPr="00500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500E52">
              <w:rPr>
                <w:rFonts w:cs="Arial"/>
                <w:b/>
                <w:bCs/>
                <w:color w:val="000000"/>
                <w:sz w:val="14"/>
                <w:szCs w:val="14"/>
              </w:rPr>
              <w:t>353</w:t>
            </w:r>
            <w:r>
              <w:rPr>
                <w:rFonts w:cs="Arial"/>
                <w:b/>
                <w:bCs/>
                <w:color w:val="000000"/>
                <w:sz w:val="14"/>
                <w:szCs w:val="14"/>
              </w:rPr>
              <w:t>,</w:t>
            </w:r>
            <w:r w:rsidRPr="00500E52">
              <w:rPr>
                <w:rFonts w:cs="Arial"/>
                <w:b/>
                <w:bCs/>
                <w:color w:val="000000"/>
                <w:sz w:val="14"/>
                <w:szCs w:val="14"/>
              </w:rPr>
              <w:t>934</w:t>
            </w:r>
          </w:p>
        </w:tc>
      </w:tr>
      <w:tr w:rsidR="006A362F" w:rsidRPr="00D4490E" w14:paraId="1102714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0B439FF2" w14:textId="77777777" w:rsidR="006A362F" w:rsidRPr="00D4490E" w:rsidRDefault="006A362F" w:rsidP="006928A6">
            <w:pPr>
              <w:keepNext/>
              <w:keepLines/>
              <w:rPr>
                <w:rFonts w:cs="Arial"/>
                <w:sz w:val="14"/>
                <w:szCs w:val="14"/>
              </w:rPr>
            </w:pPr>
            <w:r>
              <w:rPr>
                <w:rFonts w:eastAsia="Times New Roman" w:cs="Arial"/>
                <w:color w:val="000000"/>
                <w:spacing w:val="-2"/>
                <w:sz w:val="14"/>
                <w:szCs w:val="14"/>
                <w:lang w:eastAsia="pt-BR"/>
              </w:rPr>
              <w:t>Equity income</w:t>
            </w:r>
          </w:p>
        </w:tc>
        <w:tc>
          <w:tcPr>
            <w:tcW w:w="2906" w:type="dxa"/>
            <w:tcBorders>
              <w:top w:val="nil"/>
              <w:left w:val="nil"/>
              <w:bottom w:val="single" w:sz="2" w:space="0" w:color="1F4E79" w:themeColor="accent1" w:themeShade="80"/>
              <w:right w:val="nil"/>
            </w:tcBorders>
            <w:shd w:val="clear" w:color="auto" w:fill="auto"/>
            <w:vAlign w:val="center"/>
          </w:tcPr>
          <w:p w14:paraId="3C5BACC1"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color w:val="000000"/>
                <w:sz w:val="14"/>
                <w:szCs w:val="14"/>
              </w:rPr>
              <w:t>465</w:t>
            </w:r>
            <w:r>
              <w:rPr>
                <w:rFonts w:cs="Arial"/>
                <w:b/>
                <w:bCs/>
                <w:color w:val="000000"/>
                <w:sz w:val="14"/>
                <w:szCs w:val="14"/>
              </w:rPr>
              <w:t>,</w:t>
            </w:r>
            <w:r w:rsidRPr="00500E52">
              <w:rPr>
                <w:rFonts w:cs="Arial"/>
                <w:b/>
                <w:bCs/>
                <w:color w:val="000000"/>
                <w:sz w:val="14"/>
                <w:szCs w:val="14"/>
              </w:rPr>
              <w:t>684</w:t>
            </w:r>
          </w:p>
        </w:tc>
        <w:tc>
          <w:tcPr>
            <w:tcW w:w="2906" w:type="dxa"/>
            <w:tcBorders>
              <w:top w:val="nil"/>
              <w:left w:val="nil"/>
              <w:bottom w:val="single" w:sz="2" w:space="0" w:color="1F4E79" w:themeColor="accent1" w:themeShade="80"/>
              <w:right w:val="nil"/>
            </w:tcBorders>
            <w:shd w:val="clear" w:color="auto" w:fill="auto"/>
            <w:vAlign w:val="center"/>
          </w:tcPr>
          <w:p w14:paraId="23FF378A" w14:textId="77777777" w:rsidR="006A362F" w:rsidRPr="00500E52"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sidRPr="00500E52">
              <w:rPr>
                <w:rFonts w:cs="Arial"/>
                <w:b/>
                <w:bCs/>
                <w:color w:val="000000"/>
                <w:sz w:val="14"/>
                <w:szCs w:val="14"/>
              </w:rPr>
              <w:t>353</w:t>
            </w:r>
            <w:r>
              <w:rPr>
                <w:rFonts w:cs="Arial"/>
                <w:b/>
                <w:bCs/>
                <w:color w:val="000000"/>
                <w:sz w:val="14"/>
                <w:szCs w:val="14"/>
              </w:rPr>
              <w:t>,</w:t>
            </w:r>
            <w:r w:rsidRPr="00500E52">
              <w:rPr>
                <w:rFonts w:cs="Arial"/>
                <w:b/>
                <w:bCs/>
                <w:color w:val="000000"/>
                <w:sz w:val="14"/>
                <w:szCs w:val="14"/>
              </w:rPr>
              <w:t>934</w:t>
            </w:r>
          </w:p>
        </w:tc>
      </w:tr>
    </w:tbl>
    <w:p w14:paraId="25C0FAA7" w14:textId="77777777" w:rsidR="006A362F" w:rsidRPr="00A263A7" w:rsidRDefault="006A362F" w:rsidP="006A362F">
      <w:pPr>
        <w:pStyle w:val="PargrafodaLista"/>
        <w:numPr>
          <w:ilvl w:val="0"/>
          <w:numId w:val="41"/>
        </w:numPr>
        <w:spacing w:after="0" w:line="240" w:lineRule="auto"/>
        <w:rPr>
          <w:rFonts w:ascii="Arial" w:eastAsia="Times New Roman" w:hAnsi="Arial" w:cs="Times New Roman"/>
          <w:bCs/>
          <w:spacing w:val="-2"/>
          <w:sz w:val="14"/>
          <w:szCs w:val="16"/>
          <w:lang w:val="en-US" w:eastAsia="pt-BR"/>
        </w:rPr>
      </w:pPr>
      <w:r w:rsidRPr="00A263A7">
        <w:rPr>
          <w:rFonts w:ascii="Arial" w:eastAsia="Times New Roman" w:hAnsi="Arial" w:cs="Times New Roman"/>
          <w:bCs/>
          <w:spacing w:val="-2"/>
          <w:sz w:val="14"/>
          <w:szCs w:val="16"/>
          <w:lang w:val="en-US" w:eastAsia="pt-BR"/>
        </w:rPr>
        <w:t>BBA - Building Block Approach and VFA - Variable Fee Approach.</w:t>
      </w:r>
    </w:p>
    <w:p w14:paraId="775C992E" w14:textId="77777777" w:rsidR="006A362F" w:rsidRPr="00A263A7" w:rsidRDefault="006A362F" w:rsidP="00076945">
      <w:pPr>
        <w:spacing w:after="0" w:line="240" w:lineRule="auto"/>
        <w:rPr>
          <w:rFonts w:eastAsia="Times New Roman" w:cs="Arial"/>
          <w:b/>
          <w:color w:val="1F4E79" w:themeColor="accent1" w:themeShade="80"/>
          <w:spacing w:val="-2"/>
          <w:szCs w:val="18"/>
          <w:lang w:val="en-US" w:eastAsia="pt-BR"/>
        </w:rPr>
      </w:pPr>
    </w:p>
    <w:p w14:paraId="366D629D" w14:textId="77777777" w:rsidR="006A362F"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Balance Sheet Information</w:t>
      </w:r>
    </w:p>
    <w:p w14:paraId="74D6639A"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6A362F" w:rsidRPr="00D36690" w14:paraId="263509F4"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FB7FE1C" w14:textId="77777777" w:rsidR="006A362F" w:rsidRPr="00D36690" w:rsidRDefault="006A362F" w:rsidP="006928A6">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09C590E" w14:textId="77777777" w:rsidR="006A362F" w:rsidRPr="003D02C5"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Mar 31, 2023</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911429A" w14:textId="77777777" w:rsidR="006A362F" w:rsidRPr="003D02C5"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Dez 31, 2022 (Restated balances)</w:t>
            </w:r>
          </w:p>
        </w:tc>
      </w:tr>
      <w:tr w:rsidR="006A362F" w:rsidRPr="002A34F5" w14:paraId="2233594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5BCBA0CB" w14:textId="77777777" w:rsidR="006A362F" w:rsidRPr="002A34F5" w:rsidRDefault="006A362F" w:rsidP="006928A6">
            <w:pPr>
              <w:keepNext/>
              <w:keepLines/>
              <w:rPr>
                <w:rFonts w:eastAsia="Times New Roman" w:cs="Arial"/>
                <w:spacing w:val="-2"/>
                <w:sz w:val="14"/>
                <w:szCs w:val="14"/>
                <w:highlight w:val="yellow"/>
              </w:rPr>
            </w:pPr>
            <w:r>
              <w:rPr>
                <w:rFonts w:cs="Arial"/>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2DE46CB4"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341</w:t>
            </w:r>
            <w:r>
              <w:rPr>
                <w:rFonts w:cs="Arial"/>
                <w:b/>
                <w:bCs/>
                <w:sz w:val="14"/>
                <w:szCs w:val="14"/>
              </w:rPr>
              <w:t>,</w:t>
            </w:r>
            <w:r w:rsidRPr="002A34F5">
              <w:rPr>
                <w:rFonts w:cs="Arial"/>
                <w:b/>
                <w:bCs/>
                <w:sz w:val="14"/>
                <w:szCs w:val="14"/>
              </w:rPr>
              <w:t>607</w:t>
            </w:r>
            <w:r>
              <w:rPr>
                <w:rFonts w:cs="Arial"/>
                <w:b/>
                <w:bCs/>
                <w:sz w:val="14"/>
                <w:szCs w:val="14"/>
              </w:rPr>
              <w:t>,</w:t>
            </w:r>
            <w:r w:rsidRPr="002A34F5">
              <w:rPr>
                <w:rFonts w:cs="Arial"/>
                <w:b/>
                <w:bCs/>
                <w:sz w:val="14"/>
                <w:szCs w:val="14"/>
              </w:rPr>
              <w:t>671</w:t>
            </w:r>
          </w:p>
        </w:tc>
        <w:tc>
          <w:tcPr>
            <w:tcW w:w="3260" w:type="dxa"/>
            <w:tcBorders>
              <w:top w:val="single" w:sz="2" w:space="0" w:color="1F4E79" w:themeColor="accent1" w:themeShade="80"/>
              <w:left w:val="nil"/>
              <w:bottom w:val="nil"/>
              <w:right w:val="nil"/>
            </w:tcBorders>
            <w:shd w:val="clear" w:color="auto" w:fill="auto"/>
            <w:vAlign w:val="center"/>
          </w:tcPr>
          <w:p w14:paraId="2F2B10E1"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331</w:t>
            </w:r>
            <w:r>
              <w:rPr>
                <w:rFonts w:cs="Arial"/>
                <w:b/>
                <w:bCs/>
                <w:sz w:val="14"/>
                <w:szCs w:val="14"/>
              </w:rPr>
              <w:t>,</w:t>
            </w:r>
            <w:r w:rsidRPr="002A34F5">
              <w:rPr>
                <w:rFonts w:cs="Arial"/>
                <w:b/>
                <w:bCs/>
                <w:sz w:val="14"/>
                <w:szCs w:val="14"/>
              </w:rPr>
              <w:t>038</w:t>
            </w:r>
            <w:r>
              <w:rPr>
                <w:rFonts w:cs="Arial"/>
                <w:b/>
                <w:bCs/>
                <w:sz w:val="14"/>
                <w:szCs w:val="14"/>
              </w:rPr>
              <w:t>,</w:t>
            </w:r>
            <w:r w:rsidRPr="002A34F5">
              <w:rPr>
                <w:rFonts w:cs="Arial"/>
                <w:b/>
                <w:bCs/>
                <w:sz w:val="14"/>
                <w:szCs w:val="14"/>
              </w:rPr>
              <w:t>414</w:t>
            </w:r>
          </w:p>
        </w:tc>
      </w:tr>
      <w:tr w:rsidR="006A362F" w:rsidRPr="00D36690" w14:paraId="354C229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26F42ACB" w14:textId="77777777" w:rsidR="006A362F" w:rsidRPr="00D36690" w:rsidRDefault="006A362F" w:rsidP="006928A6">
            <w:pPr>
              <w:keepNext/>
              <w:keepLines/>
              <w:ind w:left="113"/>
              <w:rPr>
                <w:rFonts w:eastAsia="Times New Roman" w:cs="Arial"/>
                <w:b w:val="0"/>
                <w:bCs w:val="0"/>
                <w:spacing w:val="-2"/>
                <w:sz w:val="14"/>
                <w:szCs w:val="14"/>
                <w:highlight w:val="yellow"/>
              </w:rPr>
            </w:pPr>
            <w:r>
              <w:rPr>
                <w:rFonts w:cs="Arial"/>
                <w:b w:val="0"/>
                <w:bCs w:val="0"/>
                <w:sz w:val="14"/>
                <w:szCs w:val="14"/>
              </w:rPr>
              <w:t>Cash and cash equivalents</w:t>
            </w:r>
          </w:p>
        </w:tc>
        <w:tc>
          <w:tcPr>
            <w:tcW w:w="3260" w:type="dxa"/>
            <w:tcBorders>
              <w:top w:val="nil"/>
              <w:left w:val="nil"/>
              <w:bottom w:val="nil"/>
              <w:right w:val="nil"/>
            </w:tcBorders>
            <w:shd w:val="clear" w:color="auto" w:fill="auto"/>
            <w:vAlign w:val="center"/>
          </w:tcPr>
          <w:p w14:paraId="001A8438" w14:textId="77777777" w:rsidR="006A362F" w:rsidRPr="000A161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128</w:t>
            </w:r>
            <w:r>
              <w:rPr>
                <w:rFonts w:cs="Arial"/>
                <w:sz w:val="14"/>
                <w:szCs w:val="14"/>
              </w:rPr>
              <w:t>,</w:t>
            </w:r>
            <w:r w:rsidRPr="000A161C">
              <w:rPr>
                <w:rFonts w:cs="Arial"/>
                <w:sz w:val="14"/>
                <w:szCs w:val="14"/>
              </w:rPr>
              <w:t>676</w:t>
            </w:r>
          </w:p>
        </w:tc>
        <w:tc>
          <w:tcPr>
            <w:tcW w:w="3260" w:type="dxa"/>
            <w:tcBorders>
              <w:top w:val="nil"/>
              <w:left w:val="nil"/>
              <w:bottom w:val="nil"/>
              <w:right w:val="nil"/>
            </w:tcBorders>
            <w:shd w:val="clear" w:color="auto" w:fill="auto"/>
            <w:vAlign w:val="center"/>
          </w:tcPr>
          <w:p w14:paraId="144EFCFD"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35</w:t>
            </w:r>
            <w:r>
              <w:rPr>
                <w:rFonts w:cs="Arial"/>
                <w:sz w:val="14"/>
                <w:szCs w:val="14"/>
              </w:rPr>
              <w:t>,</w:t>
            </w:r>
            <w:r w:rsidRPr="002A34F5">
              <w:rPr>
                <w:rFonts w:cs="Arial"/>
                <w:sz w:val="14"/>
                <w:szCs w:val="14"/>
              </w:rPr>
              <w:t>010</w:t>
            </w:r>
          </w:p>
        </w:tc>
      </w:tr>
      <w:tr w:rsidR="006A362F" w:rsidRPr="00D36690" w14:paraId="06D70C4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4D706C6"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Financial Instruments</w:t>
            </w:r>
          </w:p>
        </w:tc>
        <w:tc>
          <w:tcPr>
            <w:tcW w:w="3260" w:type="dxa"/>
            <w:tcBorders>
              <w:top w:val="nil"/>
              <w:left w:val="nil"/>
              <w:bottom w:val="nil"/>
              <w:right w:val="nil"/>
            </w:tcBorders>
            <w:shd w:val="clear" w:color="auto" w:fill="auto"/>
            <w:vAlign w:val="center"/>
          </w:tcPr>
          <w:p w14:paraId="082BADC7" w14:textId="77777777" w:rsidR="006A362F" w:rsidRPr="000A161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341</w:t>
            </w:r>
            <w:r>
              <w:rPr>
                <w:rFonts w:cs="Arial"/>
                <w:sz w:val="14"/>
                <w:szCs w:val="14"/>
              </w:rPr>
              <w:t>,</w:t>
            </w:r>
            <w:r w:rsidRPr="000A161C">
              <w:rPr>
                <w:rFonts w:cs="Arial"/>
                <w:sz w:val="14"/>
                <w:szCs w:val="14"/>
              </w:rPr>
              <w:t>313</w:t>
            </w:r>
            <w:r>
              <w:rPr>
                <w:rFonts w:cs="Arial"/>
                <w:sz w:val="14"/>
                <w:szCs w:val="14"/>
              </w:rPr>
              <w:t>,</w:t>
            </w:r>
            <w:r w:rsidRPr="000A161C">
              <w:rPr>
                <w:rFonts w:cs="Arial"/>
                <w:sz w:val="14"/>
                <w:szCs w:val="14"/>
              </w:rPr>
              <w:t>162</w:t>
            </w:r>
          </w:p>
        </w:tc>
        <w:tc>
          <w:tcPr>
            <w:tcW w:w="3260" w:type="dxa"/>
            <w:tcBorders>
              <w:top w:val="nil"/>
              <w:left w:val="nil"/>
              <w:bottom w:val="nil"/>
              <w:right w:val="nil"/>
            </w:tcBorders>
            <w:shd w:val="clear" w:color="auto" w:fill="auto"/>
            <w:vAlign w:val="center"/>
          </w:tcPr>
          <w:p w14:paraId="0EB66896"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330</w:t>
            </w:r>
            <w:r>
              <w:rPr>
                <w:rFonts w:cs="Arial"/>
                <w:sz w:val="14"/>
                <w:szCs w:val="14"/>
              </w:rPr>
              <w:t>,</w:t>
            </w:r>
            <w:r w:rsidRPr="002A34F5">
              <w:rPr>
                <w:rFonts w:cs="Arial"/>
                <w:sz w:val="14"/>
                <w:szCs w:val="14"/>
              </w:rPr>
              <w:t>849</w:t>
            </w:r>
            <w:r>
              <w:rPr>
                <w:rFonts w:cs="Arial"/>
                <w:sz w:val="14"/>
                <w:szCs w:val="14"/>
              </w:rPr>
              <w:t>,</w:t>
            </w:r>
            <w:r w:rsidRPr="002A34F5">
              <w:rPr>
                <w:rFonts w:cs="Arial"/>
                <w:sz w:val="14"/>
                <w:szCs w:val="14"/>
              </w:rPr>
              <w:t>804</w:t>
            </w:r>
          </w:p>
        </w:tc>
      </w:tr>
      <w:tr w:rsidR="006A362F" w:rsidRPr="00D36690" w14:paraId="6504B12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2FF963B"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C</w:t>
            </w:r>
            <w:r w:rsidRPr="00FC4DCD">
              <w:rPr>
                <w:rFonts w:cs="Arial"/>
                <w:b w:val="0"/>
                <w:bCs w:val="0"/>
                <w:sz w:val="14"/>
                <w:szCs w:val="14"/>
              </w:rPr>
              <w:t>redit from operations</w:t>
            </w:r>
          </w:p>
        </w:tc>
        <w:tc>
          <w:tcPr>
            <w:tcW w:w="3260" w:type="dxa"/>
            <w:tcBorders>
              <w:top w:val="nil"/>
              <w:left w:val="nil"/>
              <w:bottom w:val="nil"/>
              <w:right w:val="nil"/>
            </w:tcBorders>
            <w:shd w:val="clear" w:color="auto" w:fill="auto"/>
            <w:vAlign w:val="center"/>
          </w:tcPr>
          <w:p w14:paraId="22330803" w14:textId="77777777" w:rsidR="006A362F" w:rsidRPr="000A161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735</w:t>
            </w:r>
          </w:p>
        </w:tc>
        <w:tc>
          <w:tcPr>
            <w:tcW w:w="3260" w:type="dxa"/>
            <w:tcBorders>
              <w:top w:val="nil"/>
              <w:left w:val="nil"/>
              <w:bottom w:val="nil"/>
              <w:right w:val="nil"/>
            </w:tcBorders>
            <w:shd w:val="clear" w:color="auto" w:fill="auto"/>
            <w:vAlign w:val="center"/>
          </w:tcPr>
          <w:p w14:paraId="1AC725E0"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2</w:t>
            </w:r>
            <w:r>
              <w:rPr>
                <w:rFonts w:cs="Arial"/>
                <w:sz w:val="14"/>
                <w:szCs w:val="14"/>
              </w:rPr>
              <w:t>,</w:t>
            </w:r>
            <w:r w:rsidRPr="002A34F5">
              <w:rPr>
                <w:rFonts w:cs="Arial"/>
                <w:sz w:val="14"/>
                <w:szCs w:val="14"/>
              </w:rPr>
              <w:t>156</w:t>
            </w:r>
          </w:p>
        </w:tc>
      </w:tr>
      <w:tr w:rsidR="006A362F" w:rsidRPr="00D36690" w14:paraId="7502892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0C2605" w14:textId="77777777" w:rsidR="006A362F" w:rsidRPr="00D36690" w:rsidRDefault="006A362F" w:rsidP="006928A6">
            <w:pPr>
              <w:keepNext/>
              <w:keepLines/>
              <w:ind w:left="113"/>
              <w:rPr>
                <w:rFonts w:cs="Arial"/>
                <w:b w:val="0"/>
                <w:bCs w:val="0"/>
                <w:sz w:val="14"/>
                <w:szCs w:val="14"/>
              </w:rPr>
            </w:pPr>
            <w:r w:rsidRPr="00FC4DCD">
              <w:rPr>
                <w:rFonts w:cs="Arial"/>
                <w:b w:val="0"/>
                <w:bCs w:val="0"/>
                <w:sz w:val="14"/>
                <w:szCs w:val="14"/>
              </w:rPr>
              <w:t>Current tax asset</w:t>
            </w:r>
          </w:p>
        </w:tc>
        <w:tc>
          <w:tcPr>
            <w:tcW w:w="3260" w:type="dxa"/>
            <w:tcBorders>
              <w:top w:val="nil"/>
              <w:left w:val="nil"/>
              <w:bottom w:val="nil"/>
              <w:right w:val="nil"/>
            </w:tcBorders>
            <w:shd w:val="clear" w:color="auto" w:fill="auto"/>
            <w:vAlign w:val="center"/>
          </w:tcPr>
          <w:p w14:paraId="6D1B37EC" w14:textId="77777777" w:rsidR="006A362F" w:rsidRPr="000A161C"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A161C">
              <w:rPr>
                <w:rFonts w:cs="Arial"/>
                <w:sz w:val="14"/>
                <w:szCs w:val="14"/>
              </w:rPr>
              <w:t>77</w:t>
            </w:r>
            <w:r>
              <w:rPr>
                <w:rFonts w:cs="Arial"/>
                <w:sz w:val="14"/>
                <w:szCs w:val="14"/>
              </w:rPr>
              <w:t>,</w:t>
            </w:r>
            <w:r w:rsidRPr="000A161C">
              <w:rPr>
                <w:rFonts w:cs="Arial"/>
                <w:sz w:val="14"/>
                <w:szCs w:val="14"/>
              </w:rPr>
              <w:t>504</w:t>
            </w:r>
          </w:p>
        </w:tc>
        <w:tc>
          <w:tcPr>
            <w:tcW w:w="3260" w:type="dxa"/>
            <w:tcBorders>
              <w:top w:val="nil"/>
              <w:left w:val="nil"/>
              <w:bottom w:val="nil"/>
              <w:right w:val="nil"/>
            </w:tcBorders>
            <w:shd w:val="clear" w:color="auto" w:fill="auto"/>
            <w:vAlign w:val="center"/>
          </w:tcPr>
          <w:p w14:paraId="483D5C16"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2A34F5">
              <w:rPr>
                <w:rFonts w:cs="Arial"/>
                <w:sz w:val="14"/>
                <w:szCs w:val="14"/>
              </w:rPr>
              <w:t>77</w:t>
            </w:r>
            <w:r>
              <w:rPr>
                <w:rFonts w:cs="Arial"/>
                <w:sz w:val="14"/>
                <w:szCs w:val="14"/>
              </w:rPr>
              <w:t>,</w:t>
            </w:r>
            <w:r w:rsidRPr="002A34F5">
              <w:rPr>
                <w:rFonts w:cs="Arial"/>
                <w:sz w:val="14"/>
                <w:szCs w:val="14"/>
              </w:rPr>
              <w:t>580</w:t>
            </w:r>
          </w:p>
        </w:tc>
      </w:tr>
      <w:tr w:rsidR="006A362F" w:rsidRPr="00D36690" w14:paraId="28E82D7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53F90D"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Other assets</w:t>
            </w:r>
          </w:p>
        </w:tc>
        <w:tc>
          <w:tcPr>
            <w:tcW w:w="3260" w:type="dxa"/>
            <w:tcBorders>
              <w:top w:val="nil"/>
              <w:left w:val="nil"/>
              <w:bottom w:val="nil"/>
              <w:right w:val="nil"/>
            </w:tcBorders>
            <w:shd w:val="clear" w:color="auto" w:fill="auto"/>
            <w:vAlign w:val="center"/>
          </w:tcPr>
          <w:p w14:paraId="198652F3" w14:textId="77777777" w:rsidR="006A362F" w:rsidRPr="000A161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87</w:t>
            </w:r>
            <w:r>
              <w:rPr>
                <w:rFonts w:cs="Arial"/>
                <w:sz w:val="14"/>
                <w:szCs w:val="14"/>
              </w:rPr>
              <w:t>,</w:t>
            </w:r>
            <w:r w:rsidRPr="000A161C">
              <w:rPr>
                <w:rFonts w:cs="Arial"/>
                <w:sz w:val="14"/>
                <w:szCs w:val="14"/>
              </w:rPr>
              <w:t>594</w:t>
            </w:r>
          </w:p>
        </w:tc>
        <w:tc>
          <w:tcPr>
            <w:tcW w:w="3260" w:type="dxa"/>
            <w:tcBorders>
              <w:top w:val="nil"/>
              <w:left w:val="nil"/>
              <w:bottom w:val="nil"/>
              <w:right w:val="nil"/>
            </w:tcBorders>
            <w:shd w:val="clear" w:color="auto" w:fill="auto"/>
            <w:vAlign w:val="center"/>
          </w:tcPr>
          <w:p w14:paraId="5128E50E"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73</w:t>
            </w:r>
            <w:r>
              <w:rPr>
                <w:rFonts w:cs="Arial"/>
                <w:sz w:val="14"/>
                <w:szCs w:val="14"/>
              </w:rPr>
              <w:t>,</w:t>
            </w:r>
            <w:r w:rsidRPr="002A34F5">
              <w:rPr>
                <w:rFonts w:cs="Arial"/>
                <w:sz w:val="14"/>
                <w:szCs w:val="14"/>
              </w:rPr>
              <w:t>864</w:t>
            </w:r>
          </w:p>
        </w:tc>
      </w:tr>
      <w:tr w:rsidR="006A362F" w:rsidRPr="002A34F5" w14:paraId="6238D61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241C58" w14:textId="77777777" w:rsidR="006A362F" w:rsidRPr="002A34F5" w:rsidRDefault="006A362F" w:rsidP="006928A6">
            <w:pPr>
              <w:keepNext/>
              <w:keepLines/>
              <w:rPr>
                <w:rFonts w:cs="Arial"/>
                <w:color w:val="000000"/>
                <w:sz w:val="14"/>
                <w:szCs w:val="14"/>
                <w:highlight w:val="yellow"/>
              </w:rPr>
            </w:pPr>
            <w:r>
              <w:rPr>
                <w:rFonts w:cs="Arial"/>
                <w:sz w:val="14"/>
                <w:szCs w:val="14"/>
              </w:rPr>
              <w:t>Non-current assets</w:t>
            </w:r>
          </w:p>
        </w:tc>
        <w:tc>
          <w:tcPr>
            <w:tcW w:w="3260" w:type="dxa"/>
            <w:tcBorders>
              <w:top w:val="nil"/>
              <w:left w:val="nil"/>
              <w:bottom w:val="nil"/>
              <w:right w:val="nil"/>
            </w:tcBorders>
            <w:shd w:val="clear" w:color="auto" w:fill="auto"/>
            <w:vAlign w:val="center"/>
          </w:tcPr>
          <w:p w14:paraId="7A604311"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18</w:t>
            </w:r>
            <w:r>
              <w:rPr>
                <w:rFonts w:cs="Arial"/>
                <w:b/>
                <w:bCs/>
                <w:sz w:val="14"/>
                <w:szCs w:val="14"/>
              </w:rPr>
              <w:t>,</w:t>
            </w:r>
            <w:r w:rsidRPr="002A34F5">
              <w:rPr>
                <w:rFonts w:cs="Arial"/>
                <w:b/>
                <w:bCs/>
                <w:sz w:val="14"/>
                <w:szCs w:val="14"/>
              </w:rPr>
              <w:t>918</w:t>
            </w:r>
            <w:r>
              <w:rPr>
                <w:rFonts w:cs="Arial"/>
                <w:b/>
                <w:bCs/>
                <w:sz w:val="14"/>
                <w:szCs w:val="14"/>
              </w:rPr>
              <w:t>,</w:t>
            </w:r>
            <w:r w:rsidRPr="002A34F5">
              <w:rPr>
                <w:rFonts w:cs="Arial"/>
                <w:b/>
                <w:bCs/>
                <w:sz w:val="14"/>
                <w:szCs w:val="14"/>
              </w:rPr>
              <w:t>812</w:t>
            </w:r>
          </w:p>
        </w:tc>
        <w:tc>
          <w:tcPr>
            <w:tcW w:w="3260" w:type="dxa"/>
            <w:tcBorders>
              <w:top w:val="nil"/>
              <w:left w:val="nil"/>
              <w:bottom w:val="nil"/>
              <w:right w:val="nil"/>
            </w:tcBorders>
            <w:shd w:val="clear" w:color="auto" w:fill="auto"/>
            <w:vAlign w:val="center"/>
          </w:tcPr>
          <w:p w14:paraId="59F9E0FB"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18</w:t>
            </w:r>
            <w:r>
              <w:rPr>
                <w:rFonts w:cs="Arial"/>
                <w:b/>
                <w:bCs/>
                <w:sz w:val="14"/>
                <w:szCs w:val="14"/>
              </w:rPr>
              <w:t>,</w:t>
            </w:r>
            <w:r w:rsidRPr="002A34F5">
              <w:rPr>
                <w:rFonts w:cs="Arial"/>
                <w:b/>
                <w:bCs/>
                <w:sz w:val="14"/>
                <w:szCs w:val="14"/>
              </w:rPr>
              <w:t>745</w:t>
            </w:r>
            <w:r>
              <w:rPr>
                <w:rFonts w:cs="Arial"/>
                <w:b/>
                <w:bCs/>
                <w:sz w:val="14"/>
                <w:szCs w:val="14"/>
              </w:rPr>
              <w:t>,</w:t>
            </w:r>
            <w:r w:rsidRPr="002A34F5">
              <w:rPr>
                <w:rFonts w:cs="Arial"/>
                <w:b/>
                <w:bCs/>
                <w:sz w:val="14"/>
                <w:szCs w:val="14"/>
              </w:rPr>
              <w:t>633</w:t>
            </w:r>
          </w:p>
        </w:tc>
      </w:tr>
      <w:tr w:rsidR="006A362F" w:rsidRPr="00D36690" w14:paraId="53752C2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7B5467"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Financial Instruments</w:t>
            </w:r>
          </w:p>
        </w:tc>
        <w:tc>
          <w:tcPr>
            <w:tcW w:w="3260" w:type="dxa"/>
            <w:tcBorders>
              <w:top w:val="nil"/>
              <w:left w:val="nil"/>
              <w:bottom w:val="nil"/>
              <w:right w:val="nil"/>
            </w:tcBorders>
            <w:shd w:val="clear" w:color="auto" w:fill="auto"/>
            <w:vAlign w:val="center"/>
          </w:tcPr>
          <w:p w14:paraId="4B61D7E5" w14:textId="77777777" w:rsidR="006A362F" w:rsidRPr="000A161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18</w:t>
            </w:r>
            <w:r>
              <w:rPr>
                <w:rFonts w:cs="Arial"/>
                <w:sz w:val="14"/>
                <w:szCs w:val="14"/>
              </w:rPr>
              <w:t>,</w:t>
            </w:r>
            <w:r w:rsidRPr="000A161C">
              <w:rPr>
                <w:rFonts w:cs="Arial"/>
                <w:sz w:val="14"/>
                <w:szCs w:val="14"/>
              </w:rPr>
              <w:t>598</w:t>
            </w:r>
            <w:r>
              <w:rPr>
                <w:rFonts w:cs="Arial"/>
                <w:sz w:val="14"/>
                <w:szCs w:val="14"/>
              </w:rPr>
              <w:t>,</w:t>
            </w:r>
            <w:r w:rsidRPr="000A161C">
              <w:rPr>
                <w:rFonts w:cs="Arial"/>
                <w:sz w:val="14"/>
                <w:szCs w:val="14"/>
              </w:rPr>
              <w:t>550</w:t>
            </w:r>
          </w:p>
        </w:tc>
        <w:tc>
          <w:tcPr>
            <w:tcW w:w="3260" w:type="dxa"/>
            <w:tcBorders>
              <w:top w:val="nil"/>
              <w:left w:val="nil"/>
              <w:bottom w:val="nil"/>
              <w:right w:val="nil"/>
            </w:tcBorders>
            <w:shd w:val="clear" w:color="auto" w:fill="auto"/>
            <w:vAlign w:val="center"/>
          </w:tcPr>
          <w:p w14:paraId="03A45C4A"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18</w:t>
            </w:r>
            <w:r>
              <w:rPr>
                <w:rFonts w:cs="Arial"/>
                <w:sz w:val="14"/>
                <w:szCs w:val="14"/>
              </w:rPr>
              <w:t>,</w:t>
            </w:r>
            <w:r w:rsidRPr="002A34F5">
              <w:rPr>
                <w:rFonts w:cs="Arial"/>
                <w:sz w:val="14"/>
                <w:szCs w:val="14"/>
              </w:rPr>
              <w:t>404</w:t>
            </w:r>
            <w:r>
              <w:rPr>
                <w:rFonts w:cs="Arial"/>
                <w:sz w:val="14"/>
                <w:szCs w:val="14"/>
              </w:rPr>
              <w:t>,</w:t>
            </w:r>
            <w:r w:rsidRPr="002A34F5">
              <w:rPr>
                <w:rFonts w:cs="Arial"/>
                <w:sz w:val="14"/>
                <w:szCs w:val="14"/>
              </w:rPr>
              <w:t>470</w:t>
            </w:r>
          </w:p>
        </w:tc>
      </w:tr>
      <w:tr w:rsidR="006A362F" w:rsidRPr="00D36690" w14:paraId="7FF2499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2C4AAE"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C</w:t>
            </w:r>
            <w:r w:rsidRPr="00FC4DCD">
              <w:rPr>
                <w:rFonts w:cs="Arial"/>
                <w:b w:val="0"/>
                <w:bCs w:val="0"/>
                <w:sz w:val="14"/>
                <w:szCs w:val="14"/>
              </w:rPr>
              <w:t>redit from operations</w:t>
            </w:r>
          </w:p>
        </w:tc>
        <w:tc>
          <w:tcPr>
            <w:tcW w:w="3260" w:type="dxa"/>
            <w:tcBorders>
              <w:top w:val="nil"/>
              <w:left w:val="nil"/>
              <w:bottom w:val="nil"/>
              <w:right w:val="nil"/>
            </w:tcBorders>
            <w:shd w:val="clear" w:color="auto" w:fill="auto"/>
            <w:vAlign w:val="center"/>
          </w:tcPr>
          <w:p w14:paraId="2B39E5FB" w14:textId="77777777" w:rsidR="006A362F" w:rsidRPr="000A161C"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A161C">
              <w:rPr>
                <w:rFonts w:cs="Arial"/>
                <w:sz w:val="14"/>
                <w:szCs w:val="14"/>
              </w:rPr>
              <w:t>41</w:t>
            </w:r>
            <w:r>
              <w:rPr>
                <w:rFonts w:cs="Arial"/>
                <w:sz w:val="14"/>
                <w:szCs w:val="14"/>
              </w:rPr>
              <w:t>,</w:t>
            </w:r>
            <w:r w:rsidRPr="000A161C">
              <w:rPr>
                <w:rFonts w:cs="Arial"/>
                <w:sz w:val="14"/>
                <w:szCs w:val="14"/>
              </w:rPr>
              <w:t>524</w:t>
            </w:r>
          </w:p>
        </w:tc>
        <w:tc>
          <w:tcPr>
            <w:tcW w:w="3260" w:type="dxa"/>
            <w:tcBorders>
              <w:top w:val="nil"/>
              <w:left w:val="nil"/>
              <w:bottom w:val="nil"/>
              <w:right w:val="nil"/>
            </w:tcBorders>
            <w:shd w:val="clear" w:color="auto" w:fill="auto"/>
            <w:vAlign w:val="center"/>
          </w:tcPr>
          <w:p w14:paraId="67388FD2"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2A34F5">
              <w:rPr>
                <w:rFonts w:cs="Arial"/>
                <w:sz w:val="14"/>
                <w:szCs w:val="14"/>
              </w:rPr>
              <w:t>58</w:t>
            </w:r>
            <w:r>
              <w:rPr>
                <w:rFonts w:cs="Arial"/>
                <w:sz w:val="14"/>
                <w:szCs w:val="14"/>
              </w:rPr>
              <w:t>,</w:t>
            </w:r>
            <w:r w:rsidRPr="002A34F5">
              <w:rPr>
                <w:rFonts w:cs="Arial"/>
                <w:sz w:val="14"/>
                <w:szCs w:val="14"/>
              </w:rPr>
              <w:t>859</w:t>
            </w:r>
          </w:p>
        </w:tc>
      </w:tr>
      <w:tr w:rsidR="006A362F" w:rsidRPr="00D36690" w14:paraId="45CE538F"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CFF4CE7"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Other assets</w:t>
            </w:r>
          </w:p>
        </w:tc>
        <w:tc>
          <w:tcPr>
            <w:tcW w:w="3260" w:type="dxa"/>
            <w:tcBorders>
              <w:top w:val="nil"/>
              <w:left w:val="nil"/>
              <w:bottom w:val="nil"/>
              <w:right w:val="nil"/>
            </w:tcBorders>
            <w:shd w:val="clear" w:color="auto" w:fill="auto"/>
            <w:vAlign w:val="center"/>
          </w:tcPr>
          <w:p w14:paraId="39360260" w14:textId="77777777" w:rsidR="006A362F" w:rsidRPr="000A161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278</w:t>
            </w:r>
            <w:r>
              <w:rPr>
                <w:rFonts w:cs="Arial"/>
                <w:sz w:val="14"/>
                <w:szCs w:val="14"/>
              </w:rPr>
              <w:t>,</w:t>
            </w:r>
            <w:r w:rsidRPr="000A161C">
              <w:rPr>
                <w:rFonts w:cs="Arial"/>
                <w:sz w:val="14"/>
                <w:szCs w:val="14"/>
              </w:rPr>
              <w:t>738</w:t>
            </w:r>
          </w:p>
        </w:tc>
        <w:tc>
          <w:tcPr>
            <w:tcW w:w="3260" w:type="dxa"/>
            <w:tcBorders>
              <w:top w:val="nil"/>
              <w:left w:val="nil"/>
              <w:bottom w:val="nil"/>
              <w:right w:val="nil"/>
            </w:tcBorders>
            <w:shd w:val="clear" w:color="auto" w:fill="auto"/>
            <w:vAlign w:val="center"/>
          </w:tcPr>
          <w:p w14:paraId="6805E926"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282</w:t>
            </w:r>
            <w:r>
              <w:rPr>
                <w:rFonts w:cs="Arial"/>
                <w:sz w:val="14"/>
                <w:szCs w:val="14"/>
              </w:rPr>
              <w:t>,</w:t>
            </w:r>
            <w:r w:rsidRPr="002A34F5">
              <w:rPr>
                <w:rFonts w:cs="Arial"/>
                <w:sz w:val="14"/>
                <w:szCs w:val="14"/>
              </w:rPr>
              <w:t>304</w:t>
            </w:r>
          </w:p>
        </w:tc>
      </w:tr>
      <w:tr w:rsidR="006A362F" w:rsidRPr="002A34F5" w14:paraId="0324725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687F5A" w14:textId="77777777" w:rsidR="006A362F" w:rsidRPr="002A34F5" w:rsidRDefault="006A362F" w:rsidP="006928A6">
            <w:pPr>
              <w:keepNext/>
              <w:keepLines/>
              <w:rPr>
                <w:rFonts w:cs="Arial"/>
                <w:color w:val="000000"/>
                <w:sz w:val="14"/>
                <w:szCs w:val="14"/>
                <w:highlight w:val="yellow"/>
              </w:rPr>
            </w:pPr>
            <w:r>
              <w:rPr>
                <w:rFonts w:cs="Arial"/>
                <w:sz w:val="14"/>
                <w:szCs w:val="14"/>
              </w:rPr>
              <w:t>Total Assets</w:t>
            </w:r>
          </w:p>
        </w:tc>
        <w:tc>
          <w:tcPr>
            <w:tcW w:w="3260" w:type="dxa"/>
            <w:tcBorders>
              <w:top w:val="nil"/>
              <w:left w:val="nil"/>
              <w:bottom w:val="nil"/>
              <w:right w:val="nil"/>
            </w:tcBorders>
            <w:shd w:val="clear" w:color="auto" w:fill="auto"/>
            <w:vAlign w:val="center"/>
          </w:tcPr>
          <w:p w14:paraId="1EEA507A"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360</w:t>
            </w:r>
            <w:r>
              <w:rPr>
                <w:rFonts w:cs="Arial"/>
                <w:b/>
                <w:bCs/>
                <w:sz w:val="14"/>
                <w:szCs w:val="14"/>
              </w:rPr>
              <w:t>,</w:t>
            </w:r>
            <w:r w:rsidRPr="002A34F5">
              <w:rPr>
                <w:rFonts w:cs="Arial"/>
                <w:b/>
                <w:bCs/>
                <w:sz w:val="14"/>
                <w:szCs w:val="14"/>
              </w:rPr>
              <w:t>526</w:t>
            </w:r>
            <w:r>
              <w:rPr>
                <w:rFonts w:cs="Arial"/>
                <w:b/>
                <w:bCs/>
                <w:sz w:val="14"/>
                <w:szCs w:val="14"/>
              </w:rPr>
              <w:t>,</w:t>
            </w:r>
            <w:r w:rsidRPr="002A34F5">
              <w:rPr>
                <w:rFonts w:cs="Arial"/>
                <w:b/>
                <w:bCs/>
                <w:sz w:val="14"/>
                <w:szCs w:val="14"/>
              </w:rPr>
              <w:t>483</w:t>
            </w:r>
          </w:p>
        </w:tc>
        <w:tc>
          <w:tcPr>
            <w:tcW w:w="3260" w:type="dxa"/>
            <w:tcBorders>
              <w:top w:val="nil"/>
              <w:left w:val="nil"/>
              <w:bottom w:val="nil"/>
              <w:right w:val="nil"/>
            </w:tcBorders>
            <w:shd w:val="clear" w:color="auto" w:fill="auto"/>
            <w:vAlign w:val="center"/>
          </w:tcPr>
          <w:p w14:paraId="1E1E1550"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349</w:t>
            </w:r>
            <w:r>
              <w:rPr>
                <w:rFonts w:cs="Arial"/>
                <w:b/>
                <w:bCs/>
                <w:sz w:val="14"/>
                <w:szCs w:val="14"/>
              </w:rPr>
              <w:t>,</w:t>
            </w:r>
            <w:r w:rsidRPr="002A34F5">
              <w:rPr>
                <w:rFonts w:cs="Arial"/>
                <w:b/>
                <w:bCs/>
                <w:sz w:val="14"/>
                <w:szCs w:val="14"/>
              </w:rPr>
              <w:t>784</w:t>
            </w:r>
            <w:r>
              <w:rPr>
                <w:rFonts w:cs="Arial"/>
                <w:b/>
                <w:bCs/>
                <w:sz w:val="14"/>
                <w:szCs w:val="14"/>
              </w:rPr>
              <w:t>,</w:t>
            </w:r>
            <w:r w:rsidRPr="002A34F5">
              <w:rPr>
                <w:rFonts w:cs="Arial"/>
                <w:b/>
                <w:bCs/>
                <w:sz w:val="14"/>
                <w:szCs w:val="14"/>
              </w:rPr>
              <w:t>047</w:t>
            </w:r>
          </w:p>
        </w:tc>
      </w:tr>
      <w:tr w:rsidR="006A362F" w:rsidRPr="002A34F5" w14:paraId="0EAC5A4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843F429" w14:textId="77777777" w:rsidR="006A362F" w:rsidRPr="002A34F5" w:rsidRDefault="006A362F" w:rsidP="006928A6">
            <w:pPr>
              <w:keepNext/>
              <w:keepLines/>
              <w:rPr>
                <w:rFonts w:cs="Arial"/>
                <w:color w:val="000000"/>
                <w:sz w:val="14"/>
                <w:szCs w:val="14"/>
                <w:highlight w:val="yellow"/>
              </w:rPr>
            </w:pPr>
          </w:p>
        </w:tc>
        <w:tc>
          <w:tcPr>
            <w:tcW w:w="3260" w:type="dxa"/>
            <w:tcBorders>
              <w:top w:val="nil"/>
              <w:left w:val="nil"/>
              <w:bottom w:val="nil"/>
              <w:right w:val="nil"/>
            </w:tcBorders>
            <w:shd w:val="clear" w:color="auto" w:fill="auto"/>
            <w:vAlign w:val="center"/>
          </w:tcPr>
          <w:p w14:paraId="51FAA056"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p>
        </w:tc>
        <w:tc>
          <w:tcPr>
            <w:tcW w:w="3260" w:type="dxa"/>
            <w:tcBorders>
              <w:top w:val="nil"/>
              <w:left w:val="nil"/>
              <w:bottom w:val="nil"/>
              <w:right w:val="nil"/>
            </w:tcBorders>
            <w:shd w:val="clear" w:color="auto" w:fill="auto"/>
            <w:vAlign w:val="center"/>
          </w:tcPr>
          <w:p w14:paraId="16E5F31D"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p>
        </w:tc>
      </w:tr>
      <w:tr w:rsidR="006A362F" w:rsidRPr="002A34F5" w14:paraId="1D3BE3F1"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103F39" w14:textId="77777777" w:rsidR="006A362F" w:rsidRPr="002A34F5" w:rsidRDefault="006A362F" w:rsidP="006928A6">
            <w:pPr>
              <w:keepNext/>
              <w:keepLines/>
              <w:rPr>
                <w:rFonts w:cs="Arial"/>
                <w:color w:val="000000"/>
                <w:sz w:val="14"/>
                <w:szCs w:val="14"/>
                <w:highlight w:val="yellow"/>
              </w:rPr>
            </w:pPr>
            <w:r>
              <w:rPr>
                <w:rFonts w:cs="Arial"/>
                <w:sz w:val="14"/>
                <w:szCs w:val="14"/>
              </w:rPr>
              <w:t>Current Liabilities</w:t>
            </w:r>
          </w:p>
        </w:tc>
        <w:tc>
          <w:tcPr>
            <w:tcW w:w="3260" w:type="dxa"/>
            <w:tcBorders>
              <w:top w:val="nil"/>
              <w:left w:val="nil"/>
              <w:bottom w:val="nil"/>
              <w:right w:val="nil"/>
            </w:tcBorders>
            <w:shd w:val="clear" w:color="auto" w:fill="auto"/>
            <w:vAlign w:val="center"/>
          </w:tcPr>
          <w:p w14:paraId="5B56109F"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40</w:t>
            </w:r>
            <w:r>
              <w:rPr>
                <w:rFonts w:cs="Arial"/>
                <w:b/>
                <w:bCs/>
                <w:sz w:val="14"/>
                <w:szCs w:val="14"/>
              </w:rPr>
              <w:t>,</w:t>
            </w:r>
            <w:r w:rsidRPr="002A34F5">
              <w:rPr>
                <w:rFonts w:cs="Arial"/>
                <w:b/>
                <w:bCs/>
                <w:sz w:val="14"/>
                <w:szCs w:val="14"/>
              </w:rPr>
              <w:t>927</w:t>
            </w:r>
            <w:r>
              <w:rPr>
                <w:rFonts w:cs="Arial"/>
                <w:b/>
                <w:bCs/>
                <w:sz w:val="14"/>
                <w:szCs w:val="14"/>
              </w:rPr>
              <w:t>,</w:t>
            </w:r>
            <w:r w:rsidRPr="002A34F5">
              <w:rPr>
                <w:rFonts w:cs="Arial"/>
                <w:b/>
                <w:bCs/>
                <w:sz w:val="14"/>
                <w:szCs w:val="14"/>
              </w:rPr>
              <w:t>636</w:t>
            </w:r>
          </w:p>
        </w:tc>
        <w:tc>
          <w:tcPr>
            <w:tcW w:w="3260" w:type="dxa"/>
            <w:tcBorders>
              <w:top w:val="nil"/>
              <w:left w:val="nil"/>
              <w:bottom w:val="nil"/>
              <w:right w:val="nil"/>
            </w:tcBorders>
            <w:shd w:val="clear" w:color="auto" w:fill="auto"/>
            <w:vAlign w:val="center"/>
          </w:tcPr>
          <w:p w14:paraId="0FC89655"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39</w:t>
            </w:r>
            <w:r>
              <w:rPr>
                <w:rFonts w:cs="Arial"/>
                <w:b/>
                <w:bCs/>
                <w:sz w:val="14"/>
                <w:szCs w:val="14"/>
              </w:rPr>
              <w:t>,</w:t>
            </w:r>
            <w:r w:rsidRPr="002A34F5">
              <w:rPr>
                <w:rFonts w:cs="Arial"/>
                <w:b/>
                <w:bCs/>
                <w:sz w:val="14"/>
                <w:szCs w:val="14"/>
              </w:rPr>
              <w:t>563</w:t>
            </w:r>
            <w:r>
              <w:rPr>
                <w:rFonts w:cs="Arial"/>
                <w:b/>
                <w:bCs/>
                <w:sz w:val="14"/>
                <w:szCs w:val="14"/>
              </w:rPr>
              <w:t>,</w:t>
            </w:r>
            <w:r w:rsidRPr="002A34F5">
              <w:rPr>
                <w:rFonts w:cs="Arial"/>
                <w:b/>
                <w:bCs/>
                <w:sz w:val="14"/>
                <w:szCs w:val="14"/>
              </w:rPr>
              <w:t>437</w:t>
            </w:r>
          </w:p>
        </w:tc>
      </w:tr>
      <w:tr w:rsidR="006A362F" w:rsidRPr="00D36690" w14:paraId="02B393B4"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A45CB6" w14:textId="77777777" w:rsidR="006A362F" w:rsidRPr="00D36690" w:rsidRDefault="006A362F" w:rsidP="006928A6">
            <w:pPr>
              <w:keepNext/>
              <w:keepLines/>
              <w:ind w:left="113"/>
              <w:rPr>
                <w:rFonts w:cs="Arial"/>
                <w:b w:val="0"/>
                <w:bCs w:val="0"/>
                <w:sz w:val="14"/>
                <w:szCs w:val="14"/>
              </w:rPr>
            </w:pPr>
            <w:r w:rsidRPr="00FC4DCD">
              <w:rPr>
                <w:rFonts w:cs="Arial"/>
                <w:b w:val="0"/>
                <w:bCs w:val="0"/>
                <w:sz w:val="14"/>
                <w:szCs w:val="14"/>
              </w:rPr>
              <w:t>Amounts payable</w:t>
            </w:r>
          </w:p>
        </w:tc>
        <w:tc>
          <w:tcPr>
            <w:tcW w:w="3260" w:type="dxa"/>
            <w:tcBorders>
              <w:top w:val="nil"/>
              <w:left w:val="nil"/>
              <w:bottom w:val="nil"/>
              <w:right w:val="nil"/>
            </w:tcBorders>
            <w:shd w:val="clear" w:color="auto" w:fill="auto"/>
            <w:vAlign w:val="center"/>
          </w:tcPr>
          <w:p w14:paraId="45856285" w14:textId="77777777" w:rsidR="006A362F" w:rsidRPr="000A161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639</w:t>
            </w:r>
            <w:r>
              <w:rPr>
                <w:rFonts w:cs="Arial"/>
                <w:sz w:val="14"/>
                <w:szCs w:val="14"/>
              </w:rPr>
              <w:t>,</w:t>
            </w:r>
            <w:r w:rsidRPr="000A161C">
              <w:rPr>
                <w:rFonts w:cs="Arial"/>
                <w:sz w:val="14"/>
                <w:szCs w:val="14"/>
              </w:rPr>
              <w:t>540</w:t>
            </w:r>
          </w:p>
        </w:tc>
        <w:tc>
          <w:tcPr>
            <w:tcW w:w="3260" w:type="dxa"/>
            <w:tcBorders>
              <w:top w:val="nil"/>
              <w:left w:val="nil"/>
              <w:bottom w:val="nil"/>
              <w:right w:val="nil"/>
            </w:tcBorders>
            <w:shd w:val="clear" w:color="auto" w:fill="auto"/>
            <w:vAlign w:val="center"/>
          </w:tcPr>
          <w:p w14:paraId="29216F32"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570</w:t>
            </w:r>
            <w:r>
              <w:rPr>
                <w:rFonts w:cs="Arial"/>
                <w:sz w:val="14"/>
                <w:szCs w:val="14"/>
              </w:rPr>
              <w:t>,</w:t>
            </w:r>
            <w:r w:rsidRPr="002A34F5">
              <w:rPr>
                <w:rFonts w:cs="Arial"/>
                <w:sz w:val="14"/>
                <w:szCs w:val="14"/>
              </w:rPr>
              <w:t>238</w:t>
            </w:r>
          </w:p>
        </w:tc>
      </w:tr>
      <w:tr w:rsidR="006A362F" w:rsidRPr="00D36690" w14:paraId="0D7D260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361F42"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C</w:t>
            </w:r>
            <w:r w:rsidRPr="00FC4DCD">
              <w:rPr>
                <w:rFonts w:cs="Arial"/>
                <w:b w:val="0"/>
                <w:bCs w:val="0"/>
                <w:sz w:val="14"/>
                <w:szCs w:val="14"/>
              </w:rPr>
              <w:t>urrent tax liability</w:t>
            </w:r>
          </w:p>
        </w:tc>
        <w:tc>
          <w:tcPr>
            <w:tcW w:w="3260" w:type="dxa"/>
            <w:tcBorders>
              <w:top w:val="nil"/>
              <w:left w:val="nil"/>
              <w:bottom w:val="nil"/>
              <w:right w:val="nil"/>
            </w:tcBorders>
            <w:shd w:val="clear" w:color="auto" w:fill="auto"/>
            <w:vAlign w:val="center"/>
          </w:tcPr>
          <w:p w14:paraId="3D59E9AA" w14:textId="77777777" w:rsidR="006A362F" w:rsidRPr="000A161C"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0A161C">
              <w:rPr>
                <w:rFonts w:cs="Arial"/>
                <w:sz w:val="14"/>
                <w:szCs w:val="14"/>
              </w:rPr>
              <w:t>449</w:t>
            </w:r>
            <w:r>
              <w:rPr>
                <w:rFonts w:cs="Arial"/>
                <w:sz w:val="14"/>
                <w:szCs w:val="14"/>
              </w:rPr>
              <w:t>,</w:t>
            </w:r>
            <w:r w:rsidRPr="000A161C">
              <w:rPr>
                <w:rFonts w:cs="Arial"/>
                <w:sz w:val="14"/>
                <w:szCs w:val="14"/>
              </w:rPr>
              <w:t>220</w:t>
            </w:r>
          </w:p>
        </w:tc>
        <w:tc>
          <w:tcPr>
            <w:tcW w:w="3260" w:type="dxa"/>
            <w:tcBorders>
              <w:top w:val="nil"/>
              <w:left w:val="nil"/>
              <w:bottom w:val="nil"/>
              <w:right w:val="nil"/>
            </w:tcBorders>
            <w:shd w:val="clear" w:color="auto" w:fill="auto"/>
            <w:vAlign w:val="center"/>
          </w:tcPr>
          <w:p w14:paraId="3D660290"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2A34F5">
              <w:rPr>
                <w:rFonts w:cs="Arial"/>
                <w:sz w:val="14"/>
                <w:szCs w:val="14"/>
              </w:rPr>
              <w:t>590</w:t>
            </w:r>
            <w:r>
              <w:rPr>
                <w:rFonts w:cs="Arial"/>
                <w:sz w:val="14"/>
                <w:szCs w:val="14"/>
              </w:rPr>
              <w:t>,</w:t>
            </w:r>
            <w:r w:rsidRPr="002A34F5">
              <w:rPr>
                <w:rFonts w:cs="Arial"/>
                <w:sz w:val="14"/>
                <w:szCs w:val="14"/>
              </w:rPr>
              <w:t>406</w:t>
            </w:r>
          </w:p>
        </w:tc>
      </w:tr>
      <w:tr w:rsidR="006A362F" w:rsidRPr="00D36690" w14:paraId="05723936"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29B577" w14:textId="77777777" w:rsidR="006A362F" w:rsidRPr="00D36690" w:rsidRDefault="006A362F" w:rsidP="006928A6">
            <w:pPr>
              <w:keepNext/>
              <w:keepLines/>
              <w:ind w:left="113"/>
              <w:rPr>
                <w:rFonts w:cs="Arial"/>
                <w:b w:val="0"/>
                <w:bCs w:val="0"/>
                <w:sz w:val="14"/>
                <w:szCs w:val="14"/>
              </w:rPr>
            </w:pPr>
            <w:r w:rsidRPr="00FC4DCD">
              <w:rPr>
                <w:rFonts w:cs="Arial"/>
                <w:b w:val="0"/>
                <w:bCs w:val="0"/>
                <w:sz w:val="14"/>
                <w:szCs w:val="14"/>
              </w:rPr>
              <w:t>Debt from insurance operations</w:t>
            </w:r>
          </w:p>
        </w:tc>
        <w:tc>
          <w:tcPr>
            <w:tcW w:w="3260" w:type="dxa"/>
            <w:tcBorders>
              <w:top w:val="nil"/>
              <w:left w:val="nil"/>
              <w:bottom w:val="nil"/>
              <w:right w:val="nil"/>
            </w:tcBorders>
            <w:shd w:val="clear" w:color="auto" w:fill="auto"/>
            <w:vAlign w:val="center"/>
          </w:tcPr>
          <w:p w14:paraId="7C23498E" w14:textId="77777777" w:rsidR="006A362F" w:rsidRPr="000A161C"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0A161C">
              <w:rPr>
                <w:rFonts w:cs="Arial"/>
                <w:sz w:val="14"/>
                <w:szCs w:val="14"/>
              </w:rPr>
              <w:t>18</w:t>
            </w:r>
            <w:r>
              <w:rPr>
                <w:rFonts w:cs="Arial"/>
                <w:sz w:val="14"/>
                <w:szCs w:val="14"/>
              </w:rPr>
              <w:t>,</w:t>
            </w:r>
            <w:r w:rsidRPr="000A161C">
              <w:rPr>
                <w:rFonts w:cs="Arial"/>
                <w:sz w:val="14"/>
                <w:szCs w:val="14"/>
              </w:rPr>
              <w:t>725</w:t>
            </w:r>
          </w:p>
        </w:tc>
        <w:tc>
          <w:tcPr>
            <w:tcW w:w="3260" w:type="dxa"/>
            <w:tcBorders>
              <w:top w:val="nil"/>
              <w:left w:val="nil"/>
              <w:bottom w:val="nil"/>
              <w:right w:val="nil"/>
            </w:tcBorders>
            <w:shd w:val="clear" w:color="auto" w:fill="auto"/>
            <w:vAlign w:val="center"/>
          </w:tcPr>
          <w:p w14:paraId="70C9B6AF" w14:textId="77777777" w:rsidR="006A362F" w:rsidRPr="002A34F5"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2A34F5">
              <w:rPr>
                <w:rFonts w:cs="Arial"/>
                <w:sz w:val="14"/>
                <w:szCs w:val="14"/>
              </w:rPr>
              <w:t>19</w:t>
            </w:r>
            <w:r>
              <w:rPr>
                <w:rFonts w:cs="Arial"/>
                <w:sz w:val="14"/>
                <w:szCs w:val="14"/>
              </w:rPr>
              <w:t>,</w:t>
            </w:r>
            <w:r w:rsidRPr="002A34F5">
              <w:rPr>
                <w:rFonts w:cs="Arial"/>
                <w:sz w:val="14"/>
                <w:szCs w:val="14"/>
              </w:rPr>
              <w:t>499</w:t>
            </w:r>
          </w:p>
        </w:tc>
      </w:tr>
      <w:tr w:rsidR="006A362F" w:rsidRPr="00D36690" w14:paraId="0B541AD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0973CF"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I</w:t>
            </w:r>
            <w:r w:rsidRPr="00FC4DCD">
              <w:rPr>
                <w:rFonts w:cs="Arial"/>
                <w:b w:val="0"/>
                <w:bCs w:val="0"/>
                <w:sz w:val="14"/>
                <w:szCs w:val="14"/>
              </w:rPr>
              <w:t>nsurance contract</w:t>
            </w:r>
          </w:p>
        </w:tc>
        <w:tc>
          <w:tcPr>
            <w:tcW w:w="3260" w:type="dxa"/>
            <w:tcBorders>
              <w:top w:val="nil"/>
              <w:left w:val="nil"/>
              <w:bottom w:val="nil"/>
              <w:right w:val="nil"/>
            </w:tcBorders>
            <w:shd w:val="clear" w:color="auto" w:fill="auto"/>
            <w:vAlign w:val="center"/>
          </w:tcPr>
          <w:p w14:paraId="27AC7F9A" w14:textId="77777777" w:rsidR="006A362F" w:rsidRPr="000A161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39</w:t>
            </w:r>
            <w:r>
              <w:rPr>
                <w:rFonts w:cs="Arial"/>
                <w:sz w:val="14"/>
                <w:szCs w:val="14"/>
              </w:rPr>
              <w:t>,</w:t>
            </w:r>
            <w:r w:rsidRPr="000A161C">
              <w:rPr>
                <w:rFonts w:cs="Arial"/>
                <w:sz w:val="14"/>
                <w:szCs w:val="14"/>
              </w:rPr>
              <w:t>562</w:t>
            </w:r>
            <w:r>
              <w:rPr>
                <w:rFonts w:cs="Arial"/>
                <w:sz w:val="14"/>
                <w:szCs w:val="14"/>
              </w:rPr>
              <w:t>,</w:t>
            </w:r>
            <w:r w:rsidRPr="000A161C">
              <w:rPr>
                <w:rFonts w:cs="Arial"/>
                <w:sz w:val="14"/>
                <w:szCs w:val="14"/>
              </w:rPr>
              <w:t>244</w:t>
            </w:r>
          </w:p>
        </w:tc>
        <w:tc>
          <w:tcPr>
            <w:tcW w:w="3260" w:type="dxa"/>
            <w:tcBorders>
              <w:top w:val="nil"/>
              <w:left w:val="nil"/>
              <w:bottom w:val="nil"/>
              <w:right w:val="nil"/>
            </w:tcBorders>
            <w:shd w:val="clear" w:color="auto" w:fill="auto"/>
            <w:vAlign w:val="center"/>
          </w:tcPr>
          <w:p w14:paraId="1FA801A7"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38</w:t>
            </w:r>
            <w:r>
              <w:rPr>
                <w:rFonts w:cs="Arial"/>
                <w:sz w:val="14"/>
                <w:szCs w:val="14"/>
              </w:rPr>
              <w:t>,</w:t>
            </w:r>
            <w:r w:rsidRPr="002A34F5">
              <w:rPr>
                <w:rFonts w:cs="Arial"/>
                <w:sz w:val="14"/>
                <w:szCs w:val="14"/>
              </w:rPr>
              <w:t>334</w:t>
            </w:r>
            <w:r>
              <w:rPr>
                <w:rFonts w:cs="Arial"/>
                <w:sz w:val="14"/>
                <w:szCs w:val="14"/>
              </w:rPr>
              <w:t>,</w:t>
            </w:r>
            <w:r w:rsidRPr="002A34F5">
              <w:rPr>
                <w:rFonts w:cs="Arial"/>
                <w:sz w:val="14"/>
                <w:szCs w:val="14"/>
              </w:rPr>
              <w:t>006</w:t>
            </w:r>
          </w:p>
        </w:tc>
      </w:tr>
      <w:tr w:rsidR="006A362F" w:rsidRPr="00D36690" w14:paraId="69344FFC"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49591C7"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Other liabilities</w:t>
            </w:r>
          </w:p>
        </w:tc>
        <w:tc>
          <w:tcPr>
            <w:tcW w:w="3260" w:type="dxa"/>
            <w:tcBorders>
              <w:top w:val="nil"/>
              <w:left w:val="nil"/>
              <w:bottom w:val="nil"/>
              <w:right w:val="nil"/>
            </w:tcBorders>
            <w:shd w:val="clear" w:color="auto" w:fill="auto"/>
            <w:vAlign w:val="center"/>
          </w:tcPr>
          <w:p w14:paraId="69064E91" w14:textId="77777777" w:rsidR="006A362F" w:rsidRPr="000A161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257</w:t>
            </w:r>
            <w:r>
              <w:rPr>
                <w:rFonts w:cs="Arial"/>
                <w:sz w:val="14"/>
                <w:szCs w:val="14"/>
              </w:rPr>
              <w:t>,</w:t>
            </w:r>
            <w:r w:rsidRPr="000A161C">
              <w:rPr>
                <w:rFonts w:cs="Arial"/>
                <w:sz w:val="14"/>
                <w:szCs w:val="14"/>
              </w:rPr>
              <w:t>907</w:t>
            </w:r>
          </w:p>
        </w:tc>
        <w:tc>
          <w:tcPr>
            <w:tcW w:w="3260" w:type="dxa"/>
            <w:tcBorders>
              <w:top w:val="nil"/>
              <w:left w:val="nil"/>
              <w:bottom w:val="nil"/>
              <w:right w:val="nil"/>
            </w:tcBorders>
            <w:shd w:val="clear" w:color="auto" w:fill="auto"/>
            <w:vAlign w:val="center"/>
          </w:tcPr>
          <w:p w14:paraId="3200F142"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49</w:t>
            </w:r>
            <w:r>
              <w:rPr>
                <w:rFonts w:cs="Arial"/>
                <w:sz w:val="14"/>
                <w:szCs w:val="14"/>
              </w:rPr>
              <w:t>,</w:t>
            </w:r>
            <w:r w:rsidRPr="002A34F5">
              <w:rPr>
                <w:rFonts w:cs="Arial"/>
                <w:sz w:val="14"/>
                <w:szCs w:val="14"/>
              </w:rPr>
              <w:t>288</w:t>
            </w:r>
          </w:p>
        </w:tc>
      </w:tr>
      <w:tr w:rsidR="006A362F" w:rsidRPr="002A34F5" w14:paraId="321986C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6ED5CAD" w14:textId="77777777" w:rsidR="006A362F" w:rsidRPr="002A34F5" w:rsidRDefault="006A362F" w:rsidP="006928A6">
            <w:pPr>
              <w:keepNext/>
              <w:keepLines/>
              <w:spacing w:before="40" w:after="40"/>
              <w:rPr>
                <w:rFonts w:cs="Arial"/>
                <w:sz w:val="14"/>
                <w:szCs w:val="14"/>
                <w:highlight w:val="yellow"/>
              </w:rPr>
            </w:pPr>
            <w:r>
              <w:rPr>
                <w:rFonts w:cs="Arial"/>
                <w:sz w:val="14"/>
                <w:szCs w:val="14"/>
              </w:rPr>
              <w:t>Non-Current Liabilities</w:t>
            </w:r>
          </w:p>
        </w:tc>
        <w:tc>
          <w:tcPr>
            <w:tcW w:w="3260" w:type="dxa"/>
            <w:tcBorders>
              <w:top w:val="nil"/>
              <w:left w:val="nil"/>
              <w:bottom w:val="nil"/>
              <w:right w:val="nil"/>
            </w:tcBorders>
            <w:shd w:val="clear" w:color="auto" w:fill="auto"/>
            <w:vAlign w:val="center"/>
          </w:tcPr>
          <w:p w14:paraId="2B09226E"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312</w:t>
            </w:r>
            <w:r>
              <w:rPr>
                <w:rFonts w:cs="Arial"/>
                <w:b/>
                <w:bCs/>
                <w:sz w:val="14"/>
                <w:szCs w:val="14"/>
              </w:rPr>
              <w:t>,</w:t>
            </w:r>
            <w:r w:rsidRPr="002A34F5">
              <w:rPr>
                <w:rFonts w:cs="Arial"/>
                <w:b/>
                <w:bCs/>
                <w:sz w:val="14"/>
                <w:szCs w:val="14"/>
              </w:rPr>
              <w:t>782</w:t>
            </w:r>
            <w:r>
              <w:rPr>
                <w:rFonts w:cs="Arial"/>
                <w:b/>
                <w:bCs/>
                <w:sz w:val="14"/>
                <w:szCs w:val="14"/>
              </w:rPr>
              <w:t>,</w:t>
            </w:r>
            <w:r w:rsidRPr="002A34F5">
              <w:rPr>
                <w:rFonts w:cs="Arial"/>
                <w:b/>
                <w:bCs/>
                <w:sz w:val="14"/>
                <w:szCs w:val="14"/>
              </w:rPr>
              <w:t>427</w:t>
            </w:r>
          </w:p>
        </w:tc>
        <w:tc>
          <w:tcPr>
            <w:tcW w:w="3260" w:type="dxa"/>
            <w:tcBorders>
              <w:top w:val="nil"/>
              <w:left w:val="nil"/>
              <w:bottom w:val="nil"/>
              <w:right w:val="nil"/>
            </w:tcBorders>
            <w:shd w:val="clear" w:color="auto" w:fill="auto"/>
            <w:vAlign w:val="center"/>
          </w:tcPr>
          <w:p w14:paraId="187A97AD"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2A34F5">
              <w:rPr>
                <w:rFonts w:cs="Arial"/>
                <w:b/>
                <w:bCs/>
                <w:sz w:val="14"/>
                <w:szCs w:val="14"/>
              </w:rPr>
              <w:t>303</w:t>
            </w:r>
            <w:r>
              <w:rPr>
                <w:rFonts w:cs="Arial"/>
                <w:b/>
                <w:bCs/>
                <w:sz w:val="14"/>
                <w:szCs w:val="14"/>
              </w:rPr>
              <w:t>,</w:t>
            </w:r>
            <w:r w:rsidRPr="002A34F5">
              <w:rPr>
                <w:rFonts w:cs="Arial"/>
                <w:b/>
                <w:bCs/>
                <w:sz w:val="14"/>
                <w:szCs w:val="14"/>
              </w:rPr>
              <w:t>744</w:t>
            </w:r>
            <w:r>
              <w:rPr>
                <w:rFonts w:cs="Arial"/>
                <w:b/>
                <w:bCs/>
                <w:sz w:val="14"/>
                <w:szCs w:val="14"/>
              </w:rPr>
              <w:t>,</w:t>
            </w:r>
            <w:r w:rsidRPr="002A34F5">
              <w:rPr>
                <w:rFonts w:cs="Arial"/>
                <w:b/>
                <w:bCs/>
                <w:sz w:val="14"/>
                <w:szCs w:val="14"/>
              </w:rPr>
              <w:t>707</w:t>
            </w:r>
          </w:p>
        </w:tc>
      </w:tr>
      <w:tr w:rsidR="006A362F" w:rsidRPr="00D36690" w14:paraId="19C119E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854BD0A"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I</w:t>
            </w:r>
            <w:r w:rsidRPr="00FC4DCD">
              <w:rPr>
                <w:rFonts w:cs="Arial"/>
                <w:b w:val="0"/>
                <w:bCs w:val="0"/>
                <w:sz w:val="14"/>
                <w:szCs w:val="14"/>
              </w:rPr>
              <w:t>nsurance contract</w:t>
            </w:r>
          </w:p>
        </w:tc>
        <w:tc>
          <w:tcPr>
            <w:tcW w:w="3260" w:type="dxa"/>
            <w:tcBorders>
              <w:top w:val="nil"/>
              <w:left w:val="nil"/>
              <w:bottom w:val="nil"/>
              <w:right w:val="nil"/>
            </w:tcBorders>
            <w:shd w:val="clear" w:color="auto" w:fill="auto"/>
            <w:vAlign w:val="center"/>
          </w:tcPr>
          <w:p w14:paraId="05E4F151" w14:textId="77777777" w:rsidR="006A362F" w:rsidRPr="000A161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311</w:t>
            </w:r>
            <w:r>
              <w:rPr>
                <w:rFonts w:cs="Arial"/>
                <w:sz w:val="14"/>
                <w:szCs w:val="14"/>
              </w:rPr>
              <w:t>,</w:t>
            </w:r>
            <w:r w:rsidRPr="000A161C">
              <w:rPr>
                <w:rFonts w:cs="Arial"/>
                <w:sz w:val="14"/>
                <w:szCs w:val="14"/>
              </w:rPr>
              <w:t>620</w:t>
            </w:r>
            <w:r>
              <w:rPr>
                <w:rFonts w:cs="Arial"/>
                <w:sz w:val="14"/>
                <w:szCs w:val="14"/>
              </w:rPr>
              <w:t>,</w:t>
            </w:r>
            <w:r w:rsidRPr="000A161C">
              <w:rPr>
                <w:rFonts w:cs="Arial"/>
                <w:sz w:val="14"/>
                <w:szCs w:val="14"/>
              </w:rPr>
              <w:t>332</w:t>
            </w:r>
          </w:p>
        </w:tc>
        <w:tc>
          <w:tcPr>
            <w:tcW w:w="3260" w:type="dxa"/>
            <w:tcBorders>
              <w:top w:val="nil"/>
              <w:left w:val="nil"/>
              <w:bottom w:val="nil"/>
              <w:right w:val="nil"/>
            </w:tcBorders>
            <w:shd w:val="clear" w:color="auto" w:fill="auto"/>
            <w:vAlign w:val="center"/>
          </w:tcPr>
          <w:p w14:paraId="3B0A6B3F"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302</w:t>
            </w:r>
            <w:r>
              <w:rPr>
                <w:rFonts w:cs="Arial"/>
                <w:sz w:val="14"/>
                <w:szCs w:val="14"/>
              </w:rPr>
              <w:t>,</w:t>
            </w:r>
            <w:r w:rsidRPr="002A34F5">
              <w:rPr>
                <w:rFonts w:cs="Arial"/>
                <w:sz w:val="14"/>
                <w:szCs w:val="14"/>
              </w:rPr>
              <w:t>852</w:t>
            </w:r>
            <w:r>
              <w:rPr>
                <w:rFonts w:cs="Arial"/>
                <w:sz w:val="14"/>
                <w:szCs w:val="14"/>
              </w:rPr>
              <w:t>,</w:t>
            </w:r>
            <w:r w:rsidRPr="002A34F5">
              <w:rPr>
                <w:rFonts w:cs="Arial"/>
                <w:sz w:val="14"/>
                <w:szCs w:val="14"/>
              </w:rPr>
              <w:t>245</w:t>
            </w:r>
          </w:p>
        </w:tc>
      </w:tr>
      <w:tr w:rsidR="006A362F" w:rsidRPr="00D36690" w14:paraId="6C7FB2B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00C1188"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Other liabilities</w:t>
            </w:r>
          </w:p>
        </w:tc>
        <w:tc>
          <w:tcPr>
            <w:tcW w:w="3260" w:type="dxa"/>
            <w:tcBorders>
              <w:top w:val="nil"/>
              <w:left w:val="nil"/>
              <w:bottom w:val="nil"/>
              <w:right w:val="nil"/>
            </w:tcBorders>
            <w:shd w:val="clear" w:color="auto" w:fill="auto"/>
            <w:vAlign w:val="center"/>
          </w:tcPr>
          <w:p w14:paraId="0A095AFD" w14:textId="77777777" w:rsidR="006A362F" w:rsidRPr="000A161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1</w:t>
            </w:r>
            <w:r>
              <w:rPr>
                <w:rFonts w:cs="Arial"/>
                <w:sz w:val="14"/>
                <w:szCs w:val="14"/>
              </w:rPr>
              <w:t>,</w:t>
            </w:r>
            <w:r w:rsidRPr="000A161C">
              <w:rPr>
                <w:rFonts w:cs="Arial"/>
                <w:sz w:val="14"/>
                <w:szCs w:val="14"/>
              </w:rPr>
              <w:t>162</w:t>
            </w:r>
            <w:r>
              <w:rPr>
                <w:rFonts w:cs="Arial"/>
                <w:sz w:val="14"/>
                <w:szCs w:val="14"/>
              </w:rPr>
              <w:t>,</w:t>
            </w:r>
            <w:r w:rsidRPr="000A161C">
              <w:rPr>
                <w:rFonts w:cs="Arial"/>
                <w:sz w:val="14"/>
                <w:szCs w:val="14"/>
              </w:rPr>
              <w:t>095</w:t>
            </w:r>
          </w:p>
        </w:tc>
        <w:tc>
          <w:tcPr>
            <w:tcW w:w="3260" w:type="dxa"/>
            <w:tcBorders>
              <w:top w:val="nil"/>
              <w:left w:val="nil"/>
              <w:bottom w:val="nil"/>
              <w:right w:val="nil"/>
            </w:tcBorders>
            <w:shd w:val="clear" w:color="auto" w:fill="auto"/>
            <w:vAlign w:val="center"/>
          </w:tcPr>
          <w:p w14:paraId="23F44174"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892</w:t>
            </w:r>
            <w:r>
              <w:rPr>
                <w:rFonts w:cs="Arial"/>
                <w:sz w:val="14"/>
                <w:szCs w:val="14"/>
              </w:rPr>
              <w:t>,</w:t>
            </w:r>
            <w:r w:rsidRPr="002A34F5">
              <w:rPr>
                <w:rFonts w:cs="Arial"/>
                <w:sz w:val="14"/>
                <w:szCs w:val="14"/>
              </w:rPr>
              <w:t>462</w:t>
            </w:r>
          </w:p>
        </w:tc>
      </w:tr>
      <w:tr w:rsidR="006A362F" w:rsidRPr="002A34F5" w14:paraId="7D1CD4D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F708F0" w14:textId="77777777" w:rsidR="006A362F" w:rsidRPr="002A34F5" w:rsidRDefault="006A362F" w:rsidP="006928A6">
            <w:pPr>
              <w:keepNext/>
              <w:keepLines/>
              <w:spacing w:before="40" w:after="40"/>
              <w:rPr>
                <w:rFonts w:eastAsia="Times New Roman" w:cs="Arial"/>
                <w:spacing w:val="-2"/>
                <w:sz w:val="14"/>
                <w:szCs w:val="14"/>
                <w:highlight w:val="yellow"/>
              </w:rPr>
            </w:pPr>
            <w:r>
              <w:rPr>
                <w:rFonts w:cs="Arial"/>
                <w:sz w:val="14"/>
                <w:szCs w:val="14"/>
              </w:rPr>
              <w:t>Equity</w:t>
            </w:r>
          </w:p>
        </w:tc>
        <w:tc>
          <w:tcPr>
            <w:tcW w:w="3260" w:type="dxa"/>
            <w:tcBorders>
              <w:top w:val="nil"/>
              <w:left w:val="nil"/>
              <w:bottom w:val="nil"/>
              <w:right w:val="nil"/>
            </w:tcBorders>
            <w:shd w:val="clear" w:color="auto" w:fill="auto"/>
            <w:vAlign w:val="center"/>
          </w:tcPr>
          <w:p w14:paraId="151EDAE6"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6</w:t>
            </w:r>
            <w:r>
              <w:rPr>
                <w:rFonts w:cs="Arial"/>
                <w:b/>
                <w:bCs/>
                <w:sz w:val="14"/>
                <w:szCs w:val="14"/>
              </w:rPr>
              <w:t>,</w:t>
            </w:r>
            <w:r w:rsidRPr="002A34F5">
              <w:rPr>
                <w:rFonts w:cs="Arial"/>
                <w:b/>
                <w:bCs/>
                <w:sz w:val="14"/>
                <w:szCs w:val="14"/>
              </w:rPr>
              <w:t>816</w:t>
            </w:r>
            <w:r>
              <w:rPr>
                <w:rFonts w:cs="Arial"/>
                <w:b/>
                <w:bCs/>
                <w:sz w:val="14"/>
                <w:szCs w:val="14"/>
              </w:rPr>
              <w:t>,</w:t>
            </w:r>
            <w:r w:rsidRPr="002A34F5">
              <w:rPr>
                <w:rFonts w:cs="Arial"/>
                <w:b/>
                <w:bCs/>
                <w:sz w:val="14"/>
                <w:szCs w:val="14"/>
              </w:rPr>
              <w:t>420</w:t>
            </w:r>
          </w:p>
        </w:tc>
        <w:tc>
          <w:tcPr>
            <w:tcW w:w="3260" w:type="dxa"/>
            <w:tcBorders>
              <w:top w:val="nil"/>
              <w:left w:val="nil"/>
              <w:bottom w:val="nil"/>
              <w:right w:val="nil"/>
            </w:tcBorders>
            <w:shd w:val="clear" w:color="auto" w:fill="auto"/>
            <w:vAlign w:val="center"/>
          </w:tcPr>
          <w:p w14:paraId="5BC058D5"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6</w:t>
            </w:r>
            <w:r>
              <w:rPr>
                <w:rFonts w:cs="Arial"/>
                <w:b/>
                <w:bCs/>
                <w:sz w:val="14"/>
                <w:szCs w:val="14"/>
              </w:rPr>
              <w:t>,</w:t>
            </w:r>
            <w:r w:rsidRPr="002A34F5">
              <w:rPr>
                <w:rFonts w:cs="Arial"/>
                <w:b/>
                <w:bCs/>
                <w:sz w:val="14"/>
                <w:szCs w:val="14"/>
              </w:rPr>
              <w:t>475</w:t>
            </w:r>
            <w:r>
              <w:rPr>
                <w:rFonts w:cs="Arial"/>
                <w:b/>
                <w:bCs/>
                <w:sz w:val="14"/>
                <w:szCs w:val="14"/>
              </w:rPr>
              <w:t>,</w:t>
            </w:r>
            <w:r w:rsidRPr="002A34F5">
              <w:rPr>
                <w:rFonts w:cs="Arial"/>
                <w:b/>
                <w:bCs/>
                <w:sz w:val="14"/>
                <w:szCs w:val="14"/>
              </w:rPr>
              <w:t>903</w:t>
            </w:r>
          </w:p>
        </w:tc>
      </w:tr>
      <w:tr w:rsidR="006A362F" w:rsidRPr="00D36690" w14:paraId="6E1BBC8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1D5647"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Capital and reserves</w:t>
            </w:r>
          </w:p>
        </w:tc>
        <w:tc>
          <w:tcPr>
            <w:tcW w:w="3260" w:type="dxa"/>
            <w:tcBorders>
              <w:top w:val="nil"/>
              <w:left w:val="nil"/>
              <w:bottom w:val="nil"/>
              <w:right w:val="nil"/>
            </w:tcBorders>
            <w:shd w:val="clear" w:color="auto" w:fill="auto"/>
            <w:vAlign w:val="center"/>
          </w:tcPr>
          <w:p w14:paraId="3E83C17A" w14:textId="77777777" w:rsidR="006A362F" w:rsidRPr="000A161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0A161C">
              <w:rPr>
                <w:rFonts w:cs="Arial"/>
                <w:sz w:val="14"/>
                <w:szCs w:val="14"/>
              </w:rPr>
              <w:t>6</w:t>
            </w:r>
            <w:r>
              <w:rPr>
                <w:rFonts w:cs="Arial"/>
                <w:sz w:val="14"/>
                <w:szCs w:val="14"/>
              </w:rPr>
              <w:t>,</w:t>
            </w:r>
            <w:r w:rsidRPr="000A161C">
              <w:rPr>
                <w:rFonts w:cs="Arial"/>
                <w:sz w:val="14"/>
                <w:szCs w:val="14"/>
              </w:rPr>
              <w:t>225</w:t>
            </w:r>
            <w:r>
              <w:rPr>
                <w:rFonts w:cs="Arial"/>
                <w:sz w:val="14"/>
                <w:szCs w:val="14"/>
              </w:rPr>
              <w:t>,</w:t>
            </w:r>
            <w:r w:rsidRPr="000A161C">
              <w:rPr>
                <w:rFonts w:cs="Arial"/>
                <w:sz w:val="14"/>
                <w:szCs w:val="14"/>
              </w:rPr>
              <w:t>067</w:t>
            </w:r>
          </w:p>
        </w:tc>
        <w:tc>
          <w:tcPr>
            <w:tcW w:w="3260" w:type="dxa"/>
            <w:tcBorders>
              <w:top w:val="nil"/>
              <w:left w:val="nil"/>
              <w:bottom w:val="nil"/>
              <w:right w:val="nil"/>
            </w:tcBorders>
            <w:shd w:val="clear" w:color="auto" w:fill="auto"/>
            <w:vAlign w:val="center"/>
          </w:tcPr>
          <w:p w14:paraId="5FA23D6F"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2A34F5">
              <w:rPr>
                <w:rFonts w:cs="Arial"/>
                <w:sz w:val="14"/>
                <w:szCs w:val="14"/>
              </w:rPr>
              <w:t>5</w:t>
            </w:r>
            <w:r>
              <w:rPr>
                <w:rFonts w:cs="Arial"/>
                <w:sz w:val="14"/>
                <w:szCs w:val="14"/>
              </w:rPr>
              <w:t>,</w:t>
            </w:r>
            <w:r w:rsidRPr="002A34F5">
              <w:rPr>
                <w:rFonts w:cs="Arial"/>
                <w:sz w:val="14"/>
                <w:szCs w:val="14"/>
              </w:rPr>
              <w:t>553</w:t>
            </w:r>
            <w:r>
              <w:rPr>
                <w:rFonts w:cs="Arial"/>
                <w:sz w:val="14"/>
                <w:szCs w:val="14"/>
              </w:rPr>
              <w:t>,</w:t>
            </w:r>
            <w:r w:rsidRPr="002A34F5">
              <w:rPr>
                <w:rFonts w:cs="Arial"/>
                <w:sz w:val="14"/>
                <w:szCs w:val="14"/>
              </w:rPr>
              <w:t>776</w:t>
            </w:r>
          </w:p>
        </w:tc>
      </w:tr>
      <w:tr w:rsidR="006A362F" w:rsidRPr="00D36690" w14:paraId="3F2D5AE5"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1CE595"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Retained earnings</w:t>
            </w:r>
          </w:p>
        </w:tc>
        <w:tc>
          <w:tcPr>
            <w:tcW w:w="3260" w:type="dxa"/>
            <w:tcBorders>
              <w:top w:val="nil"/>
              <w:left w:val="nil"/>
              <w:bottom w:val="nil"/>
              <w:right w:val="nil"/>
            </w:tcBorders>
            <w:shd w:val="clear" w:color="auto" w:fill="auto"/>
            <w:vAlign w:val="center"/>
          </w:tcPr>
          <w:p w14:paraId="24A04AE4" w14:textId="77777777" w:rsidR="006A362F" w:rsidRPr="000A161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0A161C">
              <w:rPr>
                <w:rFonts w:cs="Arial"/>
                <w:sz w:val="14"/>
                <w:szCs w:val="14"/>
              </w:rPr>
              <w:t>620</w:t>
            </w:r>
            <w:r>
              <w:rPr>
                <w:rFonts w:cs="Arial"/>
                <w:sz w:val="14"/>
                <w:szCs w:val="14"/>
              </w:rPr>
              <w:t>,</w:t>
            </w:r>
            <w:r w:rsidRPr="000A161C">
              <w:rPr>
                <w:rFonts w:cs="Arial"/>
                <w:sz w:val="14"/>
                <w:szCs w:val="14"/>
              </w:rPr>
              <w:t>954</w:t>
            </w:r>
          </w:p>
        </w:tc>
        <w:tc>
          <w:tcPr>
            <w:tcW w:w="3260" w:type="dxa"/>
            <w:tcBorders>
              <w:top w:val="nil"/>
              <w:left w:val="nil"/>
              <w:bottom w:val="nil"/>
              <w:right w:val="nil"/>
            </w:tcBorders>
            <w:shd w:val="clear" w:color="auto" w:fill="auto"/>
            <w:vAlign w:val="center"/>
          </w:tcPr>
          <w:p w14:paraId="3465C46D"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2A34F5">
              <w:rPr>
                <w:rFonts w:cs="Arial"/>
                <w:sz w:val="14"/>
                <w:szCs w:val="14"/>
              </w:rPr>
              <w:t>1</w:t>
            </w:r>
            <w:r>
              <w:rPr>
                <w:rFonts w:cs="Arial"/>
                <w:sz w:val="14"/>
                <w:szCs w:val="14"/>
              </w:rPr>
              <w:t>,</w:t>
            </w:r>
            <w:r w:rsidRPr="002A34F5">
              <w:rPr>
                <w:rFonts w:cs="Arial"/>
                <w:sz w:val="14"/>
                <w:szCs w:val="14"/>
              </w:rPr>
              <w:t>169</w:t>
            </w:r>
            <w:r>
              <w:rPr>
                <w:rFonts w:cs="Arial"/>
                <w:sz w:val="14"/>
                <w:szCs w:val="14"/>
              </w:rPr>
              <w:t>,</w:t>
            </w:r>
            <w:r w:rsidRPr="002A34F5">
              <w:rPr>
                <w:rFonts w:cs="Arial"/>
                <w:sz w:val="14"/>
                <w:szCs w:val="14"/>
              </w:rPr>
              <w:t>398</w:t>
            </w:r>
          </w:p>
        </w:tc>
      </w:tr>
      <w:tr w:rsidR="006A362F" w:rsidRPr="00D36690" w14:paraId="29C4A51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A04E01A" w14:textId="77777777" w:rsidR="006A362F" w:rsidRPr="00080F19" w:rsidRDefault="006A362F" w:rsidP="006928A6">
            <w:pPr>
              <w:keepNext/>
              <w:keepLines/>
              <w:ind w:left="113"/>
              <w:rPr>
                <w:rFonts w:cs="Arial"/>
                <w:b w:val="0"/>
                <w:bCs w:val="0"/>
                <w:sz w:val="14"/>
                <w:szCs w:val="14"/>
              </w:rPr>
            </w:pPr>
            <w:r>
              <w:rPr>
                <w:rFonts w:cs="Arial"/>
                <w:b w:val="0"/>
                <w:bCs w:val="0"/>
                <w:sz w:val="14"/>
                <w:szCs w:val="14"/>
              </w:rPr>
              <w:t>Other comprehensive results</w:t>
            </w:r>
          </w:p>
        </w:tc>
        <w:tc>
          <w:tcPr>
            <w:tcW w:w="3260" w:type="dxa"/>
            <w:tcBorders>
              <w:top w:val="nil"/>
              <w:left w:val="nil"/>
              <w:bottom w:val="nil"/>
              <w:right w:val="nil"/>
            </w:tcBorders>
            <w:shd w:val="clear" w:color="auto" w:fill="auto"/>
            <w:vAlign w:val="center"/>
          </w:tcPr>
          <w:p w14:paraId="38162847" w14:textId="77777777" w:rsidR="006A362F" w:rsidRPr="000A161C"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r w:rsidRPr="000A161C">
              <w:rPr>
                <w:rFonts w:cs="Arial"/>
                <w:sz w:val="14"/>
                <w:szCs w:val="14"/>
              </w:rPr>
              <w:t>29</w:t>
            </w:r>
            <w:r>
              <w:rPr>
                <w:rFonts w:cs="Arial"/>
                <w:sz w:val="14"/>
                <w:szCs w:val="14"/>
              </w:rPr>
              <w:t>,</w:t>
            </w:r>
            <w:r w:rsidRPr="000A161C">
              <w:rPr>
                <w:rFonts w:cs="Arial"/>
                <w:sz w:val="14"/>
                <w:szCs w:val="14"/>
              </w:rPr>
              <w:t>601</w:t>
            </w:r>
            <w:r>
              <w:rPr>
                <w:rFonts w:cs="Arial"/>
                <w:sz w:val="14"/>
                <w:szCs w:val="14"/>
              </w:rPr>
              <w:t>)</w:t>
            </w:r>
          </w:p>
        </w:tc>
        <w:tc>
          <w:tcPr>
            <w:tcW w:w="3260" w:type="dxa"/>
            <w:tcBorders>
              <w:top w:val="nil"/>
              <w:left w:val="nil"/>
              <w:bottom w:val="nil"/>
              <w:right w:val="nil"/>
            </w:tcBorders>
            <w:shd w:val="clear" w:color="auto" w:fill="auto"/>
            <w:vAlign w:val="center"/>
          </w:tcPr>
          <w:p w14:paraId="4513F5AC"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r w:rsidRPr="002A34F5">
              <w:rPr>
                <w:rFonts w:cs="Arial"/>
                <w:sz w:val="14"/>
                <w:szCs w:val="14"/>
              </w:rPr>
              <w:t>247</w:t>
            </w:r>
            <w:r>
              <w:rPr>
                <w:rFonts w:cs="Arial"/>
                <w:sz w:val="14"/>
                <w:szCs w:val="14"/>
              </w:rPr>
              <w:t>,</w:t>
            </w:r>
            <w:r w:rsidRPr="002A34F5">
              <w:rPr>
                <w:rFonts w:cs="Arial"/>
                <w:sz w:val="14"/>
                <w:szCs w:val="14"/>
              </w:rPr>
              <w:t>271</w:t>
            </w:r>
            <w:r>
              <w:rPr>
                <w:rFonts w:cs="Arial"/>
                <w:sz w:val="14"/>
                <w:szCs w:val="14"/>
              </w:rPr>
              <w:t>)</w:t>
            </w:r>
          </w:p>
        </w:tc>
      </w:tr>
      <w:tr w:rsidR="006A362F" w:rsidRPr="002A34F5" w14:paraId="3E1158C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7FD785B" w14:textId="77777777" w:rsidR="006A362F" w:rsidRPr="002A34F5" w:rsidRDefault="006A362F" w:rsidP="006928A6">
            <w:pPr>
              <w:keepNext/>
              <w:keepLines/>
              <w:spacing w:before="40" w:after="40"/>
              <w:rPr>
                <w:rFonts w:cs="Arial"/>
                <w:sz w:val="14"/>
                <w:szCs w:val="14"/>
                <w:highlight w:val="yellow"/>
              </w:rPr>
            </w:pPr>
            <w:r>
              <w:rPr>
                <w:rFonts w:cs="Arial"/>
                <w:sz w:val="14"/>
                <w:szCs w:val="14"/>
              </w:rPr>
              <w:t>Liabilities and Equity</w:t>
            </w:r>
          </w:p>
        </w:tc>
        <w:tc>
          <w:tcPr>
            <w:tcW w:w="3260" w:type="dxa"/>
            <w:tcBorders>
              <w:top w:val="nil"/>
              <w:left w:val="nil"/>
              <w:bottom w:val="nil"/>
              <w:right w:val="nil"/>
            </w:tcBorders>
            <w:shd w:val="clear" w:color="auto" w:fill="auto"/>
            <w:vAlign w:val="center"/>
          </w:tcPr>
          <w:p w14:paraId="51FF2C93"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360</w:t>
            </w:r>
            <w:r>
              <w:rPr>
                <w:rFonts w:cs="Arial"/>
                <w:b/>
                <w:bCs/>
                <w:sz w:val="14"/>
                <w:szCs w:val="14"/>
              </w:rPr>
              <w:t>,</w:t>
            </w:r>
            <w:r w:rsidRPr="002A34F5">
              <w:rPr>
                <w:rFonts w:cs="Arial"/>
                <w:b/>
                <w:bCs/>
                <w:sz w:val="14"/>
                <w:szCs w:val="14"/>
              </w:rPr>
              <w:t>526</w:t>
            </w:r>
            <w:r>
              <w:rPr>
                <w:rFonts w:cs="Arial"/>
                <w:b/>
                <w:bCs/>
                <w:sz w:val="14"/>
                <w:szCs w:val="14"/>
              </w:rPr>
              <w:t>,</w:t>
            </w:r>
            <w:r w:rsidRPr="002A34F5">
              <w:rPr>
                <w:rFonts w:cs="Arial"/>
                <w:b/>
                <w:bCs/>
                <w:sz w:val="14"/>
                <w:szCs w:val="14"/>
              </w:rPr>
              <w:t>483</w:t>
            </w:r>
          </w:p>
        </w:tc>
        <w:tc>
          <w:tcPr>
            <w:tcW w:w="3260" w:type="dxa"/>
            <w:tcBorders>
              <w:top w:val="nil"/>
              <w:left w:val="nil"/>
              <w:bottom w:val="nil"/>
              <w:right w:val="nil"/>
            </w:tcBorders>
            <w:shd w:val="clear" w:color="auto" w:fill="auto"/>
            <w:vAlign w:val="center"/>
          </w:tcPr>
          <w:p w14:paraId="455DE46F"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2A34F5">
              <w:rPr>
                <w:rFonts w:cs="Arial"/>
                <w:b/>
                <w:bCs/>
                <w:sz w:val="14"/>
                <w:szCs w:val="14"/>
              </w:rPr>
              <w:t>349</w:t>
            </w:r>
            <w:r>
              <w:rPr>
                <w:rFonts w:cs="Arial"/>
                <w:b/>
                <w:bCs/>
                <w:sz w:val="14"/>
                <w:szCs w:val="14"/>
              </w:rPr>
              <w:t>,</w:t>
            </w:r>
            <w:r w:rsidRPr="002A34F5">
              <w:rPr>
                <w:rFonts w:cs="Arial"/>
                <w:b/>
                <w:bCs/>
                <w:sz w:val="14"/>
                <w:szCs w:val="14"/>
              </w:rPr>
              <w:t>784</w:t>
            </w:r>
            <w:r>
              <w:rPr>
                <w:rFonts w:cs="Arial"/>
                <w:b/>
                <w:bCs/>
                <w:sz w:val="14"/>
                <w:szCs w:val="14"/>
              </w:rPr>
              <w:t>,</w:t>
            </w:r>
            <w:r w:rsidRPr="002A34F5">
              <w:rPr>
                <w:rFonts w:cs="Arial"/>
                <w:b/>
                <w:bCs/>
                <w:sz w:val="14"/>
                <w:szCs w:val="14"/>
              </w:rPr>
              <w:t>047</w:t>
            </w:r>
          </w:p>
        </w:tc>
      </w:tr>
      <w:tr w:rsidR="006A362F" w:rsidRPr="002A34F5" w14:paraId="4838666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87BE0F" w14:textId="77777777" w:rsidR="006A362F" w:rsidRPr="002A34F5" w:rsidRDefault="006A362F" w:rsidP="006928A6">
            <w:pPr>
              <w:keepNext/>
              <w:keepLines/>
              <w:spacing w:before="40" w:after="40"/>
              <w:rPr>
                <w:rFonts w:cs="Arial"/>
                <w:sz w:val="14"/>
                <w:szCs w:val="14"/>
              </w:rPr>
            </w:pPr>
            <w:r>
              <w:rPr>
                <w:rFonts w:cs="Arial"/>
                <w:sz w:val="14"/>
                <w:szCs w:val="14"/>
              </w:rPr>
              <w:t>Attributable to BB Seguridade</w:t>
            </w:r>
          </w:p>
        </w:tc>
        <w:tc>
          <w:tcPr>
            <w:tcW w:w="3260" w:type="dxa"/>
            <w:tcBorders>
              <w:top w:val="nil"/>
              <w:left w:val="nil"/>
              <w:bottom w:val="nil"/>
              <w:right w:val="nil"/>
            </w:tcBorders>
            <w:shd w:val="clear" w:color="auto" w:fill="auto"/>
            <w:vAlign w:val="center"/>
          </w:tcPr>
          <w:p w14:paraId="04931148"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2A34F5">
              <w:rPr>
                <w:rFonts w:cs="Arial"/>
                <w:b/>
                <w:bCs/>
                <w:sz w:val="14"/>
                <w:szCs w:val="14"/>
              </w:rPr>
              <w:t>5</w:t>
            </w:r>
            <w:r>
              <w:rPr>
                <w:rFonts w:cs="Arial"/>
                <w:b/>
                <w:bCs/>
                <w:sz w:val="14"/>
                <w:szCs w:val="14"/>
              </w:rPr>
              <w:t>,</w:t>
            </w:r>
            <w:r w:rsidRPr="002A34F5">
              <w:rPr>
                <w:rFonts w:cs="Arial"/>
                <w:b/>
                <w:bCs/>
                <w:sz w:val="14"/>
                <w:szCs w:val="14"/>
              </w:rPr>
              <w:t>111</w:t>
            </w:r>
            <w:r>
              <w:rPr>
                <w:rFonts w:cs="Arial"/>
                <w:b/>
                <w:bCs/>
                <w:sz w:val="14"/>
                <w:szCs w:val="14"/>
              </w:rPr>
              <w:t>,</w:t>
            </w:r>
            <w:r w:rsidRPr="002A34F5">
              <w:rPr>
                <w:rFonts w:cs="Arial"/>
                <w:b/>
                <w:bCs/>
                <w:sz w:val="14"/>
                <w:szCs w:val="14"/>
              </w:rPr>
              <w:t>973</w:t>
            </w:r>
          </w:p>
        </w:tc>
        <w:tc>
          <w:tcPr>
            <w:tcW w:w="3260" w:type="dxa"/>
            <w:tcBorders>
              <w:top w:val="nil"/>
              <w:left w:val="nil"/>
              <w:bottom w:val="nil"/>
              <w:right w:val="nil"/>
            </w:tcBorders>
            <w:shd w:val="clear" w:color="auto" w:fill="auto"/>
            <w:vAlign w:val="center"/>
          </w:tcPr>
          <w:p w14:paraId="190AA3BE" w14:textId="77777777" w:rsidR="006A362F" w:rsidRPr="002A34F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2A34F5">
              <w:rPr>
                <w:rFonts w:cs="Arial"/>
                <w:b/>
                <w:bCs/>
                <w:sz w:val="14"/>
                <w:szCs w:val="14"/>
              </w:rPr>
              <w:t>4</w:t>
            </w:r>
            <w:r>
              <w:rPr>
                <w:rFonts w:cs="Arial"/>
                <w:b/>
                <w:bCs/>
                <w:sz w:val="14"/>
                <w:szCs w:val="14"/>
              </w:rPr>
              <w:t>,</w:t>
            </w:r>
            <w:r w:rsidRPr="002A34F5">
              <w:rPr>
                <w:rFonts w:cs="Arial"/>
                <w:b/>
                <w:bCs/>
                <w:sz w:val="14"/>
                <w:szCs w:val="14"/>
              </w:rPr>
              <w:t>856</w:t>
            </w:r>
            <w:r>
              <w:rPr>
                <w:rFonts w:cs="Arial"/>
                <w:b/>
                <w:bCs/>
                <w:sz w:val="14"/>
                <w:szCs w:val="14"/>
              </w:rPr>
              <w:t>,</w:t>
            </w:r>
            <w:r w:rsidRPr="002A34F5">
              <w:rPr>
                <w:rFonts w:cs="Arial"/>
                <w:b/>
                <w:bCs/>
                <w:sz w:val="14"/>
                <w:szCs w:val="14"/>
              </w:rPr>
              <w:t>603</w:t>
            </w:r>
          </w:p>
        </w:tc>
      </w:tr>
      <w:tr w:rsidR="006A362F" w:rsidRPr="00D36690" w14:paraId="78E6D996"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6BE1221" w14:textId="77777777" w:rsidR="006A362F" w:rsidRPr="00D36690" w:rsidRDefault="006A362F" w:rsidP="006928A6">
            <w:pPr>
              <w:keepNext/>
              <w:keepLines/>
              <w:ind w:left="113"/>
              <w:rPr>
                <w:rFonts w:cs="Arial"/>
                <w:b w:val="0"/>
                <w:bCs w:val="0"/>
                <w:sz w:val="14"/>
                <w:szCs w:val="14"/>
              </w:rPr>
            </w:pPr>
            <w:r>
              <w:rPr>
                <w:rFonts w:cs="Arial"/>
                <w:b w:val="0"/>
                <w:bCs w:val="0"/>
                <w:sz w:val="14"/>
                <w:szCs w:val="14"/>
              </w:rPr>
              <w:t>U</w:t>
            </w:r>
            <w:r w:rsidRPr="00FC4DCD">
              <w:rPr>
                <w:rFonts w:cs="Arial"/>
                <w:b w:val="0"/>
                <w:bCs w:val="0"/>
                <w:sz w:val="14"/>
                <w:szCs w:val="14"/>
              </w:rPr>
              <w:t xml:space="preserve">nrealized result </w:t>
            </w:r>
            <w:r w:rsidRPr="00D36690">
              <w:rPr>
                <w:rFonts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34CA4E1C" w14:textId="77777777" w:rsidR="006A362F" w:rsidRPr="000A161C"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r w:rsidRPr="000A161C">
              <w:rPr>
                <w:rFonts w:cs="Arial"/>
                <w:sz w:val="14"/>
                <w:szCs w:val="14"/>
              </w:rPr>
              <w:t>22</w:t>
            </w:r>
            <w:r>
              <w:rPr>
                <w:rFonts w:cs="Arial"/>
                <w:sz w:val="14"/>
                <w:szCs w:val="14"/>
              </w:rPr>
              <w:t>,</w:t>
            </w:r>
            <w:r w:rsidRPr="000A161C">
              <w:rPr>
                <w:rFonts w:cs="Arial"/>
                <w:sz w:val="14"/>
                <w:szCs w:val="14"/>
              </w:rPr>
              <w:t>830</w:t>
            </w:r>
            <w:r>
              <w:rPr>
                <w:rFonts w:cs="Arial"/>
                <w:sz w:val="14"/>
                <w:szCs w:val="14"/>
              </w:rPr>
              <w:t>)</w:t>
            </w:r>
          </w:p>
        </w:tc>
        <w:tc>
          <w:tcPr>
            <w:tcW w:w="3260" w:type="dxa"/>
            <w:tcBorders>
              <w:top w:val="nil"/>
              <w:left w:val="nil"/>
              <w:bottom w:val="nil"/>
              <w:right w:val="nil"/>
            </w:tcBorders>
            <w:shd w:val="clear" w:color="auto" w:fill="auto"/>
            <w:vAlign w:val="center"/>
          </w:tcPr>
          <w:p w14:paraId="50236502" w14:textId="77777777" w:rsidR="006A362F" w:rsidRPr="002A34F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r w:rsidRPr="002A34F5">
              <w:rPr>
                <w:rFonts w:cs="Arial"/>
                <w:sz w:val="14"/>
                <w:szCs w:val="14"/>
              </w:rPr>
              <w:t>22</w:t>
            </w:r>
            <w:r>
              <w:rPr>
                <w:rFonts w:cs="Arial"/>
                <w:sz w:val="14"/>
                <w:szCs w:val="14"/>
              </w:rPr>
              <w:t>,</w:t>
            </w:r>
            <w:r w:rsidRPr="002A34F5">
              <w:rPr>
                <w:rFonts w:cs="Arial"/>
                <w:sz w:val="14"/>
                <w:szCs w:val="14"/>
              </w:rPr>
              <w:t>830</w:t>
            </w:r>
            <w:r>
              <w:rPr>
                <w:rFonts w:cs="Arial"/>
                <w:sz w:val="14"/>
                <w:szCs w:val="14"/>
              </w:rPr>
              <w:t>)</w:t>
            </w:r>
          </w:p>
        </w:tc>
      </w:tr>
      <w:tr w:rsidR="006A362F" w:rsidRPr="002A34F5" w14:paraId="2962C3E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4B3643DB" w14:textId="77777777" w:rsidR="006A362F" w:rsidRPr="002A34F5" w:rsidRDefault="006A362F" w:rsidP="006928A6">
            <w:pPr>
              <w:keepNext/>
              <w:keepLines/>
              <w:rPr>
                <w:rFonts w:cs="Arial"/>
                <w:color w:val="000000"/>
                <w:sz w:val="14"/>
                <w:szCs w:val="14"/>
                <w:highlight w:val="yellow"/>
              </w:rPr>
            </w:pPr>
            <w:r>
              <w:rPr>
                <w:rFonts w:cs="Arial"/>
                <w:sz w:val="14"/>
                <w:szCs w:val="14"/>
              </w:rPr>
              <w:t>Investment balance</w:t>
            </w:r>
          </w:p>
        </w:tc>
        <w:tc>
          <w:tcPr>
            <w:tcW w:w="3260" w:type="dxa"/>
            <w:tcBorders>
              <w:top w:val="nil"/>
              <w:left w:val="nil"/>
              <w:bottom w:val="single" w:sz="2" w:space="0" w:color="1F4E79" w:themeColor="accent1" w:themeShade="80"/>
              <w:right w:val="nil"/>
            </w:tcBorders>
            <w:shd w:val="clear" w:color="auto" w:fill="auto"/>
            <w:vAlign w:val="center"/>
          </w:tcPr>
          <w:p w14:paraId="7BD605D7"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5</w:t>
            </w:r>
            <w:r>
              <w:rPr>
                <w:rFonts w:cs="Arial"/>
                <w:b/>
                <w:bCs/>
                <w:sz w:val="14"/>
                <w:szCs w:val="14"/>
              </w:rPr>
              <w:t>,</w:t>
            </w:r>
            <w:r w:rsidRPr="002A34F5">
              <w:rPr>
                <w:rFonts w:cs="Arial"/>
                <w:b/>
                <w:bCs/>
                <w:sz w:val="14"/>
                <w:szCs w:val="14"/>
              </w:rPr>
              <w:t>089</w:t>
            </w:r>
            <w:r>
              <w:rPr>
                <w:rFonts w:cs="Arial"/>
                <w:b/>
                <w:bCs/>
                <w:sz w:val="14"/>
                <w:szCs w:val="14"/>
              </w:rPr>
              <w:t>,</w:t>
            </w:r>
            <w:r w:rsidRPr="002A34F5">
              <w:rPr>
                <w:rFonts w:cs="Arial"/>
                <w:b/>
                <w:bCs/>
                <w:sz w:val="14"/>
                <w:szCs w:val="14"/>
              </w:rPr>
              <w:t>143</w:t>
            </w:r>
          </w:p>
        </w:tc>
        <w:tc>
          <w:tcPr>
            <w:tcW w:w="3260" w:type="dxa"/>
            <w:tcBorders>
              <w:top w:val="nil"/>
              <w:left w:val="nil"/>
              <w:bottom w:val="single" w:sz="2" w:space="0" w:color="1F4E79" w:themeColor="accent1" w:themeShade="80"/>
              <w:right w:val="nil"/>
            </w:tcBorders>
            <w:shd w:val="clear" w:color="auto" w:fill="auto"/>
            <w:vAlign w:val="center"/>
          </w:tcPr>
          <w:p w14:paraId="5CAB0EC7" w14:textId="77777777" w:rsidR="006A362F" w:rsidRPr="002A34F5"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2A34F5">
              <w:rPr>
                <w:rFonts w:cs="Arial"/>
                <w:b/>
                <w:bCs/>
                <w:sz w:val="14"/>
                <w:szCs w:val="14"/>
              </w:rPr>
              <w:t>4</w:t>
            </w:r>
            <w:r>
              <w:rPr>
                <w:rFonts w:cs="Arial"/>
                <w:b/>
                <w:bCs/>
                <w:sz w:val="14"/>
                <w:szCs w:val="14"/>
              </w:rPr>
              <w:t>,</w:t>
            </w:r>
            <w:r w:rsidRPr="002A34F5">
              <w:rPr>
                <w:rFonts w:cs="Arial"/>
                <w:b/>
                <w:bCs/>
                <w:sz w:val="14"/>
                <w:szCs w:val="14"/>
              </w:rPr>
              <w:t>833</w:t>
            </w:r>
            <w:r>
              <w:rPr>
                <w:rFonts w:cs="Arial"/>
                <w:b/>
                <w:bCs/>
                <w:sz w:val="14"/>
                <w:szCs w:val="14"/>
              </w:rPr>
              <w:t>,</w:t>
            </w:r>
            <w:r w:rsidRPr="002A34F5">
              <w:rPr>
                <w:rFonts w:cs="Arial"/>
                <w:b/>
                <w:bCs/>
                <w:sz w:val="14"/>
                <w:szCs w:val="14"/>
              </w:rPr>
              <w:t>773</w:t>
            </w:r>
          </w:p>
        </w:tc>
      </w:tr>
    </w:tbl>
    <w:p w14:paraId="4D0360EB" w14:textId="77777777" w:rsidR="006A362F" w:rsidRPr="00A263A7" w:rsidRDefault="006A362F" w:rsidP="006A362F">
      <w:pPr>
        <w:pStyle w:val="PargrafodaLista"/>
        <w:keepNext/>
        <w:keepLines/>
        <w:numPr>
          <w:ilvl w:val="0"/>
          <w:numId w:val="40"/>
        </w:numPr>
        <w:spacing w:after="0" w:line="240" w:lineRule="auto"/>
        <w:rPr>
          <w:rFonts w:ascii="Arial" w:eastAsia="Times New Roman" w:hAnsi="Arial" w:cs="Times New Roman"/>
          <w:bCs/>
          <w:color w:val="1F4E79" w:themeColor="accent1" w:themeShade="80"/>
          <w:spacing w:val="-2"/>
          <w:sz w:val="14"/>
          <w:szCs w:val="16"/>
          <w:lang w:val="en-US" w:eastAsia="pt-BR"/>
        </w:rPr>
      </w:pPr>
      <w:r w:rsidRPr="00A263A7">
        <w:rPr>
          <w:rFonts w:ascii="Arial" w:eastAsia="Times New Roman" w:hAnsi="Arial" w:cs="Times New Roman"/>
          <w:bCs/>
          <w:color w:val="000000" w:themeColor="text1"/>
          <w:spacing w:val="-2"/>
          <w:sz w:val="14"/>
          <w:szCs w:val="16"/>
          <w:lang w:val="en-US" w:eastAsia="pt-BR"/>
        </w:rPr>
        <w:t>Amount refers to the unrealized result of the sale of the shareholding in MAPFRE Nossa Caixa Vida e Previdência (MNCVP) in July 2012.</w:t>
      </w:r>
    </w:p>
    <w:p w14:paraId="15AA00F3" w14:textId="77777777" w:rsidR="006A362F" w:rsidRPr="00A263A7" w:rsidRDefault="006A362F" w:rsidP="00076945">
      <w:pPr>
        <w:spacing w:after="0" w:line="240" w:lineRule="auto"/>
        <w:rPr>
          <w:rFonts w:eastAsia="Times New Roman" w:cs="Times New Roman"/>
          <w:b/>
          <w:color w:val="1F4E79" w:themeColor="accent1" w:themeShade="80"/>
          <w:spacing w:val="-2"/>
          <w:szCs w:val="20"/>
          <w:lang w:val="en-US" w:eastAsia="pt-BR"/>
        </w:rPr>
      </w:pPr>
    </w:p>
    <w:p w14:paraId="35F31B22" w14:textId="77777777" w:rsidR="006A362F" w:rsidRPr="00C83A83" w:rsidRDefault="006A362F" w:rsidP="00076945">
      <w:pPr>
        <w:keepNext/>
        <w:keepLines/>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3</w:t>
      </w:r>
      <w:r w:rsidRPr="006F152E">
        <w:rPr>
          <w:rFonts w:eastAsia="Times New Roman" w:cs="Times New Roman"/>
          <w:b/>
          <w:color w:val="1F4E79" w:themeColor="accent1" w:themeShade="80"/>
          <w:spacing w:val="-2"/>
          <w:szCs w:val="20"/>
          <w:lang w:eastAsia="pt-BR"/>
        </w:rPr>
        <w:t xml:space="preserve">) </w:t>
      </w:r>
      <w:r w:rsidRPr="00067495">
        <w:rPr>
          <w:rFonts w:eastAsia="Times New Roman" w:cs="Times New Roman"/>
          <w:b/>
          <w:color w:val="1F4E79" w:themeColor="accent1" w:themeShade="80"/>
          <w:spacing w:val="-2"/>
          <w:szCs w:val="20"/>
          <w:lang w:eastAsia="pt-BR"/>
        </w:rPr>
        <w:t>Brasildental Operadora de Planos Odontológicos S.A. (Brasildental)</w:t>
      </w:r>
    </w:p>
    <w:p w14:paraId="4A64AB50"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130CEC3D" w14:textId="77777777" w:rsidR="006A362F" w:rsidRPr="00A263A7" w:rsidRDefault="006A362F" w:rsidP="00A263A7">
      <w:pPr>
        <w:jc w:val="both"/>
        <w:rPr>
          <w:rFonts w:eastAsia="Times New Roman" w:cs="Arial"/>
          <w:kern w:val="20"/>
          <w:szCs w:val="20"/>
          <w:lang w:val="en-US" w:eastAsia="pt-BR"/>
        </w:rPr>
      </w:pPr>
      <w:r w:rsidRPr="00A263A7">
        <w:rPr>
          <w:rFonts w:eastAsia="Times New Roman" w:cs="Arial"/>
          <w:kern w:val="20"/>
          <w:szCs w:val="20"/>
          <w:lang w:val="en-US" w:eastAsia="pt-BR"/>
        </w:rPr>
        <w:t>Brasildental evaluated its issued insurance contracts and considered that the Company's prepayment products are within the scope of CPC 50 / IFRS 17. Prepayment products are those in which the monthly fee is calculated in advance with based on the coverage contracted by the contracting party (individual or legal entity) of the dental plan and that, therefore, there is a transfer of insurance risk to the Company.</w:t>
      </w:r>
    </w:p>
    <w:p w14:paraId="71CFA145" w14:textId="77777777" w:rsidR="006A362F" w:rsidRPr="00A263A7" w:rsidRDefault="006A362F" w:rsidP="00A263A7">
      <w:pPr>
        <w:jc w:val="both"/>
        <w:rPr>
          <w:rFonts w:eastAsia="Times New Roman" w:cs="Arial"/>
          <w:kern w:val="20"/>
          <w:szCs w:val="20"/>
          <w:lang w:val="en-US" w:eastAsia="pt-BR"/>
        </w:rPr>
      </w:pPr>
      <w:r w:rsidRPr="00A263A7">
        <w:rPr>
          <w:rFonts w:eastAsia="Times New Roman" w:cs="Arial"/>
          <w:kern w:val="20"/>
          <w:szCs w:val="20"/>
          <w:lang w:val="en-US" w:eastAsia="pt-BR"/>
        </w:rPr>
        <w:t>With regard to post-payment products, these are outside the scope of CPC 50 / IFRS 17 as there is no insurance risk and, therefore, will be measured in accordance with the rules established by CPC 47 / IFRS 15 as a service contract.</w:t>
      </w:r>
    </w:p>
    <w:p w14:paraId="456ACE59" w14:textId="77777777" w:rsidR="006A362F" w:rsidRPr="00A263A7" w:rsidRDefault="006A362F" w:rsidP="00A263A7">
      <w:pPr>
        <w:jc w:val="both"/>
        <w:rPr>
          <w:rFonts w:eastAsia="Times New Roman" w:cs="Arial"/>
          <w:kern w:val="20"/>
          <w:szCs w:val="20"/>
          <w:lang w:val="en-US" w:eastAsia="pt-BR"/>
        </w:rPr>
      </w:pPr>
      <w:r w:rsidRPr="00A263A7">
        <w:rPr>
          <w:rFonts w:eastAsia="Times New Roman" w:cs="Arial"/>
          <w:kern w:val="20"/>
          <w:szCs w:val="20"/>
          <w:lang w:val="en-US" w:eastAsia="pt-BR"/>
        </w:rPr>
        <w:t>With regard to the groups of contracts, the contract portfolios were determined, each comprising contracts subject to similar risks and managed together, as shown in the table below:</w:t>
      </w:r>
    </w:p>
    <w:tbl>
      <w:tblPr>
        <w:tblW w:w="9639" w:type="dxa"/>
        <w:tblBorders>
          <w:top w:val="single" w:sz="2" w:space="0" w:color="44546A" w:themeColor="text2"/>
          <w:bottom w:val="single" w:sz="2" w:space="0" w:color="44546A" w:themeColor="text2"/>
        </w:tblBorders>
        <w:tblLook w:val="04A0" w:firstRow="1" w:lastRow="0" w:firstColumn="1" w:lastColumn="0" w:noHBand="0" w:noVBand="1"/>
      </w:tblPr>
      <w:tblGrid>
        <w:gridCol w:w="2296"/>
        <w:gridCol w:w="5328"/>
        <w:gridCol w:w="2015"/>
      </w:tblGrid>
      <w:tr w:rsidR="006A362F" w:rsidRPr="009E6042" w14:paraId="5F70E7E1" w14:textId="77777777" w:rsidTr="006928A6">
        <w:trPr>
          <w:trHeight w:val="170"/>
        </w:trPr>
        <w:tc>
          <w:tcPr>
            <w:tcW w:w="1191" w:type="pct"/>
            <w:tcBorders>
              <w:top w:val="single" w:sz="2" w:space="0" w:color="44546A" w:themeColor="text2"/>
              <w:bottom w:val="single" w:sz="2" w:space="0" w:color="44546A" w:themeColor="text2"/>
            </w:tcBorders>
            <w:vAlign w:val="center"/>
          </w:tcPr>
          <w:p w14:paraId="2D7B16F5" w14:textId="77777777" w:rsidR="006A362F" w:rsidRPr="009E6042" w:rsidRDefault="006A362F" w:rsidP="006928A6">
            <w:pPr>
              <w:widowControl w:val="0"/>
              <w:spacing w:after="120" w:line="240" w:lineRule="auto"/>
              <w:ind w:left="57"/>
              <w:jc w:val="center"/>
              <w:rPr>
                <w:rFonts w:eastAsia="Times New Roman" w:cs="Arial"/>
                <w:b/>
                <w:snapToGrid w:val="0"/>
                <w:sz w:val="14"/>
                <w:szCs w:val="14"/>
                <w:lang w:val="es-ES" w:eastAsia="pt-BR"/>
              </w:rPr>
            </w:pPr>
            <w:r>
              <w:rPr>
                <w:rFonts w:eastAsia="Times New Roman" w:cs="Arial"/>
                <w:b/>
                <w:snapToGrid w:val="0"/>
                <w:sz w:val="14"/>
                <w:szCs w:val="14"/>
                <w:lang w:val="es-ES" w:eastAsia="pt-BR"/>
              </w:rPr>
              <w:t>Portfolios</w:t>
            </w:r>
          </w:p>
        </w:tc>
        <w:tc>
          <w:tcPr>
            <w:tcW w:w="2764" w:type="pct"/>
            <w:tcBorders>
              <w:top w:val="single" w:sz="2" w:space="0" w:color="44546A" w:themeColor="text2"/>
              <w:bottom w:val="single" w:sz="2" w:space="0" w:color="44546A" w:themeColor="text2"/>
            </w:tcBorders>
            <w:vAlign w:val="center"/>
          </w:tcPr>
          <w:p w14:paraId="662C7AAF" w14:textId="77777777" w:rsidR="006A362F" w:rsidRPr="009E6042" w:rsidRDefault="006A362F" w:rsidP="006928A6">
            <w:pPr>
              <w:widowControl w:val="0"/>
              <w:spacing w:after="120" w:line="240" w:lineRule="auto"/>
              <w:ind w:left="57"/>
              <w:jc w:val="center"/>
              <w:rPr>
                <w:rFonts w:eastAsia="Times New Roman" w:cs="Arial"/>
                <w:b/>
                <w:snapToGrid w:val="0"/>
                <w:sz w:val="14"/>
                <w:szCs w:val="14"/>
                <w:lang w:val="es-ES" w:eastAsia="pt-BR"/>
              </w:rPr>
            </w:pPr>
            <w:r w:rsidRPr="00D078AA">
              <w:rPr>
                <w:rFonts w:eastAsia="Times New Roman" w:cs="Arial"/>
                <w:b/>
                <w:snapToGrid w:val="0"/>
                <w:sz w:val="14"/>
                <w:szCs w:val="14"/>
                <w:lang w:val="es-ES" w:eastAsia="pt-BR"/>
              </w:rPr>
              <w:t>Description</w:t>
            </w:r>
          </w:p>
        </w:tc>
        <w:tc>
          <w:tcPr>
            <w:tcW w:w="1045" w:type="pct"/>
            <w:tcBorders>
              <w:top w:val="single" w:sz="2" w:space="0" w:color="44546A" w:themeColor="text2"/>
              <w:bottom w:val="single" w:sz="2" w:space="0" w:color="44546A" w:themeColor="text2"/>
            </w:tcBorders>
            <w:vAlign w:val="center"/>
          </w:tcPr>
          <w:p w14:paraId="536B88EE" w14:textId="77777777" w:rsidR="006A362F" w:rsidRPr="009E6042" w:rsidRDefault="006A362F" w:rsidP="006928A6">
            <w:pPr>
              <w:widowControl w:val="0"/>
              <w:spacing w:after="120" w:line="240" w:lineRule="auto"/>
              <w:ind w:left="57"/>
              <w:jc w:val="center"/>
              <w:rPr>
                <w:rFonts w:eastAsia="Times New Roman" w:cs="Arial"/>
                <w:b/>
                <w:snapToGrid w:val="0"/>
                <w:sz w:val="14"/>
                <w:szCs w:val="14"/>
                <w:lang w:val="es-ES" w:eastAsia="pt-BR"/>
              </w:rPr>
            </w:pPr>
            <w:r w:rsidRPr="00D078AA">
              <w:rPr>
                <w:rFonts w:eastAsia="Times New Roman" w:cs="Arial"/>
                <w:b/>
                <w:snapToGrid w:val="0"/>
                <w:sz w:val="14"/>
                <w:szCs w:val="14"/>
                <w:lang w:val="es-ES" w:eastAsia="pt-BR"/>
              </w:rPr>
              <w:t>Measurement model</w:t>
            </w:r>
            <w:r>
              <w:rPr>
                <w:rFonts w:eastAsia="Times New Roman" w:cs="Arial"/>
                <w:b/>
                <w:snapToGrid w:val="0"/>
                <w:sz w:val="14"/>
                <w:szCs w:val="14"/>
                <w:lang w:val="es-ES" w:eastAsia="pt-BR"/>
              </w:rPr>
              <w:t xml:space="preserve"> </w:t>
            </w:r>
            <w:r w:rsidRPr="00D078AA">
              <w:rPr>
                <w:rFonts w:eastAsia="Times New Roman" w:cs="Arial"/>
                <w:b/>
                <w:snapToGrid w:val="0"/>
                <w:sz w:val="14"/>
                <w:szCs w:val="14"/>
                <w:vertAlign w:val="superscript"/>
                <w:lang w:val="es-ES" w:eastAsia="pt-BR"/>
              </w:rPr>
              <w:t>(1)</w:t>
            </w:r>
          </w:p>
        </w:tc>
      </w:tr>
      <w:tr w:rsidR="006A362F" w:rsidRPr="009E6042" w14:paraId="5BA691CA" w14:textId="77777777" w:rsidTr="006928A6">
        <w:trPr>
          <w:trHeight w:val="170"/>
        </w:trPr>
        <w:tc>
          <w:tcPr>
            <w:tcW w:w="1191" w:type="pct"/>
            <w:tcBorders>
              <w:top w:val="single" w:sz="2" w:space="0" w:color="44546A" w:themeColor="text2"/>
            </w:tcBorders>
            <w:vAlign w:val="center"/>
          </w:tcPr>
          <w:p w14:paraId="097C7F47"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D078AA">
              <w:rPr>
                <w:rFonts w:eastAsia="Times New Roman" w:cs="Arial"/>
                <w:bCs/>
                <w:snapToGrid w:val="0"/>
                <w:sz w:val="14"/>
                <w:szCs w:val="14"/>
                <w:lang w:val="es-ES" w:eastAsia="pt-BR"/>
              </w:rPr>
              <w:t>Individual Plans (PF)</w:t>
            </w:r>
          </w:p>
        </w:tc>
        <w:tc>
          <w:tcPr>
            <w:tcW w:w="2764" w:type="pct"/>
            <w:tcBorders>
              <w:top w:val="single" w:sz="2" w:space="0" w:color="44546A" w:themeColor="text2"/>
            </w:tcBorders>
            <w:vAlign w:val="center"/>
          </w:tcPr>
          <w:p w14:paraId="082B86C9"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D078AA">
              <w:rPr>
                <w:rFonts w:eastAsia="Times New Roman" w:cs="Arial"/>
                <w:bCs/>
                <w:snapToGrid w:val="0"/>
                <w:sz w:val="14"/>
                <w:szCs w:val="14"/>
                <w:lang w:val="es-ES" w:eastAsia="pt-BR"/>
              </w:rPr>
              <w:t>Dental Plans for Individuals</w:t>
            </w:r>
          </w:p>
        </w:tc>
        <w:tc>
          <w:tcPr>
            <w:tcW w:w="1045" w:type="pct"/>
            <w:tcBorders>
              <w:top w:val="single" w:sz="2" w:space="0" w:color="44546A" w:themeColor="text2"/>
            </w:tcBorders>
            <w:vAlign w:val="center"/>
          </w:tcPr>
          <w:p w14:paraId="08DE8525"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eastAsia="pt-BR"/>
              </w:rPr>
            </w:pPr>
            <w:r>
              <w:rPr>
                <w:rFonts w:eastAsia="Times New Roman" w:cs="Arial"/>
                <w:bCs/>
                <w:snapToGrid w:val="0"/>
                <w:sz w:val="14"/>
                <w:szCs w:val="14"/>
                <w:lang w:val="es-ES" w:eastAsia="pt-BR"/>
              </w:rPr>
              <w:t>BBA</w:t>
            </w:r>
          </w:p>
        </w:tc>
      </w:tr>
      <w:tr w:rsidR="006A362F" w:rsidRPr="009E6042" w14:paraId="17CC62C8" w14:textId="77777777" w:rsidTr="006928A6">
        <w:trPr>
          <w:trHeight w:val="170"/>
        </w:trPr>
        <w:tc>
          <w:tcPr>
            <w:tcW w:w="1191" w:type="pct"/>
            <w:vAlign w:val="center"/>
          </w:tcPr>
          <w:p w14:paraId="2033D8D0" w14:textId="77777777" w:rsidR="006A362F" w:rsidRPr="009E6042" w:rsidRDefault="006A362F" w:rsidP="006928A6">
            <w:pPr>
              <w:widowControl w:val="0"/>
              <w:spacing w:after="120" w:line="240" w:lineRule="auto"/>
              <w:ind w:left="57"/>
              <w:jc w:val="center"/>
              <w:rPr>
                <w:rFonts w:eastAsia="Times New Roman" w:cs="Arial"/>
                <w:bCs/>
                <w:snapToGrid w:val="0"/>
                <w:sz w:val="14"/>
                <w:szCs w:val="14"/>
                <w:highlight w:val="green"/>
                <w:lang w:val="es-ES" w:eastAsia="pt-BR"/>
              </w:rPr>
            </w:pPr>
            <w:r w:rsidRPr="00D078AA">
              <w:rPr>
                <w:rFonts w:eastAsia="Times New Roman" w:cs="Arial"/>
                <w:bCs/>
                <w:snapToGrid w:val="0"/>
                <w:sz w:val="14"/>
                <w:szCs w:val="14"/>
                <w:lang w:val="es-ES" w:eastAsia="pt-BR"/>
              </w:rPr>
              <w:t>Plans Legal Entity Corporate Collective</w:t>
            </w:r>
          </w:p>
        </w:tc>
        <w:tc>
          <w:tcPr>
            <w:tcW w:w="2764" w:type="pct"/>
            <w:vAlign w:val="center"/>
          </w:tcPr>
          <w:p w14:paraId="001162A8" w14:textId="77777777" w:rsidR="006A362F" w:rsidRPr="009E6042" w:rsidRDefault="006A362F" w:rsidP="006928A6">
            <w:pPr>
              <w:widowControl w:val="0"/>
              <w:spacing w:after="120" w:line="240" w:lineRule="auto"/>
              <w:ind w:left="57"/>
              <w:jc w:val="center"/>
              <w:rPr>
                <w:rFonts w:eastAsia="Times New Roman" w:cs="Arial"/>
                <w:bCs/>
                <w:snapToGrid w:val="0"/>
                <w:sz w:val="14"/>
                <w:szCs w:val="14"/>
                <w:highlight w:val="green"/>
                <w:lang w:val="es-ES" w:eastAsia="pt-BR"/>
              </w:rPr>
            </w:pPr>
            <w:r w:rsidRPr="00D078AA">
              <w:rPr>
                <w:rFonts w:eastAsia="Times New Roman" w:cs="Arial"/>
                <w:bCs/>
                <w:snapToGrid w:val="0"/>
                <w:sz w:val="14"/>
                <w:szCs w:val="14"/>
                <w:lang w:val="es-ES" w:eastAsia="pt-BR"/>
              </w:rPr>
              <w:t>Dental Plans for Corporate Legal Entities</w:t>
            </w:r>
          </w:p>
        </w:tc>
        <w:tc>
          <w:tcPr>
            <w:tcW w:w="1045" w:type="pct"/>
            <w:vAlign w:val="center"/>
          </w:tcPr>
          <w:p w14:paraId="36027843"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9E6042">
              <w:rPr>
                <w:rFonts w:eastAsia="Times New Roman" w:cs="Arial"/>
                <w:bCs/>
                <w:snapToGrid w:val="0"/>
                <w:sz w:val="14"/>
                <w:szCs w:val="14"/>
                <w:lang w:val="es-ES" w:eastAsia="pt-BR"/>
              </w:rPr>
              <w:t>PAA</w:t>
            </w:r>
          </w:p>
        </w:tc>
      </w:tr>
      <w:tr w:rsidR="006A362F" w:rsidRPr="009E6042" w14:paraId="52400511" w14:textId="77777777" w:rsidTr="006928A6">
        <w:trPr>
          <w:trHeight w:val="170"/>
        </w:trPr>
        <w:tc>
          <w:tcPr>
            <w:tcW w:w="1191" w:type="pct"/>
            <w:vAlign w:val="center"/>
          </w:tcPr>
          <w:p w14:paraId="16F65BDD"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D078AA">
              <w:rPr>
                <w:rFonts w:eastAsia="Times New Roman" w:cs="Arial"/>
                <w:bCs/>
                <w:snapToGrid w:val="0"/>
                <w:sz w:val="14"/>
                <w:szCs w:val="14"/>
                <w:lang w:val="es-ES" w:eastAsia="pt-BR"/>
              </w:rPr>
              <w:t>Collective Corporate Plans by Adhesion</w:t>
            </w:r>
          </w:p>
        </w:tc>
        <w:tc>
          <w:tcPr>
            <w:tcW w:w="2764" w:type="pct"/>
            <w:vAlign w:val="center"/>
          </w:tcPr>
          <w:p w14:paraId="042EF286"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sidRPr="00D078AA">
              <w:rPr>
                <w:rFonts w:eastAsia="Times New Roman" w:cs="Arial"/>
                <w:bCs/>
                <w:snapToGrid w:val="0"/>
                <w:sz w:val="14"/>
                <w:szCs w:val="14"/>
                <w:lang w:val="es-ES" w:eastAsia="pt-BR"/>
              </w:rPr>
              <w:t>Dental Plans for Legal Entities by Adhesion</w:t>
            </w:r>
          </w:p>
        </w:tc>
        <w:tc>
          <w:tcPr>
            <w:tcW w:w="1045" w:type="pct"/>
            <w:vAlign w:val="center"/>
          </w:tcPr>
          <w:p w14:paraId="181AABDD" w14:textId="77777777" w:rsidR="006A362F" w:rsidRPr="009E6042" w:rsidRDefault="006A362F" w:rsidP="006928A6">
            <w:pPr>
              <w:widowControl w:val="0"/>
              <w:spacing w:after="120" w:line="240" w:lineRule="auto"/>
              <w:ind w:left="57"/>
              <w:jc w:val="center"/>
              <w:rPr>
                <w:rFonts w:eastAsia="Times New Roman" w:cs="Arial"/>
                <w:bCs/>
                <w:snapToGrid w:val="0"/>
                <w:sz w:val="14"/>
                <w:szCs w:val="14"/>
                <w:lang w:val="es-ES" w:eastAsia="pt-BR"/>
              </w:rPr>
            </w:pPr>
            <w:r>
              <w:rPr>
                <w:rFonts w:eastAsia="Times New Roman" w:cs="Arial"/>
                <w:bCs/>
                <w:snapToGrid w:val="0"/>
                <w:sz w:val="14"/>
                <w:szCs w:val="14"/>
                <w:lang w:val="es-ES" w:eastAsia="pt-BR"/>
              </w:rPr>
              <w:t>PAA</w:t>
            </w:r>
          </w:p>
        </w:tc>
      </w:tr>
    </w:tbl>
    <w:p w14:paraId="7D0F3776" w14:textId="77777777" w:rsidR="006A362F" w:rsidRPr="00A263A7" w:rsidRDefault="006A362F" w:rsidP="006A362F">
      <w:pPr>
        <w:pStyle w:val="PargrafodaLista"/>
        <w:numPr>
          <w:ilvl w:val="0"/>
          <w:numId w:val="39"/>
        </w:numPr>
        <w:jc w:val="both"/>
        <w:rPr>
          <w:rFonts w:ascii="Arial" w:eastAsia="Times New Roman" w:hAnsi="Arial" w:cs="Arial"/>
          <w:kern w:val="20"/>
          <w:sz w:val="14"/>
          <w:szCs w:val="16"/>
          <w:lang w:val="en-US" w:eastAsia="pt-BR"/>
        </w:rPr>
      </w:pPr>
      <w:r w:rsidRPr="00A263A7">
        <w:rPr>
          <w:rFonts w:ascii="Arial" w:eastAsia="Times New Roman" w:hAnsi="Arial" w:cs="Arial"/>
          <w:kern w:val="20"/>
          <w:sz w:val="14"/>
          <w:szCs w:val="16"/>
          <w:lang w:val="en-US" w:eastAsia="pt-BR"/>
        </w:rPr>
        <w:t>BBA - Building Block Approach and PAA - Premium Allocation Approach.</w:t>
      </w:r>
    </w:p>
    <w:p w14:paraId="4BCFA559" w14:textId="77777777" w:rsidR="006A362F" w:rsidRPr="00A263A7" w:rsidRDefault="006A362F" w:rsidP="00076945">
      <w:pPr>
        <w:jc w:val="both"/>
        <w:rPr>
          <w:rFonts w:eastAsia="Times New Roman" w:cs="Arial"/>
          <w:kern w:val="20"/>
          <w:szCs w:val="20"/>
          <w:lang w:val="en-US" w:eastAsia="pt-BR"/>
        </w:rPr>
      </w:pPr>
      <w:r w:rsidRPr="00A263A7">
        <w:rPr>
          <w:rFonts w:eastAsia="Times New Roman" w:cs="Arial"/>
          <w:kern w:val="20"/>
          <w:szCs w:val="20"/>
          <w:lang w:val="en-US" w:eastAsia="pt-BR"/>
        </w:rPr>
        <w:t>With regard to measurement models, Brasildental plans to apply the general model (BBA) to contracts for Individual Plans - PF, since, in addition to being the standard model of the norm, contracts are characterized by being long-term. The simplified model PAA is applied to groups of collective business and collective adhesion plans. Brasildental does not have contracts measured using the variable rate approach (VFA).</w:t>
      </w:r>
    </w:p>
    <w:p w14:paraId="78072E5B" w14:textId="77777777" w:rsidR="006A362F" w:rsidRPr="00A263A7" w:rsidRDefault="006A362F" w:rsidP="00076945">
      <w:pPr>
        <w:jc w:val="both"/>
        <w:rPr>
          <w:rFonts w:eastAsia="Times New Roman" w:cs="Arial"/>
          <w:kern w:val="20"/>
          <w:szCs w:val="20"/>
          <w:lang w:val="en-US" w:eastAsia="pt-BR"/>
        </w:rPr>
      </w:pPr>
      <w:r w:rsidRPr="00A263A7">
        <w:rPr>
          <w:rFonts w:eastAsia="Times New Roman" w:cs="Arial"/>
          <w:kern w:val="20"/>
          <w:szCs w:val="20"/>
          <w:lang w:val="en-US" w:eastAsia="pt-BR"/>
        </w:rPr>
        <w:t>Each contract within the scope of the standard was evaluated in order to classify the groups according to the definitions of the new standard. No onerousness was found in the Company's contract groups, therefore, there was no impact in terms of results compared to IFRS 4.</w:t>
      </w:r>
    </w:p>
    <w:p w14:paraId="6FCF6749" w14:textId="77777777" w:rsidR="00CC37BC" w:rsidRDefault="00CC37BC">
      <w:pPr>
        <w:rPr>
          <w:rFonts w:eastAsia="Times New Roman" w:cs="Arial"/>
          <w:b/>
          <w:color w:val="1F4E79" w:themeColor="accent1" w:themeShade="80"/>
          <w:spacing w:val="-2"/>
          <w:szCs w:val="18"/>
          <w:lang w:val="en-US" w:eastAsia="pt-BR"/>
        </w:rPr>
      </w:pPr>
      <w:r>
        <w:rPr>
          <w:rFonts w:eastAsia="Times New Roman" w:cs="Arial"/>
          <w:b/>
          <w:color w:val="1F4E79" w:themeColor="accent1" w:themeShade="80"/>
          <w:spacing w:val="-2"/>
          <w:szCs w:val="18"/>
          <w:lang w:val="en-US" w:eastAsia="pt-BR"/>
        </w:rPr>
        <w:br w:type="page"/>
      </w:r>
    </w:p>
    <w:p w14:paraId="468A4FE5" w14:textId="5768F016" w:rsidR="006A362F" w:rsidRPr="008078D5" w:rsidRDefault="006A362F" w:rsidP="00076945">
      <w:pPr>
        <w:spacing w:after="0" w:line="240" w:lineRule="auto"/>
        <w:rPr>
          <w:rFonts w:eastAsia="Times New Roman" w:cs="Arial"/>
          <w:b/>
          <w:color w:val="1F4E79" w:themeColor="accent1" w:themeShade="80"/>
          <w:spacing w:val="-2"/>
          <w:szCs w:val="18"/>
          <w:lang w:val="en-US" w:eastAsia="pt-BR"/>
        </w:rPr>
      </w:pPr>
      <w:r w:rsidRPr="008078D5">
        <w:rPr>
          <w:rFonts w:eastAsia="Times New Roman" w:cs="Arial"/>
          <w:b/>
          <w:color w:val="1F4E79" w:themeColor="accent1" w:themeShade="80"/>
          <w:spacing w:val="-2"/>
          <w:szCs w:val="18"/>
          <w:lang w:val="en-US" w:eastAsia="pt-BR"/>
        </w:rPr>
        <w:lastRenderedPageBreak/>
        <w:t xml:space="preserve">Initial </w:t>
      </w:r>
      <w:r>
        <w:rPr>
          <w:rFonts w:eastAsia="Times New Roman" w:cs="Arial"/>
          <w:b/>
          <w:color w:val="1F4E79" w:themeColor="accent1" w:themeShade="80"/>
          <w:spacing w:val="-2"/>
          <w:szCs w:val="18"/>
          <w:lang w:val="en-US" w:eastAsia="pt-BR"/>
        </w:rPr>
        <w:t>a</w:t>
      </w:r>
      <w:r w:rsidRPr="008078D5">
        <w:rPr>
          <w:rFonts w:eastAsia="Times New Roman" w:cs="Arial"/>
          <w:b/>
          <w:color w:val="1F4E79" w:themeColor="accent1" w:themeShade="80"/>
          <w:spacing w:val="-2"/>
          <w:szCs w:val="18"/>
          <w:lang w:val="en-US" w:eastAsia="pt-BR"/>
        </w:rPr>
        <w:t>doption of CPC 50 [IFRS 17] and CPC 48 [IFRS 9]</w:t>
      </w:r>
    </w:p>
    <w:p w14:paraId="4327E154" w14:textId="77777777" w:rsidR="006A362F" w:rsidRPr="008078D5" w:rsidRDefault="006A362F" w:rsidP="00076945">
      <w:pPr>
        <w:spacing w:after="0" w:line="240" w:lineRule="auto"/>
        <w:rPr>
          <w:rFonts w:eastAsia="Times New Roman" w:cs="Arial"/>
          <w:b/>
          <w:color w:val="1F4E79" w:themeColor="accent1" w:themeShade="80"/>
          <w:spacing w:val="-2"/>
          <w:szCs w:val="18"/>
          <w:lang w:val="en-US" w:eastAsia="pt-BR"/>
        </w:rPr>
      </w:pPr>
    </w:p>
    <w:p w14:paraId="6BFC24E3" w14:textId="77777777" w:rsidR="006A362F" w:rsidRPr="008078D5" w:rsidRDefault="006A362F" w:rsidP="00076945">
      <w:pPr>
        <w:jc w:val="both"/>
        <w:rPr>
          <w:rFonts w:eastAsia="Times New Roman" w:cs="Arial"/>
          <w:kern w:val="20"/>
          <w:szCs w:val="20"/>
          <w:lang w:val="en-US" w:eastAsia="pt-BR"/>
        </w:rPr>
      </w:pPr>
      <w:r w:rsidRPr="008078D5">
        <w:rPr>
          <w:rFonts w:eastAsia="Times New Roman" w:cs="Arial"/>
          <w:kern w:val="20"/>
          <w:szCs w:val="20"/>
          <w:lang w:val="en-US" w:eastAsia="pt-BR"/>
        </w:rPr>
        <w:t>Changes in accounting policies resulting from IFRS 17 are applied using a Fair Value approach and a full retrospective approach, as shown in the table below:</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0644A1" w14:paraId="26DDAF56"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431FFC58" w14:textId="77777777" w:rsidR="006A362F" w:rsidRPr="00B540FF" w:rsidRDefault="006A362F" w:rsidP="006928A6">
            <w:pPr>
              <w:pStyle w:val="08-Tabelageral"/>
              <w:jc w:val="left"/>
              <w:rPr>
                <w:rFonts w:cs="Arial"/>
                <w:b/>
                <w:bCs/>
                <w:szCs w:val="14"/>
              </w:rPr>
            </w:pPr>
            <w:r>
              <w:rPr>
                <w:rFonts w:cs="Arial"/>
                <w:b/>
                <w:bCs/>
                <w:szCs w:val="14"/>
              </w:rPr>
              <w:t>C</w:t>
            </w:r>
            <w:r w:rsidRPr="00E038BB">
              <w:rPr>
                <w:rFonts w:cs="Arial"/>
                <w:b/>
                <w:bCs/>
                <w:szCs w:val="14"/>
              </w:rPr>
              <w:t>ontract group</w:t>
            </w:r>
          </w:p>
        </w:tc>
        <w:tc>
          <w:tcPr>
            <w:tcW w:w="2267" w:type="dxa"/>
            <w:tcBorders>
              <w:top w:val="single" w:sz="2" w:space="0" w:color="1F4E79" w:themeColor="accent1" w:themeShade="80"/>
            </w:tcBorders>
            <w:shd w:val="clear" w:color="auto" w:fill="auto"/>
            <w:vAlign w:val="center"/>
          </w:tcPr>
          <w:p w14:paraId="3D209AC1" w14:textId="77777777" w:rsidR="006A362F" w:rsidRPr="00B86917" w:rsidRDefault="006A362F" w:rsidP="006928A6">
            <w:pPr>
              <w:pStyle w:val="08-Tabelageral"/>
              <w:rPr>
                <w:rFonts w:cs="Arial"/>
                <w:b/>
                <w:bCs/>
                <w:szCs w:val="14"/>
              </w:rPr>
            </w:pPr>
            <w:r>
              <w:rPr>
                <w:rFonts w:cs="Arial"/>
                <w:b/>
                <w:bCs/>
                <w:szCs w:val="14"/>
              </w:rPr>
              <w:t>T</w:t>
            </w:r>
            <w:r w:rsidRPr="00E038BB">
              <w:rPr>
                <w:rFonts w:cs="Arial"/>
                <w:b/>
                <w:bCs/>
                <w:szCs w:val="14"/>
              </w:rPr>
              <w:t>ransition methodology</w:t>
            </w:r>
          </w:p>
        </w:tc>
      </w:tr>
      <w:tr w:rsidR="006A362F" w:rsidRPr="0068153B" w14:paraId="630C6C0C"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219C4C30" w14:textId="77777777" w:rsidR="006A362F" w:rsidRPr="00E038BB" w:rsidRDefault="006A362F" w:rsidP="006928A6">
            <w:pPr>
              <w:pStyle w:val="08-Tabelageral"/>
              <w:jc w:val="left"/>
              <w:rPr>
                <w:rFonts w:cs="Arial"/>
                <w:szCs w:val="14"/>
                <w:lang w:val="en-US"/>
              </w:rPr>
            </w:pPr>
            <w:r w:rsidRPr="00E038BB">
              <w:rPr>
                <w:rFonts w:cs="Arial"/>
                <w:szCs w:val="14"/>
                <w:lang w:val="en-US"/>
              </w:rPr>
              <w:t>Individual Plans (PF) – Issuance until 2020</w:t>
            </w:r>
          </w:p>
        </w:tc>
        <w:tc>
          <w:tcPr>
            <w:tcW w:w="2267" w:type="dxa"/>
            <w:tcBorders>
              <w:top w:val="single" w:sz="2" w:space="0" w:color="1F4E79" w:themeColor="accent1" w:themeShade="80"/>
            </w:tcBorders>
            <w:shd w:val="clear" w:color="auto" w:fill="auto"/>
            <w:vAlign w:val="center"/>
          </w:tcPr>
          <w:p w14:paraId="04238E08" w14:textId="77777777" w:rsidR="006A362F" w:rsidRPr="0068153B" w:rsidRDefault="006A362F" w:rsidP="006928A6">
            <w:pPr>
              <w:pStyle w:val="08-Tabelageral"/>
              <w:rPr>
                <w:rFonts w:cs="Arial"/>
                <w:szCs w:val="14"/>
              </w:rPr>
            </w:pPr>
            <w:r w:rsidRPr="00E038BB">
              <w:rPr>
                <w:rFonts w:cs="Arial"/>
                <w:szCs w:val="14"/>
              </w:rPr>
              <w:t>Fair value</w:t>
            </w:r>
          </w:p>
        </w:tc>
      </w:tr>
      <w:tr w:rsidR="006A362F" w:rsidRPr="0048242D" w14:paraId="5461ED63" w14:textId="77777777" w:rsidTr="006928A6">
        <w:trPr>
          <w:trHeight w:val="238"/>
          <w:jc w:val="center"/>
        </w:trPr>
        <w:tc>
          <w:tcPr>
            <w:tcW w:w="7372" w:type="dxa"/>
            <w:shd w:val="clear" w:color="auto" w:fill="auto"/>
          </w:tcPr>
          <w:p w14:paraId="6E99E977" w14:textId="77777777" w:rsidR="006A362F" w:rsidRPr="00E038BB" w:rsidRDefault="006A362F" w:rsidP="006928A6">
            <w:pPr>
              <w:pStyle w:val="08-Tabelageral"/>
              <w:jc w:val="left"/>
              <w:rPr>
                <w:rFonts w:cs="Arial"/>
                <w:szCs w:val="14"/>
                <w:lang w:val="en-US"/>
              </w:rPr>
            </w:pPr>
            <w:r w:rsidRPr="00E038BB">
              <w:rPr>
                <w:rFonts w:cs="Arial"/>
                <w:szCs w:val="14"/>
                <w:lang w:val="en-US"/>
              </w:rPr>
              <w:t>Individual Plans (PF) – Issuance from 2021</w:t>
            </w:r>
          </w:p>
        </w:tc>
        <w:tc>
          <w:tcPr>
            <w:tcW w:w="2267" w:type="dxa"/>
            <w:shd w:val="clear" w:color="auto" w:fill="auto"/>
          </w:tcPr>
          <w:p w14:paraId="219E63A8" w14:textId="77777777" w:rsidR="006A362F" w:rsidRPr="00B86917" w:rsidRDefault="006A362F" w:rsidP="006928A6">
            <w:pPr>
              <w:pStyle w:val="08-Tabelageral"/>
              <w:rPr>
                <w:rFonts w:cs="Arial"/>
                <w:szCs w:val="14"/>
              </w:rPr>
            </w:pPr>
            <w:r>
              <w:rPr>
                <w:rFonts w:cs="Arial"/>
                <w:szCs w:val="14"/>
              </w:rPr>
              <w:t>F</w:t>
            </w:r>
            <w:r w:rsidRPr="00D078AA">
              <w:rPr>
                <w:rFonts w:cs="Arial"/>
                <w:szCs w:val="14"/>
              </w:rPr>
              <w:t>ull retrospective</w:t>
            </w:r>
          </w:p>
        </w:tc>
      </w:tr>
      <w:tr w:rsidR="006A362F" w:rsidRPr="0048242D" w14:paraId="67A57C58" w14:textId="77777777" w:rsidTr="006928A6">
        <w:trPr>
          <w:trHeight w:val="238"/>
          <w:jc w:val="center"/>
        </w:trPr>
        <w:tc>
          <w:tcPr>
            <w:tcW w:w="7372" w:type="dxa"/>
            <w:shd w:val="clear" w:color="auto" w:fill="auto"/>
          </w:tcPr>
          <w:p w14:paraId="4BDCC223" w14:textId="77777777" w:rsidR="006A362F" w:rsidRDefault="006A362F" w:rsidP="00D078AA">
            <w:pPr>
              <w:pStyle w:val="08-Tabelageral"/>
              <w:jc w:val="left"/>
              <w:rPr>
                <w:rFonts w:cs="Arial"/>
                <w:szCs w:val="14"/>
              </w:rPr>
            </w:pPr>
            <w:r w:rsidRPr="00E038BB">
              <w:rPr>
                <w:rFonts w:cs="Arial"/>
                <w:szCs w:val="14"/>
              </w:rPr>
              <w:t>Collective Membership Plans</w:t>
            </w:r>
          </w:p>
        </w:tc>
        <w:tc>
          <w:tcPr>
            <w:tcW w:w="2267" w:type="dxa"/>
            <w:shd w:val="clear" w:color="auto" w:fill="auto"/>
          </w:tcPr>
          <w:p w14:paraId="6F108404" w14:textId="77777777" w:rsidR="006A362F" w:rsidRPr="00B86917" w:rsidRDefault="006A362F" w:rsidP="00D078AA">
            <w:pPr>
              <w:pStyle w:val="08-Tabelageral"/>
              <w:rPr>
                <w:rFonts w:cs="Arial"/>
                <w:szCs w:val="14"/>
              </w:rPr>
            </w:pPr>
            <w:r>
              <w:rPr>
                <w:rFonts w:cs="Arial"/>
                <w:szCs w:val="14"/>
              </w:rPr>
              <w:t>F</w:t>
            </w:r>
            <w:r w:rsidRPr="00D078AA">
              <w:rPr>
                <w:rFonts w:cs="Arial"/>
                <w:szCs w:val="14"/>
              </w:rPr>
              <w:t>ull retrospective</w:t>
            </w:r>
          </w:p>
        </w:tc>
      </w:tr>
      <w:tr w:rsidR="006A362F" w:rsidRPr="0048242D" w14:paraId="5AAFE10B" w14:textId="77777777" w:rsidTr="006928A6">
        <w:trPr>
          <w:trHeight w:val="238"/>
          <w:jc w:val="center"/>
        </w:trPr>
        <w:tc>
          <w:tcPr>
            <w:tcW w:w="7372" w:type="dxa"/>
            <w:shd w:val="clear" w:color="auto" w:fill="auto"/>
          </w:tcPr>
          <w:p w14:paraId="52A03594" w14:textId="77777777" w:rsidR="006A362F" w:rsidRPr="00E038BB" w:rsidRDefault="006A362F" w:rsidP="00D078AA">
            <w:pPr>
              <w:pStyle w:val="08-Tabelageral"/>
              <w:jc w:val="left"/>
              <w:rPr>
                <w:rFonts w:cs="Arial"/>
                <w:szCs w:val="14"/>
                <w:lang w:val="en-US"/>
              </w:rPr>
            </w:pPr>
            <w:r w:rsidRPr="00E038BB">
              <w:rPr>
                <w:rFonts w:cs="Arial"/>
                <w:szCs w:val="14"/>
                <w:lang w:val="en-US"/>
              </w:rPr>
              <w:t>Write-off of risk adjustment of insurance liabilities</w:t>
            </w:r>
          </w:p>
        </w:tc>
        <w:tc>
          <w:tcPr>
            <w:tcW w:w="2267" w:type="dxa"/>
            <w:shd w:val="clear" w:color="auto" w:fill="auto"/>
          </w:tcPr>
          <w:p w14:paraId="67344109" w14:textId="77777777" w:rsidR="006A362F" w:rsidRPr="00B86917" w:rsidRDefault="006A362F" w:rsidP="00D078AA">
            <w:pPr>
              <w:pStyle w:val="08-Tabelageral"/>
              <w:rPr>
                <w:rFonts w:cs="Arial"/>
                <w:szCs w:val="14"/>
              </w:rPr>
            </w:pPr>
            <w:r>
              <w:rPr>
                <w:rFonts w:cs="Arial"/>
                <w:szCs w:val="14"/>
              </w:rPr>
              <w:t>F</w:t>
            </w:r>
            <w:r w:rsidRPr="00D078AA">
              <w:rPr>
                <w:rFonts w:cs="Arial"/>
                <w:szCs w:val="14"/>
              </w:rPr>
              <w:t>ull retrospective</w:t>
            </w:r>
          </w:p>
        </w:tc>
      </w:tr>
    </w:tbl>
    <w:p w14:paraId="2859369E" w14:textId="77777777" w:rsidR="006A362F" w:rsidRDefault="006A362F" w:rsidP="008078D5">
      <w:pPr>
        <w:jc w:val="both"/>
        <w:rPr>
          <w:rFonts w:eastAsia="Times New Roman" w:cs="Arial"/>
          <w:kern w:val="20"/>
          <w:szCs w:val="20"/>
          <w:lang w:val="en-US" w:eastAsia="pt-BR"/>
        </w:rPr>
      </w:pPr>
    </w:p>
    <w:p w14:paraId="01911A27" w14:textId="77777777" w:rsidR="006A362F" w:rsidRPr="008078D5" w:rsidRDefault="006A362F" w:rsidP="008078D5">
      <w:pPr>
        <w:jc w:val="both"/>
        <w:rPr>
          <w:rFonts w:eastAsia="Times New Roman" w:cs="Arial"/>
          <w:kern w:val="20"/>
          <w:szCs w:val="20"/>
          <w:lang w:val="en-US" w:eastAsia="pt-BR"/>
        </w:rPr>
      </w:pPr>
      <w:r w:rsidRPr="008078D5">
        <w:rPr>
          <w:rFonts w:eastAsia="Times New Roman" w:cs="Arial"/>
          <w:kern w:val="20"/>
          <w:szCs w:val="20"/>
          <w:lang w:val="en-US" w:eastAsia="pt-BR"/>
        </w:rPr>
        <w:t>With regard to the impacts of CPC 48 [IFRS 9], the standard came into effect on January 1, 2018. The National Supplementary Health Agency (ANS) endorsed the application of CPC 48 – Financial Instruments by Normative Resolution 528 of April 29, 2022, to be applied from January 1, 2023.</w:t>
      </w:r>
    </w:p>
    <w:p w14:paraId="36A4F9F9" w14:textId="77777777" w:rsidR="006A362F" w:rsidRPr="008078D5" w:rsidRDefault="006A362F" w:rsidP="008078D5">
      <w:pPr>
        <w:jc w:val="both"/>
        <w:rPr>
          <w:rFonts w:eastAsia="Times New Roman" w:cs="Arial"/>
          <w:kern w:val="20"/>
          <w:szCs w:val="20"/>
          <w:lang w:val="en-US" w:eastAsia="pt-BR"/>
        </w:rPr>
      </w:pPr>
      <w:r w:rsidRPr="008078D5">
        <w:rPr>
          <w:rFonts w:eastAsia="Times New Roman" w:cs="Arial"/>
          <w:kern w:val="20"/>
          <w:szCs w:val="20"/>
          <w:lang w:val="en-US" w:eastAsia="pt-BR"/>
        </w:rPr>
        <w:t>The Company's portfolio consists exclusively of investment funds, which are measured at amortized cost or at fair value through profit or loss, depending on the business model applied. The impacts caused by changes in rates and financial hypotheses on liabilities do not have a significant impact on the Company's results. Regarding the expected loss, there are no impacts on financial assets.</w:t>
      </w:r>
    </w:p>
    <w:p w14:paraId="72169AF3" w14:textId="77777777" w:rsidR="006A362F" w:rsidRPr="008078D5" w:rsidRDefault="006A362F" w:rsidP="008078D5">
      <w:pPr>
        <w:jc w:val="both"/>
        <w:rPr>
          <w:rFonts w:eastAsia="Times New Roman" w:cs="Arial"/>
          <w:kern w:val="20"/>
          <w:szCs w:val="20"/>
          <w:lang w:val="en-US" w:eastAsia="pt-BR"/>
        </w:rPr>
      </w:pPr>
      <w:r w:rsidRPr="008078D5">
        <w:rPr>
          <w:rFonts w:eastAsia="Times New Roman" w:cs="Arial"/>
          <w:kern w:val="20"/>
          <w:szCs w:val="20"/>
          <w:lang w:val="en-US" w:eastAsia="pt-BR"/>
        </w:rPr>
        <w:t>The impacts of the transition on shareholders' equity are shown in the tables below:</w:t>
      </w:r>
    </w:p>
    <w:p w14:paraId="68434B3E" w14:textId="77777777" w:rsidR="006A362F" w:rsidRPr="00B77F46" w:rsidRDefault="006A362F" w:rsidP="00076945">
      <w:pPr>
        <w:pStyle w:val="01-TtulodeNota"/>
        <w:spacing w:before="0" w:after="0"/>
        <w:jc w:val="right"/>
        <w:rPr>
          <w:sz w:val="14"/>
          <w:szCs w:val="14"/>
        </w:rPr>
      </w:pPr>
      <w:r w:rsidRPr="00B77F46">
        <w:rPr>
          <w:sz w:val="14"/>
          <w:szCs w:val="14"/>
        </w:rPr>
        <w:t xml:space="preserve">R$ </w:t>
      </w:r>
      <w:r>
        <w:rPr>
          <w:sz w:val="14"/>
          <w:szCs w:val="14"/>
        </w:rPr>
        <w:t>thousand</w:t>
      </w:r>
    </w:p>
    <w:tbl>
      <w:tblPr>
        <w:tblW w:w="9639" w:type="dxa"/>
        <w:jc w:val="center"/>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7372"/>
        <w:gridCol w:w="2267"/>
      </w:tblGrid>
      <w:tr w:rsidR="006A362F" w:rsidRPr="00466C18" w14:paraId="4183B577" w14:textId="77777777" w:rsidTr="006928A6">
        <w:trPr>
          <w:trHeight w:val="238"/>
          <w:jc w:val="center"/>
        </w:trPr>
        <w:tc>
          <w:tcPr>
            <w:tcW w:w="9639" w:type="dxa"/>
            <w:gridSpan w:val="2"/>
            <w:tcBorders>
              <w:top w:val="single" w:sz="2" w:space="0" w:color="1F4E79" w:themeColor="accent1" w:themeShade="80"/>
              <w:bottom w:val="single" w:sz="2" w:space="0" w:color="1F4E79" w:themeColor="accent1" w:themeShade="80"/>
            </w:tcBorders>
            <w:shd w:val="clear" w:color="auto" w:fill="auto"/>
          </w:tcPr>
          <w:p w14:paraId="78AA8A2C" w14:textId="77777777" w:rsidR="006A362F" w:rsidRPr="003222DA" w:rsidRDefault="006A362F" w:rsidP="006928A6">
            <w:pPr>
              <w:pStyle w:val="08-Tabelageral"/>
              <w:jc w:val="center"/>
              <w:rPr>
                <w:rFonts w:cs="Arial"/>
                <w:b/>
                <w:szCs w:val="14"/>
                <w:lang w:val="en-US"/>
              </w:rPr>
            </w:pPr>
            <w:r w:rsidRPr="003222DA">
              <w:rPr>
                <w:rFonts w:cs="Arial"/>
                <w:b/>
                <w:szCs w:val="14"/>
                <w:lang w:val="en-US"/>
              </w:rPr>
              <w:t>Equity Reconciliation - Effects of the adoption of CPC 50 [IFRS 17] and CPC 48 [IFRS 9]</w:t>
            </w:r>
          </w:p>
        </w:tc>
      </w:tr>
      <w:tr w:rsidR="006A362F" w:rsidRPr="000644A1" w14:paraId="6CFDA1E9" w14:textId="77777777" w:rsidTr="006928A6">
        <w:trPr>
          <w:trHeight w:val="238"/>
          <w:jc w:val="center"/>
        </w:trPr>
        <w:tc>
          <w:tcPr>
            <w:tcW w:w="7372" w:type="dxa"/>
            <w:tcBorders>
              <w:top w:val="single" w:sz="2" w:space="0" w:color="1F4E79" w:themeColor="accent1" w:themeShade="80"/>
            </w:tcBorders>
            <w:shd w:val="clear" w:color="auto" w:fill="auto"/>
            <w:vAlign w:val="center"/>
          </w:tcPr>
          <w:p w14:paraId="74D57D41" w14:textId="77777777" w:rsidR="006A362F" w:rsidRPr="00B540FF" w:rsidRDefault="006A362F" w:rsidP="006928A6">
            <w:pPr>
              <w:pStyle w:val="08-Tabelageral"/>
              <w:jc w:val="left"/>
              <w:rPr>
                <w:rFonts w:cs="Arial"/>
                <w:b/>
                <w:bCs/>
                <w:szCs w:val="14"/>
              </w:rPr>
            </w:pPr>
            <w:r>
              <w:rPr>
                <w:rFonts w:cs="Arial"/>
                <w:b/>
                <w:bCs/>
                <w:szCs w:val="14"/>
              </w:rPr>
              <w:t>Equity on Dec 31,2021</w:t>
            </w:r>
          </w:p>
        </w:tc>
        <w:tc>
          <w:tcPr>
            <w:tcW w:w="2267" w:type="dxa"/>
            <w:tcBorders>
              <w:top w:val="single" w:sz="2" w:space="0" w:color="1F4E79" w:themeColor="accent1" w:themeShade="80"/>
            </w:tcBorders>
            <w:shd w:val="clear" w:color="auto" w:fill="auto"/>
            <w:vAlign w:val="center"/>
          </w:tcPr>
          <w:p w14:paraId="3D331D73" w14:textId="77777777" w:rsidR="006A362F" w:rsidRPr="00B86917" w:rsidRDefault="006A362F" w:rsidP="006928A6">
            <w:pPr>
              <w:pStyle w:val="08-Tabelageral"/>
              <w:rPr>
                <w:rFonts w:cs="Arial"/>
                <w:b/>
                <w:bCs/>
                <w:szCs w:val="14"/>
              </w:rPr>
            </w:pPr>
            <w:r w:rsidRPr="007443FF">
              <w:rPr>
                <w:rFonts w:cs="Arial"/>
                <w:b/>
                <w:bCs/>
                <w:szCs w:val="14"/>
              </w:rPr>
              <w:t>21</w:t>
            </w:r>
            <w:r>
              <w:rPr>
                <w:rFonts w:cs="Arial"/>
                <w:b/>
                <w:bCs/>
                <w:szCs w:val="14"/>
              </w:rPr>
              <w:t>,</w:t>
            </w:r>
            <w:r w:rsidRPr="007443FF">
              <w:rPr>
                <w:rFonts w:cs="Arial"/>
                <w:b/>
                <w:bCs/>
                <w:szCs w:val="14"/>
              </w:rPr>
              <w:t>452</w:t>
            </w:r>
          </w:p>
        </w:tc>
      </w:tr>
      <w:tr w:rsidR="006A362F" w:rsidRPr="00E2012E" w14:paraId="506A4D59" w14:textId="77777777" w:rsidTr="006928A6">
        <w:trPr>
          <w:trHeight w:val="238"/>
          <w:jc w:val="center"/>
        </w:trPr>
        <w:tc>
          <w:tcPr>
            <w:tcW w:w="7372" w:type="dxa"/>
            <w:tcBorders>
              <w:top w:val="single" w:sz="2" w:space="0" w:color="1F4E79" w:themeColor="accent1" w:themeShade="80"/>
            </w:tcBorders>
            <w:shd w:val="clear" w:color="auto" w:fill="auto"/>
          </w:tcPr>
          <w:p w14:paraId="59395F61" w14:textId="77777777" w:rsidR="006A362F" w:rsidRPr="00E2012E" w:rsidRDefault="006A362F" w:rsidP="006928A6">
            <w:pPr>
              <w:pStyle w:val="08-Tabelageral"/>
              <w:ind w:left="113"/>
              <w:jc w:val="left"/>
              <w:rPr>
                <w:rFonts w:cs="Arial"/>
                <w:szCs w:val="14"/>
              </w:rPr>
            </w:pPr>
            <w:r>
              <w:rPr>
                <w:rFonts w:cs="Arial"/>
                <w:szCs w:val="14"/>
              </w:rPr>
              <w:t>Total impact</w:t>
            </w:r>
          </w:p>
        </w:tc>
        <w:tc>
          <w:tcPr>
            <w:tcW w:w="2267" w:type="dxa"/>
            <w:tcBorders>
              <w:top w:val="single" w:sz="2" w:space="0" w:color="1F4E79" w:themeColor="accent1" w:themeShade="80"/>
            </w:tcBorders>
            <w:shd w:val="clear" w:color="auto" w:fill="auto"/>
          </w:tcPr>
          <w:p w14:paraId="090CF045" w14:textId="77777777" w:rsidR="006A362F" w:rsidRPr="00E2012E" w:rsidRDefault="006A362F" w:rsidP="006928A6">
            <w:pPr>
              <w:pStyle w:val="08-Tabelageral"/>
              <w:rPr>
                <w:rFonts w:cs="Arial"/>
                <w:szCs w:val="14"/>
              </w:rPr>
            </w:pPr>
            <w:r w:rsidRPr="00E2012E">
              <w:rPr>
                <w:rFonts w:cs="Arial"/>
                <w:szCs w:val="14"/>
              </w:rPr>
              <w:t>2</w:t>
            </w:r>
            <w:r>
              <w:rPr>
                <w:rFonts w:cs="Arial"/>
                <w:szCs w:val="14"/>
              </w:rPr>
              <w:t>,</w:t>
            </w:r>
            <w:r w:rsidRPr="00E2012E">
              <w:rPr>
                <w:rFonts w:cs="Arial"/>
                <w:szCs w:val="14"/>
              </w:rPr>
              <w:t>518</w:t>
            </w:r>
          </w:p>
        </w:tc>
      </w:tr>
      <w:tr w:rsidR="006A362F" w:rsidRPr="0048242D" w14:paraId="66609B35" w14:textId="77777777" w:rsidTr="006928A6">
        <w:trPr>
          <w:trHeight w:val="238"/>
          <w:jc w:val="center"/>
        </w:trPr>
        <w:tc>
          <w:tcPr>
            <w:tcW w:w="7372" w:type="dxa"/>
            <w:shd w:val="clear" w:color="auto" w:fill="auto"/>
          </w:tcPr>
          <w:p w14:paraId="192637B6" w14:textId="77777777" w:rsidR="006A362F" w:rsidRPr="00190ECA" w:rsidRDefault="006A362F" w:rsidP="006928A6">
            <w:pPr>
              <w:pStyle w:val="08-Tabelageral"/>
              <w:jc w:val="left"/>
              <w:rPr>
                <w:rFonts w:cs="Arial"/>
                <w:b/>
                <w:bCs/>
                <w:szCs w:val="14"/>
                <w:lang w:val="en-US"/>
              </w:rPr>
            </w:pPr>
            <w:r w:rsidRPr="00190ECA">
              <w:rPr>
                <w:rFonts w:cs="Arial"/>
                <w:b/>
                <w:bCs/>
                <w:szCs w:val="14"/>
                <w:lang w:val="en-US"/>
              </w:rPr>
              <w:t>Equity on Jan 01, 2022, after adjustments of CPC 50 [IFRS 17] and CPC 48 [IFRS 9]</w:t>
            </w:r>
          </w:p>
        </w:tc>
        <w:tc>
          <w:tcPr>
            <w:tcW w:w="2267" w:type="dxa"/>
            <w:shd w:val="clear" w:color="auto" w:fill="auto"/>
          </w:tcPr>
          <w:p w14:paraId="6A33F591" w14:textId="77777777" w:rsidR="006A362F" w:rsidRPr="00B86917" w:rsidRDefault="006A362F" w:rsidP="006928A6">
            <w:pPr>
              <w:pStyle w:val="08-Tabelageral"/>
              <w:rPr>
                <w:rFonts w:cs="Arial"/>
                <w:b/>
                <w:bCs/>
                <w:szCs w:val="14"/>
              </w:rPr>
            </w:pPr>
            <w:r w:rsidRPr="007443FF">
              <w:rPr>
                <w:rFonts w:cs="Arial"/>
                <w:b/>
                <w:bCs/>
                <w:szCs w:val="14"/>
              </w:rPr>
              <w:t>23</w:t>
            </w:r>
            <w:r>
              <w:rPr>
                <w:rFonts w:cs="Arial"/>
                <w:b/>
                <w:bCs/>
                <w:szCs w:val="14"/>
              </w:rPr>
              <w:t>,</w:t>
            </w:r>
            <w:r w:rsidRPr="007443FF">
              <w:rPr>
                <w:rFonts w:cs="Arial"/>
                <w:b/>
                <w:bCs/>
                <w:szCs w:val="14"/>
              </w:rPr>
              <w:t>970</w:t>
            </w:r>
          </w:p>
        </w:tc>
      </w:tr>
    </w:tbl>
    <w:p w14:paraId="232F30CC" w14:textId="77777777" w:rsidR="006A362F" w:rsidRPr="005B7540" w:rsidRDefault="006A362F" w:rsidP="00076945">
      <w:pPr>
        <w:spacing w:after="0" w:line="240" w:lineRule="auto"/>
        <w:rPr>
          <w:rFonts w:cs="Times New Roman"/>
          <w:b/>
          <w:color w:val="1F4E79" w:themeColor="accent1" w:themeShade="80"/>
          <w:spacing w:val="-2"/>
          <w:szCs w:val="20"/>
          <w:lang w:val="en-US" w:eastAsia="pt-BR"/>
        </w:rPr>
      </w:pPr>
    </w:p>
    <w:p w14:paraId="646FD534" w14:textId="77777777" w:rsidR="006A362F" w:rsidRDefault="006A362F" w:rsidP="00076945">
      <w:pPr>
        <w:spacing w:after="0" w:line="240" w:lineRule="auto"/>
        <w:rPr>
          <w:rFonts w:eastAsia="Times New Roman" w:cs="Arial"/>
          <w:spacing w:val="-2"/>
          <w:szCs w:val="20"/>
          <w:lang w:eastAsia="zh-CN"/>
        </w:rPr>
      </w:pPr>
      <w:r>
        <w:rPr>
          <w:rFonts w:eastAsia="Times New Roman" w:cs="Times New Roman"/>
          <w:b/>
          <w:color w:val="1F4E79" w:themeColor="accent1" w:themeShade="80"/>
          <w:spacing w:val="-2"/>
          <w:szCs w:val="20"/>
          <w:lang w:eastAsia="pt-BR"/>
        </w:rPr>
        <w:t>Income Statement Information</w:t>
      </w:r>
    </w:p>
    <w:p w14:paraId="5B966B81"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6A362F" w:rsidRPr="00537AE7" w14:paraId="01686514"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4A72D19" w14:textId="77777777" w:rsidR="006A362F" w:rsidRPr="008F005D" w:rsidRDefault="006A362F" w:rsidP="006928A6">
            <w:pPr>
              <w:jc w:val="center"/>
              <w:rPr>
                <w:rFonts w:cs="Arial"/>
                <w:sz w:val="14"/>
                <w:szCs w:val="14"/>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C79EDE1" w14:textId="77777777" w:rsidR="006A362F" w:rsidRPr="008F005D"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1</w:t>
            </w:r>
            <w:r w:rsidRPr="008078D5">
              <w:rPr>
                <w:rFonts w:cs="Arial"/>
                <w:sz w:val="14"/>
                <w:szCs w:val="14"/>
                <w:vertAlign w:val="superscript"/>
              </w:rPr>
              <w:t>st</w:t>
            </w:r>
            <w:r>
              <w:rPr>
                <w:rFonts w:cs="Arial"/>
                <w:sz w:val="14"/>
                <w:szCs w:val="14"/>
              </w:rPr>
              <w:t xml:space="preserve"> Quarter 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CA78364" w14:textId="77777777" w:rsidR="006A362F" w:rsidRPr="008F005D"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w:t>
            </w:r>
            <w:r w:rsidRPr="008078D5">
              <w:rPr>
                <w:rFonts w:cs="Arial"/>
                <w:sz w:val="14"/>
                <w:szCs w:val="14"/>
                <w:vertAlign w:val="superscript"/>
              </w:rPr>
              <w:t>st</w:t>
            </w:r>
            <w:r>
              <w:rPr>
                <w:rFonts w:cs="Arial"/>
                <w:sz w:val="14"/>
                <w:szCs w:val="14"/>
              </w:rPr>
              <w:t xml:space="preserve"> Quarter 2022</w:t>
            </w:r>
            <w:r w:rsidRPr="008F005D">
              <w:rPr>
                <w:rFonts w:cs="Arial"/>
                <w:sz w:val="14"/>
                <w:szCs w:val="14"/>
              </w:rPr>
              <w:t xml:space="preserve"> (</w:t>
            </w:r>
            <w:r>
              <w:rPr>
                <w:rFonts w:cs="Arial"/>
                <w:sz w:val="14"/>
                <w:szCs w:val="14"/>
              </w:rPr>
              <w:t>Restated balances</w:t>
            </w:r>
            <w:r w:rsidRPr="008F005D">
              <w:rPr>
                <w:rFonts w:cs="Arial"/>
                <w:sz w:val="14"/>
                <w:szCs w:val="14"/>
              </w:rPr>
              <w:t>)</w:t>
            </w:r>
          </w:p>
        </w:tc>
      </w:tr>
      <w:tr w:rsidR="006A362F" w:rsidRPr="008F005D" w14:paraId="43401C1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1CFA6A43" w14:textId="77777777" w:rsidR="006A362F" w:rsidRPr="008F005D" w:rsidRDefault="006A362F" w:rsidP="006928A6">
            <w:pPr>
              <w:keepNext/>
              <w:keepLines/>
              <w:rPr>
                <w:rFonts w:eastAsia="Times New Roman" w:cs="Arial"/>
                <w:spacing w:val="-2"/>
                <w:sz w:val="14"/>
                <w:szCs w:val="14"/>
                <w:highlight w:val="yellow"/>
              </w:rPr>
            </w:pPr>
            <w:r>
              <w:rPr>
                <w:rFonts w:cs="Arial"/>
                <w:color w:val="000000"/>
                <w:sz w:val="14"/>
                <w:szCs w:val="14"/>
              </w:rPr>
              <w:t>Result of insurance contracts</w:t>
            </w:r>
          </w:p>
        </w:tc>
        <w:tc>
          <w:tcPr>
            <w:tcW w:w="2906" w:type="dxa"/>
            <w:tcBorders>
              <w:top w:val="single" w:sz="2" w:space="0" w:color="1F4E79" w:themeColor="accent1" w:themeShade="80"/>
              <w:left w:val="nil"/>
              <w:bottom w:val="nil"/>
              <w:right w:val="nil"/>
            </w:tcBorders>
            <w:shd w:val="clear" w:color="auto" w:fill="auto"/>
            <w:vAlign w:val="center"/>
          </w:tcPr>
          <w:p w14:paraId="4DCB5672" w14:textId="77777777" w:rsidR="006A362F" w:rsidRPr="008F005D"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19</w:t>
            </w:r>
            <w:r>
              <w:rPr>
                <w:rFonts w:cs="Arial"/>
                <w:b/>
                <w:bCs/>
                <w:color w:val="000000"/>
                <w:sz w:val="14"/>
                <w:szCs w:val="14"/>
              </w:rPr>
              <w:t>,</w:t>
            </w:r>
            <w:r w:rsidRPr="008F005D">
              <w:rPr>
                <w:rFonts w:cs="Arial"/>
                <w:b/>
                <w:bCs/>
                <w:color w:val="000000"/>
                <w:sz w:val="14"/>
                <w:szCs w:val="14"/>
              </w:rPr>
              <w:t>024</w:t>
            </w:r>
          </w:p>
        </w:tc>
        <w:tc>
          <w:tcPr>
            <w:tcW w:w="2906" w:type="dxa"/>
            <w:tcBorders>
              <w:top w:val="single" w:sz="2" w:space="0" w:color="1F4E79" w:themeColor="accent1" w:themeShade="80"/>
              <w:left w:val="nil"/>
              <w:bottom w:val="nil"/>
              <w:right w:val="nil"/>
            </w:tcBorders>
            <w:shd w:val="clear" w:color="auto" w:fill="auto"/>
            <w:vAlign w:val="center"/>
          </w:tcPr>
          <w:p w14:paraId="0CC02B0C" w14:textId="77777777" w:rsidR="006A362F" w:rsidRPr="008F005D"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28</w:t>
            </w:r>
            <w:r>
              <w:rPr>
                <w:rFonts w:cs="Arial"/>
                <w:b/>
                <w:bCs/>
                <w:color w:val="000000"/>
                <w:sz w:val="14"/>
                <w:szCs w:val="14"/>
              </w:rPr>
              <w:t>,</w:t>
            </w:r>
            <w:r w:rsidRPr="008F005D">
              <w:rPr>
                <w:rFonts w:cs="Arial"/>
                <w:b/>
                <w:bCs/>
                <w:color w:val="000000"/>
                <w:sz w:val="14"/>
                <w:szCs w:val="14"/>
              </w:rPr>
              <w:t>106</w:t>
            </w:r>
          </w:p>
        </w:tc>
      </w:tr>
      <w:tr w:rsidR="006A362F" w:rsidRPr="008F005D" w14:paraId="349674C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D816E34" w14:textId="77777777" w:rsidR="006A362F" w:rsidRPr="008F005D" w:rsidRDefault="006A362F" w:rsidP="006928A6">
            <w:pPr>
              <w:keepNext/>
              <w:keepLines/>
              <w:ind w:left="113"/>
              <w:rPr>
                <w:rFonts w:cs="Arial"/>
                <w:b w:val="0"/>
                <w:bCs w:val="0"/>
                <w:sz w:val="14"/>
                <w:szCs w:val="14"/>
                <w:highlight w:val="yellow"/>
              </w:rPr>
            </w:pPr>
            <w:r>
              <w:rPr>
                <w:rFonts w:cs="Arial"/>
                <w:b w:val="0"/>
                <w:bCs w:val="0"/>
                <w:color w:val="000000"/>
                <w:sz w:val="14"/>
                <w:szCs w:val="14"/>
              </w:rPr>
              <w:t>Result of contracts</w:t>
            </w:r>
            <w:r w:rsidRPr="008F005D">
              <w:rPr>
                <w:rFonts w:cs="Arial"/>
                <w:b w:val="0"/>
                <w:bCs w:val="0"/>
                <w:color w:val="000000"/>
                <w:sz w:val="14"/>
                <w:szCs w:val="14"/>
              </w:rPr>
              <w:t xml:space="preserve"> BBA</w:t>
            </w:r>
            <w:r>
              <w:rPr>
                <w:rFonts w:cs="Arial"/>
                <w:b w:val="0"/>
                <w:bCs w:val="0"/>
                <w:color w:val="000000"/>
                <w:sz w:val="14"/>
                <w:szCs w:val="14"/>
              </w:rPr>
              <w:t xml:space="preserve"> </w:t>
            </w:r>
            <w:r w:rsidRPr="005B7540">
              <w:rPr>
                <w:rFonts w:cs="Arial"/>
                <w:b w:val="0"/>
                <w:bCs w:val="0"/>
                <w:color w:val="000000"/>
                <w:sz w:val="14"/>
                <w:szCs w:val="14"/>
                <w:vertAlign w:val="superscript"/>
              </w:rPr>
              <w:t>(1)</w:t>
            </w:r>
          </w:p>
        </w:tc>
        <w:tc>
          <w:tcPr>
            <w:tcW w:w="2906" w:type="dxa"/>
            <w:tcBorders>
              <w:top w:val="nil"/>
              <w:left w:val="nil"/>
              <w:bottom w:val="nil"/>
              <w:right w:val="nil"/>
            </w:tcBorders>
            <w:shd w:val="clear" w:color="auto" w:fill="auto"/>
            <w:vAlign w:val="center"/>
          </w:tcPr>
          <w:p w14:paraId="396D72F2"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4</w:t>
            </w:r>
            <w:r>
              <w:rPr>
                <w:rFonts w:cs="Arial"/>
                <w:color w:val="000000"/>
                <w:sz w:val="14"/>
                <w:szCs w:val="14"/>
              </w:rPr>
              <w:t>,</w:t>
            </w:r>
            <w:r w:rsidRPr="008F005D">
              <w:rPr>
                <w:rFonts w:cs="Arial"/>
                <w:color w:val="000000"/>
                <w:sz w:val="14"/>
                <w:szCs w:val="14"/>
              </w:rPr>
              <w:t>996</w:t>
            </w:r>
          </w:p>
        </w:tc>
        <w:tc>
          <w:tcPr>
            <w:tcW w:w="2906" w:type="dxa"/>
            <w:tcBorders>
              <w:top w:val="nil"/>
              <w:left w:val="nil"/>
              <w:bottom w:val="nil"/>
              <w:right w:val="nil"/>
            </w:tcBorders>
            <w:shd w:val="clear" w:color="auto" w:fill="auto"/>
            <w:vAlign w:val="center"/>
          </w:tcPr>
          <w:p w14:paraId="36DF6E47"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7</w:t>
            </w:r>
            <w:r>
              <w:rPr>
                <w:rFonts w:cs="Arial"/>
                <w:color w:val="000000"/>
                <w:sz w:val="14"/>
                <w:szCs w:val="14"/>
              </w:rPr>
              <w:t>,</w:t>
            </w:r>
            <w:r w:rsidRPr="008F005D">
              <w:rPr>
                <w:rFonts w:cs="Arial"/>
                <w:color w:val="000000"/>
                <w:sz w:val="14"/>
                <w:szCs w:val="14"/>
              </w:rPr>
              <w:t>058</w:t>
            </w:r>
          </w:p>
        </w:tc>
      </w:tr>
      <w:tr w:rsidR="006A362F" w:rsidRPr="008F005D" w14:paraId="705B827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B09FD96" w14:textId="77777777" w:rsidR="006A362F" w:rsidRPr="008F005D" w:rsidRDefault="006A362F" w:rsidP="006928A6">
            <w:pPr>
              <w:keepNext/>
              <w:keepLines/>
              <w:ind w:left="113"/>
              <w:rPr>
                <w:rFonts w:cs="Arial"/>
                <w:b w:val="0"/>
                <w:bCs w:val="0"/>
                <w:sz w:val="14"/>
                <w:szCs w:val="14"/>
                <w:highlight w:val="yellow"/>
              </w:rPr>
            </w:pPr>
            <w:r>
              <w:rPr>
                <w:rFonts w:cs="Arial"/>
                <w:b w:val="0"/>
                <w:bCs w:val="0"/>
                <w:color w:val="000000"/>
                <w:sz w:val="14"/>
                <w:szCs w:val="14"/>
              </w:rPr>
              <w:t>Result of contracts</w:t>
            </w:r>
            <w:r w:rsidRPr="008F005D">
              <w:rPr>
                <w:rFonts w:cs="Arial"/>
                <w:b w:val="0"/>
                <w:bCs w:val="0"/>
                <w:color w:val="000000"/>
                <w:sz w:val="14"/>
                <w:szCs w:val="14"/>
              </w:rPr>
              <w:t xml:space="preserve"> PAA</w:t>
            </w:r>
            <w:r>
              <w:rPr>
                <w:rFonts w:cs="Arial"/>
                <w:b w:val="0"/>
                <w:bCs w:val="0"/>
                <w:color w:val="000000"/>
                <w:sz w:val="14"/>
                <w:szCs w:val="14"/>
              </w:rPr>
              <w:t xml:space="preserve"> </w:t>
            </w:r>
            <w:r w:rsidRPr="005B7540">
              <w:rPr>
                <w:rFonts w:cs="Arial"/>
                <w:b w:val="0"/>
                <w:bCs w:val="0"/>
                <w:color w:val="000000"/>
                <w:sz w:val="14"/>
                <w:szCs w:val="14"/>
                <w:vertAlign w:val="superscript"/>
              </w:rPr>
              <w:t>(1)</w:t>
            </w:r>
          </w:p>
        </w:tc>
        <w:tc>
          <w:tcPr>
            <w:tcW w:w="2906" w:type="dxa"/>
            <w:tcBorders>
              <w:top w:val="nil"/>
              <w:left w:val="nil"/>
              <w:bottom w:val="nil"/>
              <w:right w:val="nil"/>
            </w:tcBorders>
            <w:shd w:val="clear" w:color="auto" w:fill="auto"/>
            <w:vAlign w:val="center"/>
          </w:tcPr>
          <w:p w14:paraId="1952256F"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14</w:t>
            </w:r>
            <w:r>
              <w:rPr>
                <w:rFonts w:cs="Arial"/>
                <w:color w:val="000000"/>
                <w:sz w:val="14"/>
                <w:szCs w:val="14"/>
              </w:rPr>
              <w:t>,</w:t>
            </w:r>
            <w:r w:rsidRPr="008F005D">
              <w:rPr>
                <w:rFonts w:cs="Arial"/>
                <w:color w:val="000000"/>
                <w:sz w:val="14"/>
                <w:szCs w:val="14"/>
              </w:rPr>
              <w:t>028</w:t>
            </w:r>
          </w:p>
        </w:tc>
        <w:tc>
          <w:tcPr>
            <w:tcW w:w="2906" w:type="dxa"/>
            <w:tcBorders>
              <w:top w:val="nil"/>
              <w:left w:val="nil"/>
              <w:bottom w:val="nil"/>
              <w:right w:val="nil"/>
            </w:tcBorders>
            <w:shd w:val="clear" w:color="auto" w:fill="auto"/>
            <w:vAlign w:val="center"/>
          </w:tcPr>
          <w:p w14:paraId="7F72C0CD"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21</w:t>
            </w:r>
            <w:r>
              <w:rPr>
                <w:rFonts w:cs="Arial"/>
                <w:color w:val="000000"/>
                <w:sz w:val="14"/>
                <w:szCs w:val="14"/>
              </w:rPr>
              <w:t>,</w:t>
            </w:r>
            <w:r w:rsidRPr="008F005D">
              <w:rPr>
                <w:rFonts w:cs="Arial"/>
                <w:color w:val="000000"/>
                <w:sz w:val="14"/>
                <w:szCs w:val="14"/>
              </w:rPr>
              <w:t>048</w:t>
            </w:r>
          </w:p>
        </w:tc>
      </w:tr>
      <w:tr w:rsidR="006A362F" w:rsidRPr="008F005D" w14:paraId="25DCBA1D"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1A9E5BB" w14:textId="77777777" w:rsidR="006A362F" w:rsidRPr="008F005D" w:rsidRDefault="006A362F" w:rsidP="006928A6">
            <w:pPr>
              <w:keepNext/>
              <w:keepLines/>
              <w:rPr>
                <w:rFonts w:cs="Arial"/>
                <w:b w:val="0"/>
                <w:bCs w:val="0"/>
                <w:color w:val="000000"/>
                <w:sz w:val="14"/>
                <w:szCs w:val="14"/>
                <w:highlight w:val="yellow"/>
              </w:rPr>
            </w:pPr>
            <w:r>
              <w:rPr>
                <w:rFonts w:cs="Arial"/>
                <w:b w:val="0"/>
                <w:bCs w:val="0"/>
                <w:color w:val="000000"/>
                <w:sz w:val="14"/>
                <w:szCs w:val="14"/>
              </w:rPr>
              <w:t>Insurance expenses</w:t>
            </w:r>
          </w:p>
        </w:tc>
        <w:tc>
          <w:tcPr>
            <w:tcW w:w="2906" w:type="dxa"/>
            <w:tcBorders>
              <w:top w:val="nil"/>
              <w:left w:val="nil"/>
              <w:bottom w:val="nil"/>
              <w:right w:val="nil"/>
            </w:tcBorders>
            <w:shd w:val="clear" w:color="auto" w:fill="auto"/>
            <w:vAlign w:val="center"/>
          </w:tcPr>
          <w:p w14:paraId="6DDEF532"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(13</w:t>
            </w:r>
            <w:r>
              <w:rPr>
                <w:rFonts w:cs="Arial"/>
                <w:color w:val="000000"/>
                <w:sz w:val="14"/>
                <w:szCs w:val="14"/>
              </w:rPr>
              <w:t>,</w:t>
            </w:r>
            <w:r w:rsidRPr="008F005D">
              <w:rPr>
                <w:rFonts w:cs="Arial"/>
                <w:color w:val="000000"/>
                <w:sz w:val="14"/>
                <w:szCs w:val="14"/>
              </w:rPr>
              <w:t>321)</w:t>
            </w:r>
          </w:p>
        </w:tc>
        <w:tc>
          <w:tcPr>
            <w:tcW w:w="2906" w:type="dxa"/>
            <w:tcBorders>
              <w:top w:val="nil"/>
              <w:left w:val="nil"/>
              <w:bottom w:val="nil"/>
              <w:right w:val="nil"/>
            </w:tcBorders>
            <w:shd w:val="clear" w:color="auto" w:fill="auto"/>
            <w:vAlign w:val="center"/>
          </w:tcPr>
          <w:p w14:paraId="1D717D32"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(17</w:t>
            </w:r>
            <w:r>
              <w:rPr>
                <w:rFonts w:cs="Arial"/>
                <w:color w:val="000000"/>
                <w:sz w:val="14"/>
                <w:szCs w:val="14"/>
              </w:rPr>
              <w:t>,</w:t>
            </w:r>
            <w:r w:rsidRPr="008F005D">
              <w:rPr>
                <w:rFonts w:cs="Arial"/>
                <w:color w:val="000000"/>
                <w:sz w:val="14"/>
                <w:szCs w:val="14"/>
              </w:rPr>
              <w:t>278)</w:t>
            </w:r>
          </w:p>
        </w:tc>
      </w:tr>
      <w:tr w:rsidR="006A362F" w:rsidRPr="008F005D" w14:paraId="3207E191"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FDCA0EF" w14:textId="77777777" w:rsidR="006A362F" w:rsidRPr="008F005D" w:rsidRDefault="006A362F" w:rsidP="006928A6">
            <w:pPr>
              <w:keepNext/>
              <w:keepLines/>
              <w:spacing w:before="40" w:after="40"/>
              <w:rPr>
                <w:rFonts w:cs="Arial"/>
                <w:sz w:val="14"/>
                <w:szCs w:val="14"/>
                <w:highlight w:val="yellow"/>
              </w:rPr>
            </w:pPr>
            <w:r>
              <w:rPr>
                <w:rFonts w:cs="Arial"/>
                <w:color w:val="000000"/>
                <w:sz w:val="14"/>
                <w:szCs w:val="14"/>
              </w:rPr>
              <w:t>Insurance margin</w:t>
            </w:r>
          </w:p>
        </w:tc>
        <w:tc>
          <w:tcPr>
            <w:tcW w:w="2906" w:type="dxa"/>
            <w:tcBorders>
              <w:top w:val="nil"/>
              <w:left w:val="nil"/>
              <w:bottom w:val="nil"/>
              <w:right w:val="nil"/>
            </w:tcBorders>
            <w:shd w:val="clear" w:color="auto" w:fill="auto"/>
            <w:vAlign w:val="center"/>
          </w:tcPr>
          <w:p w14:paraId="6E16C5B7" w14:textId="77777777" w:rsidR="006A362F" w:rsidRPr="008F005D"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5</w:t>
            </w:r>
            <w:r>
              <w:rPr>
                <w:rFonts w:cs="Arial"/>
                <w:b/>
                <w:bCs/>
                <w:color w:val="000000"/>
                <w:sz w:val="14"/>
                <w:szCs w:val="14"/>
              </w:rPr>
              <w:t>,</w:t>
            </w:r>
            <w:r w:rsidRPr="008F005D">
              <w:rPr>
                <w:rFonts w:cs="Arial"/>
                <w:b/>
                <w:bCs/>
                <w:color w:val="000000"/>
                <w:sz w:val="14"/>
                <w:szCs w:val="14"/>
              </w:rPr>
              <w:t>703</w:t>
            </w:r>
          </w:p>
        </w:tc>
        <w:tc>
          <w:tcPr>
            <w:tcW w:w="2906" w:type="dxa"/>
            <w:tcBorders>
              <w:top w:val="nil"/>
              <w:left w:val="nil"/>
              <w:bottom w:val="nil"/>
              <w:right w:val="nil"/>
            </w:tcBorders>
            <w:shd w:val="clear" w:color="auto" w:fill="auto"/>
            <w:vAlign w:val="center"/>
          </w:tcPr>
          <w:p w14:paraId="7AABF5F6" w14:textId="77777777" w:rsidR="006A362F" w:rsidRPr="008F005D"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F005D">
              <w:rPr>
                <w:rFonts w:cs="Arial"/>
                <w:b/>
                <w:bCs/>
                <w:color w:val="000000"/>
                <w:sz w:val="14"/>
                <w:szCs w:val="14"/>
              </w:rPr>
              <w:t>10</w:t>
            </w:r>
            <w:r>
              <w:rPr>
                <w:rFonts w:cs="Arial"/>
                <w:b/>
                <w:bCs/>
                <w:color w:val="000000"/>
                <w:sz w:val="14"/>
                <w:szCs w:val="14"/>
              </w:rPr>
              <w:t>,</w:t>
            </w:r>
            <w:r w:rsidRPr="008F005D">
              <w:rPr>
                <w:rFonts w:cs="Arial"/>
                <w:b/>
                <w:bCs/>
                <w:color w:val="000000"/>
                <w:sz w:val="14"/>
                <w:szCs w:val="14"/>
              </w:rPr>
              <w:t>828</w:t>
            </w:r>
          </w:p>
        </w:tc>
      </w:tr>
      <w:tr w:rsidR="006A362F" w:rsidRPr="008F005D" w14:paraId="7B01789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365539C" w14:textId="77777777" w:rsidR="006A362F" w:rsidRPr="008F005D" w:rsidRDefault="006A362F" w:rsidP="006928A6">
            <w:pPr>
              <w:keepNext/>
              <w:keepLines/>
              <w:spacing w:before="40" w:after="40"/>
              <w:rPr>
                <w:rFonts w:cs="Arial"/>
                <w:sz w:val="14"/>
                <w:szCs w:val="14"/>
                <w:highlight w:val="yellow"/>
              </w:rPr>
            </w:pPr>
            <w:r>
              <w:rPr>
                <w:rFonts w:cs="Arial"/>
                <w:color w:val="000000"/>
                <w:sz w:val="14"/>
                <w:szCs w:val="14"/>
              </w:rPr>
              <w:t>Financial result</w:t>
            </w:r>
          </w:p>
        </w:tc>
        <w:tc>
          <w:tcPr>
            <w:tcW w:w="2906" w:type="dxa"/>
            <w:tcBorders>
              <w:top w:val="nil"/>
              <w:left w:val="nil"/>
              <w:bottom w:val="nil"/>
              <w:right w:val="nil"/>
            </w:tcBorders>
            <w:shd w:val="clear" w:color="auto" w:fill="auto"/>
            <w:vAlign w:val="center"/>
          </w:tcPr>
          <w:p w14:paraId="11458302" w14:textId="77777777" w:rsidR="006A362F" w:rsidRPr="008F005D"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F005D">
              <w:rPr>
                <w:rFonts w:cs="Arial"/>
                <w:b/>
                <w:bCs/>
                <w:color w:val="000000"/>
                <w:sz w:val="14"/>
                <w:szCs w:val="14"/>
              </w:rPr>
              <w:t>881</w:t>
            </w:r>
          </w:p>
        </w:tc>
        <w:tc>
          <w:tcPr>
            <w:tcW w:w="2906" w:type="dxa"/>
            <w:tcBorders>
              <w:top w:val="nil"/>
              <w:left w:val="nil"/>
              <w:bottom w:val="nil"/>
              <w:right w:val="nil"/>
            </w:tcBorders>
            <w:shd w:val="clear" w:color="auto" w:fill="auto"/>
            <w:vAlign w:val="center"/>
          </w:tcPr>
          <w:p w14:paraId="32BF969B" w14:textId="77777777" w:rsidR="006A362F" w:rsidRPr="008F005D"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F005D">
              <w:rPr>
                <w:rFonts w:cs="Arial"/>
                <w:b/>
                <w:bCs/>
                <w:color w:val="000000"/>
                <w:sz w:val="14"/>
                <w:szCs w:val="14"/>
              </w:rPr>
              <w:t>806</w:t>
            </w:r>
          </w:p>
        </w:tc>
      </w:tr>
      <w:tr w:rsidR="006A362F" w:rsidRPr="008F005D" w14:paraId="303189D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27C5995" w14:textId="77777777" w:rsidR="006A362F" w:rsidRPr="008F005D" w:rsidRDefault="006A362F" w:rsidP="006928A6">
            <w:pPr>
              <w:keepNext/>
              <w:keepLines/>
              <w:ind w:left="113"/>
              <w:rPr>
                <w:rFonts w:cs="Arial"/>
                <w:b w:val="0"/>
                <w:bCs w:val="0"/>
                <w:sz w:val="14"/>
                <w:szCs w:val="14"/>
                <w:highlight w:val="yellow"/>
              </w:rPr>
            </w:pPr>
            <w:r>
              <w:rPr>
                <w:rFonts w:cs="Arial"/>
                <w:b w:val="0"/>
                <w:bCs w:val="0"/>
                <w:color w:val="000000"/>
                <w:sz w:val="14"/>
                <w:szCs w:val="14"/>
              </w:rPr>
              <w:t>Financial income</w:t>
            </w:r>
          </w:p>
        </w:tc>
        <w:tc>
          <w:tcPr>
            <w:tcW w:w="2906" w:type="dxa"/>
            <w:tcBorders>
              <w:top w:val="nil"/>
              <w:left w:val="nil"/>
              <w:bottom w:val="nil"/>
              <w:right w:val="nil"/>
            </w:tcBorders>
            <w:shd w:val="clear" w:color="auto" w:fill="auto"/>
            <w:vAlign w:val="center"/>
          </w:tcPr>
          <w:p w14:paraId="77854E11"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925</w:t>
            </w:r>
          </w:p>
        </w:tc>
        <w:tc>
          <w:tcPr>
            <w:tcW w:w="2906" w:type="dxa"/>
            <w:tcBorders>
              <w:top w:val="nil"/>
              <w:left w:val="nil"/>
              <w:bottom w:val="nil"/>
              <w:right w:val="nil"/>
            </w:tcBorders>
            <w:shd w:val="clear" w:color="auto" w:fill="auto"/>
            <w:vAlign w:val="center"/>
          </w:tcPr>
          <w:p w14:paraId="5010D112"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955</w:t>
            </w:r>
          </w:p>
        </w:tc>
      </w:tr>
      <w:tr w:rsidR="006A362F" w:rsidRPr="008F005D" w14:paraId="076A6305"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782B375" w14:textId="77777777" w:rsidR="006A362F" w:rsidRPr="008F005D" w:rsidRDefault="006A362F" w:rsidP="006928A6">
            <w:pPr>
              <w:keepNext/>
              <w:keepLines/>
              <w:ind w:left="113"/>
              <w:rPr>
                <w:rFonts w:cs="Arial"/>
                <w:b w:val="0"/>
                <w:bCs w:val="0"/>
                <w:sz w:val="14"/>
                <w:szCs w:val="14"/>
                <w:highlight w:val="yellow"/>
              </w:rPr>
            </w:pPr>
            <w:r>
              <w:rPr>
                <w:rFonts w:cs="Arial"/>
                <w:b w:val="0"/>
                <w:bCs w:val="0"/>
                <w:color w:val="000000"/>
                <w:sz w:val="14"/>
                <w:szCs w:val="14"/>
              </w:rPr>
              <w:t>Financial expenses</w:t>
            </w:r>
          </w:p>
        </w:tc>
        <w:tc>
          <w:tcPr>
            <w:tcW w:w="2906" w:type="dxa"/>
            <w:tcBorders>
              <w:top w:val="nil"/>
              <w:left w:val="nil"/>
              <w:bottom w:val="nil"/>
              <w:right w:val="nil"/>
            </w:tcBorders>
            <w:shd w:val="clear" w:color="auto" w:fill="auto"/>
            <w:vAlign w:val="center"/>
          </w:tcPr>
          <w:p w14:paraId="6C2B76FA"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(44)</w:t>
            </w:r>
          </w:p>
        </w:tc>
        <w:tc>
          <w:tcPr>
            <w:tcW w:w="2906" w:type="dxa"/>
            <w:tcBorders>
              <w:top w:val="nil"/>
              <w:left w:val="nil"/>
              <w:bottom w:val="nil"/>
              <w:right w:val="nil"/>
            </w:tcBorders>
            <w:shd w:val="clear" w:color="auto" w:fill="auto"/>
            <w:vAlign w:val="center"/>
          </w:tcPr>
          <w:p w14:paraId="5A804F2D"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8F005D">
              <w:rPr>
                <w:rFonts w:cs="Arial"/>
                <w:color w:val="000000"/>
                <w:sz w:val="14"/>
                <w:szCs w:val="14"/>
              </w:rPr>
              <w:t>(149)</w:t>
            </w:r>
          </w:p>
        </w:tc>
      </w:tr>
      <w:tr w:rsidR="006A362F" w:rsidRPr="008F005D" w14:paraId="2C27883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76558FD" w14:textId="77777777" w:rsidR="006A362F" w:rsidRPr="008F005D" w:rsidRDefault="006A362F" w:rsidP="006928A6">
            <w:pPr>
              <w:keepNext/>
              <w:keepLines/>
              <w:rPr>
                <w:rFonts w:cs="Arial"/>
                <w:b w:val="0"/>
                <w:bCs w:val="0"/>
                <w:color w:val="000000"/>
                <w:sz w:val="14"/>
                <w:szCs w:val="14"/>
                <w:highlight w:val="yellow"/>
              </w:rPr>
            </w:pPr>
            <w:r>
              <w:rPr>
                <w:rFonts w:cs="Arial"/>
                <w:b w:val="0"/>
                <w:bCs w:val="0"/>
                <w:color w:val="000000"/>
                <w:sz w:val="14"/>
                <w:szCs w:val="14"/>
              </w:rPr>
              <w:t>Other income and expenses</w:t>
            </w:r>
          </w:p>
        </w:tc>
        <w:tc>
          <w:tcPr>
            <w:tcW w:w="2906" w:type="dxa"/>
            <w:tcBorders>
              <w:top w:val="nil"/>
              <w:left w:val="nil"/>
              <w:bottom w:val="nil"/>
              <w:right w:val="nil"/>
            </w:tcBorders>
            <w:shd w:val="clear" w:color="auto" w:fill="auto"/>
            <w:vAlign w:val="center"/>
          </w:tcPr>
          <w:p w14:paraId="26138ECB"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(785)</w:t>
            </w:r>
          </w:p>
        </w:tc>
        <w:tc>
          <w:tcPr>
            <w:tcW w:w="2906" w:type="dxa"/>
            <w:tcBorders>
              <w:top w:val="nil"/>
              <w:left w:val="nil"/>
              <w:bottom w:val="nil"/>
              <w:right w:val="nil"/>
            </w:tcBorders>
            <w:shd w:val="clear" w:color="auto" w:fill="auto"/>
            <w:vAlign w:val="center"/>
          </w:tcPr>
          <w:p w14:paraId="5759D404"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(1</w:t>
            </w:r>
            <w:r>
              <w:rPr>
                <w:rFonts w:cs="Arial"/>
                <w:color w:val="000000"/>
                <w:sz w:val="14"/>
                <w:szCs w:val="14"/>
              </w:rPr>
              <w:t>,</w:t>
            </w:r>
            <w:r w:rsidRPr="008F005D">
              <w:rPr>
                <w:rFonts w:cs="Arial"/>
                <w:color w:val="000000"/>
                <w:sz w:val="14"/>
                <w:szCs w:val="14"/>
              </w:rPr>
              <w:t>167)</w:t>
            </w:r>
          </w:p>
        </w:tc>
      </w:tr>
      <w:tr w:rsidR="006A362F" w:rsidRPr="00B84F26" w14:paraId="7E6A017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3A1ECB2" w14:textId="77777777" w:rsidR="006A362F" w:rsidRPr="00B84F26" w:rsidRDefault="006A362F" w:rsidP="006928A6">
            <w:pPr>
              <w:keepNext/>
              <w:keepLines/>
              <w:spacing w:before="40" w:after="40"/>
              <w:rPr>
                <w:rFonts w:cs="Arial"/>
                <w:sz w:val="14"/>
                <w:szCs w:val="14"/>
                <w:highlight w:val="yellow"/>
              </w:rPr>
            </w:pPr>
            <w:r>
              <w:rPr>
                <w:rFonts w:cs="Arial"/>
                <w:color w:val="000000"/>
                <w:sz w:val="14"/>
                <w:szCs w:val="14"/>
              </w:rPr>
              <w:t>Income before taxes</w:t>
            </w:r>
          </w:p>
        </w:tc>
        <w:tc>
          <w:tcPr>
            <w:tcW w:w="2906" w:type="dxa"/>
            <w:tcBorders>
              <w:top w:val="nil"/>
              <w:left w:val="nil"/>
              <w:bottom w:val="nil"/>
              <w:right w:val="nil"/>
            </w:tcBorders>
            <w:shd w:val="clear" w:color="auto" w:fill="auto"/>
            <w:vAlign w:val="center"/>
          </w:tcPr>
          <w:p w14:paraId="7602110C" w14:textId="77777777" w:rsidR="006A362F" w:rsidRPr="00B84F26"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84F26">
              <w:rPr>
                <w:rFonts w:cs="Arial"/>
                <w:b/>
                <w:bCs/>
                <w:color w:val="000000"/>
                <w:sz w:val="14"/>
                <w:szCs w:val="14"/>
              </w:rPr>
              <w:t>5</w:t>
            </w:r>
            <w:r>
              <w:rPr>
                <w:rFonts w:cs="Arial"/>
                <w:b/>
                <w:bCs/>
                <w:color w:val="000000"/>
                <w:sz w:val="14"/>
                <w:szCs w:val="14"/>
              </w:rPr>
              <w:t>,</w:t>
            </w:r>
            <w:r w:rsidRPr="00B84F26">
              <w:rPr>
                <w:rFonts w:cs="Arial"/>
                <w:b/>
                <w:bCs/>
                <w:color w:val="000000"/>
                <w:sz w:val="14"/>
                <w:szCs w:val="14"/>
              </w:rPr>
              <w:t>799</w:t>
            </w:r>
          </w:p>
        </w:tc>
        <w:tc>
          <w:tcPr>
            <w:tcW w:w="2906" w:type="dxa"/>
            <w:tcBorders>
              <w:top w:val="nil"/>
              <w:left w:val="nil"/>
              <w:bottom w:val="nil"/>
              <w:right w:val="nil"/>
            </w:tcBorders>
            <w:shd w:val="clear" w:color="auto" w:fill="auto"/>
            <w:vAlign w:val="center"/>
          </w:tcPr>
          <w:p w14:paraId="4854F5E4" w14:textId="77777777" w:rsidR="006A362F" w:rsidRPr="00B84F26"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B84F26">
              <w:rPr>
                <w:rFonts w:cs="Arial"/>
                <w:b/>
                <w:bCs/>
                <w:color w:val="000000"/>
                <w:sz w:val="14"/>
                <w:szCs w:val="14"/>
              </w:rPr>
              <w:t>10</w:t>
            </w:r>
            <w:r>
              <w:rPr>
                <w:rFonts w:cs="Arial"/>
                <w:b/>
                <w:bCs/>
                <w:color w:val="000000"/>
                <w:sz w:val="14"/>
                <w:szCs w:val="14"/>
              </w:rPr>
              <w:t>,</w:t>
            </w:r>
            <w:r w:rsidRPr="00B84F26">
              <w:rPr>
                <w:rFonts w:cs="Arial"/>
                <w:b/>
                <w:bCs/>
                <w:color w:val="000000"/>
                <w:sz w:val="14"/>
                <w:szCs w:val="14"/>
              </w:rPr>
              <w:t>467</w:t>
            </w:r>
          </w:p>
        </w:tc>
      </w:tr>
      <w:tr w:rsidR="006A362F" w:rsidRPr="008F005D" w14:paraId="7968736B"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3C74A09" w14:textId="77777777" w:rsidR="006A362F" w:rsidRPr="008F005D" w:rsidRDefault="006A362F" w:rsidP="006928A6">
            <w:pPr>
              <w:keepNext/>
              <w:keepLines/>
              <w:spacing w:before="40" w:after="40"/>
              <w:ind w:left="113"/>
              <w:rPr>
                <w:rFonts w:cs="Arial"/>
                <w:b w:val="0"/>
                <w:bCs w:val="0"/>
                <w:color w:val="000000"/>
                <w:sz w:val="14"/>
                <w:szCs w:val="14"/>
                <w:highlight w:val="yellow"/>
              </w:rPr>
            </w:pPr>
            <w:r w:rsidRPr="003F2F2A">
              <w:rPr>
                <w:rFonts w:cs="Arial"/>
                <w:b w:val="0"/>
                <w:bCs w:val="0"/>
                <w:color w:val="000000"/>
                <w:sz w:val="14"/>
                <w:szCs w:val="14"/>
              </w:rPr>
              <w:t>Taxes and profit sharing</w:t>
            </w:r>
          </w:p>
        </w:tc>
        <w:tc>
          <w:tcPr>
            <w:tcW w:w="2906" w:type="dxa"/>
            <w:tcBorders>
              <w:top w:val="nil"/>
              <w:left w:val="nil"/>
              <w:bottom w:val="nil"/>
              <w:right w:val="nil"/>
            </w:tcBorders>
            <w:shd w:val="clear" w:color="auto" w:fill="auto"/>
            <w:vAlign w:val="center"/>
          </w:tcPr>
          <w:p w14:paraId="4F701568" w14:textId="77777777" w:rsidR="006A362F" w:rsidRPr="008F005D"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(1</w:t>
            </w:r>
            <w:r>
              <w:rPr>
                <w:rFonts w:cs="Arial"/>
                <w:color w:val="000000"/>
                <w:sz w:val="14"/>
                <w:szCs w:val="14"/>
              </w:rPr>
              <w:t>,</w:t>
            </w:r>
            <w:r w:rsidRPr="008F005D">
              <w:rPr>
                <w:rFonts w:cs="Arial"/>
                <w:color w:val="000000"/>
                <w:sz w:val="14"/>
                <w:szCs w:val="14"/>
              </w:rPr>
              <w:t>488)</w:t>
            </w:r>
          </w:p>
        </w:tc>
        <w:tc>
          <w:tcPr>
            <w:tcW w:w="2906" w:type="dxa"/>
            <w:tcBorders>
              <w:top w:val="nil"/>
              <w:left w:val="nil"/>
              <w:bottom w:val="nil"/>
              <w:right w:val="nil"/>
            </w:tcBorders>
            <w:shd w:val="clear" w:color="auto" w:fill="auto"/>
            <w:vAlign w:val="center"/>
          </w:tcPr>
          <w:p w14:paraId="19F22454" w14:textId="77777777" w:rsidR="006A362F" w:rsidRPr="008F005D" w:rsidRDefault="006A362F" w:rsidP="006928A6">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8F005D">
              <w:rPr>
                <w:rFonts w:cs="Arial"/>
                <w:color w:val="000000"/>
                <w:sz w:val="14"/>
                <w:szCs w:val="14"/>
              </w:rPr>
              <w:t>(3</w:t>
            </w:r>
            <w:r>
              <w:rPr>
                <w:rFonts w:cs="Arial"/>
                <w:color w:val="000000"/>
                <w:sz w:val="14"/>
                <w:szCs w:val="14"/>
              </w:rPr>
              <w:t>,</w:t>
            </w:r>
            <w:r w:rsidRPr="008F005D">
              <w:rPr>
                <w:rFonts w:cs="Arial"/>
                <w:color w:val="000000"/>
                <w:sz w:val="14"/>
                <w:szCs w:val="14"/>
              </w:rPr>
              <w:t>640)</w:t>
            </w:r>
          </w:p>
        </w:tc>
      </w:tr>
      <w:tr w:rsidR="006A362F" w:rsidRPr="008F005D" w14:paraId="32CAD8C0"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720C5F5" w14:textId="77777777" w:rsidR="006A362F" w:rsidRPr="008F005D" w:rsidRDefault="006A362F" w:rsidP="006928A6">
            <w:pPr>
              <w:keepNext/>
              <w:keepLines/>
              <w:spacing w:before="40" w:after="40"/>
              <w:rPr>
                <w:rFonts w:cs="Arial"/>
                <w:color w:val="000000"/>
                <w:sz w:val="14"/>
                <w:szCs w:val="14"/>
                <w:highlight w:val="yellow"/>
              </w:rPr>
            </w:pPr>
            <w:r>
              <w:rPr>
                <w:rFonts w:cs="Arial"/>
                <w:color w:val="000000"/>
                <w:sz w:val="14"/>
                <w:szCs w:val="14"/>
              </w:rPr>
              <w:t>Net income</w:t>
            </w:r>
          </w:p>
        </w:tc>
        <w:tc>
          <w:tcPr>
            <w:tcW w:w="2906" w:type="dxa"/>
            <w:tcBorders>
              <w:top w:val="nil"/>
              <w:left w:val="nil"/>
              <w:bottom w:val="nil"/>
              <w:right w:val="nil"/>
            </w:tcBorders>
            <w:shd w:val="clear" w:color="auto" w:fill="auto"/>
            <w:vAlign w:val="center"/>
          </w:tcPr>
          <w:p w14:paraId="7F572C08" w14:textId="77777777" w:rsidR="006A362F" w:rsidRPr="008F005D"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4</w:t>
            </w:r>
            <w:r>
              <w:rPr>
                <w:rFonts w:cs="Arial"/>
                <w:b/>
                <w:bCs/>
                <w:color w:val="000000"/>
                <w:sz w:val="14"/>
                <w:szCs w:val="14"/>
              </w:rPr>
              <w:t>,</w:t>
            </w:r>
            <w:r w:rsidRPr="008F005D">
              <w:rPr>
                <w:rFonts w:cs="Arial"/>
                <w:b/>
                <w:bCs/>
                <w:color w:val="000000"/>
                <w:sz w:val="14"/>
                <w:szCs w:val="14"/>
              </w:rPr>
              <w:t>311</w:t>
            </w:r>
          </w:p>
        </w:tc>
        <w:tc>
          <w:tcPr>
            <w:tcW w:w="2906" w:type="dxa"/>
            <w:tcBorders>
              <w:top w:val="nil"/>
              <w:left w:val="nil"/>
              <w:bottom w:val="nil"/>
              <w:right w:val="nil"/>
            </w:tcBorders>
            <w:shd w:val="clear" w:color="auto" w:fill="auto"/>
            <w:vAlign w:val="center"/>
          </w:tcPr>
          <w:p w14:paraId="4E411B8D" w14:textId="77777777" w:rsidR="006A362F" w:rsidRPr="008F005D" w:rsidRDefault="006A362F" w:rsidP="006928A6">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6</w:t>
            </w:r>
            <w:r>
              <w:rPr>
                <w:rFonts w:cs="Arial"/>
                <w:b/>
                <w:bCs/>
                <w:color w:val="000000"/>
                <w:sz w:val="14"/>
                <w:szCs w:val="14"/>
              </w:rPr>
              <w:t>,</w:t>
            </w:r>
            <w:r w:rsidRPr="008F005D">
              <w:rPr>
                <w:rFonts w:cs="Arial"/>
                <w:b/>
                <w:bCs/>
                <w:color w:val="000000"/>
                <w:sz w:val="14"/>
                <w:szCs w:val="14"/>
              </w:rPr>
              <w:t>827</w:t>
            </w:r>
          </w:p>
        </w:tc>
      </w:tr>
      <w:tr w:rsidR="006A362F" w:rsidRPr="008F005D" w14:paraId="0C549A1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AEA0023" w14:textId="77777777" w:rsidR="006A362F" w:rsidRPr="008F005D" w:rsidRDefault="006A362F" w:rsidP="006928A6">
            <w:pPr>
              <w:keepNext/>
              <w:keepLines/>
              <w:rPr>
                <w:rFonts w:cs="Arial"/>
                <w:color w:val="000000"/>
                <w:sz w:val="14"/>
                <w:szCs w:val="14"/>
                <w:highlight w:val="yellow"/>
              </w:rPr>
            </w:pPr>
            <w:r>
              <w:rPr>
                <w:rFonts w:cs="Arial"/>
                <w:color w:val="000000"/>
                <w:sz w:val="14"/>
                <w:szCs w:val="14"/>
              </w:rPr>
              <w:t>Comprehensive income</w:t>
            </w:r>
          </w:p>
        </w:tc>
        <w:tc>
          <w:tcPr>
            <w:tcW w:w="2906" w:type="dxa"/>
            <w:tcBorders>
              <w:top w:val="nil"/>
              <w:left w:val="nil"/>
              <w:bottom w:val="nil"/>
              <w:right w:val="nil"/>
            </w:tcBorders>
            <w:shd w:val="clear" w:color="auto" w:fill="auto"/>
            <w:vAlign w:val="center"/>
          </w:tcPr>
          <w:p w14:paraId="6E141601"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4</w:t>
            </w:r>
            <w:r>
              <w:rPr>
                <w:rFonts w:cs="Arial"/>
                <w:b/>
                <w:bCs/>
                <w:color w:val="000000"/>
                <w:sz w:val="14"/>
                <w:szCs w:val="14"/>
              </w:rPr>
              <w:t>,</w:t>
            </w:r>
            <w:r w:rsidRPr="008F005D">
              <w:rPr>
                <w:rFonts w:cs="Arial"/>
                <w:b/>
                <w:bCs/>
                <w:color w:val="000000"/>
                <w:sz w:val="14"/>
                <w:szCs w:val="14"/>
              </w:rPr>
              <w:t>311</w:t>
            </w:r>
          </w:p>
        </w:tc>
        <w:tc>
          <w:tcPr>
            <w:tcW w:w="2906" w:type="dxa"/>
            <w:tcBorders>
              <w:top w:val="nil"/>
              <w:left w:val="nil"/>
              <w:bottom w:val="nil"/>
              <w:right w:val="nil"/>
            </w:tcBorders>
            <w:shd w:val="clear" w:color="auto" w:fill="auto"/>
            <w:vAlign w:val="center"/>
          </w:tcPr>
          <w:p w14:paraId="139D15A8"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8F005D">
              <w:rPr>
                <w:rFonts w:cs="Arial"/>
                <w:b/>
                <w:bCs/>
                <w:color w:val="000000"/>
                <w:sz w:val="14"/>
                <w:szCs w:val="14"/>
              </w:rPr>
              <w:t>6</w:t>
            </w:r>
            <w:r>
              <w:rPr>
                <w:rFonts w:cs="Arial"/>
                <w:b/>
                <w:bCs/>
                <w:color w:val="000000"/>
                <w:sz w:val="14"/>
                <w:szCs w:val="14"/>
              </w:rPr>
              <w:t>,</w:t>
            </w:r>
            <w:r w:rsidRPr="008F005D">
              <w:rPr>
                <w:rFonts w:cs="Arial"/>
                <w:b/>
                <w:bCs/>
                <w:color w:val="000000"/>
                <w:sz w:val="14"/>
                <w:szCs w:val="14"/>
              </w:rPr>
              <w:t>827</w:t>
            </w:r>
          </w:p>
        </w:tc>
      </w:tr>
      <w:tr w:rsidR="006A362F" w:rsidRPr="008F005D" w14:paraId="50C148DC"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24A7FF7B" w14:textId="77777777" w:rsidR="006A362F" w:rsidRPr="008F005D" w:rsidRDefault="006A362F" w:rsidP="006928A6">
            <w:pPr>
              <w:keepNext/>
              <w:keepLines/>
              <w:rPr>
                <w:rFonts w:cs="Arial"/>
                <w:sz w:val="14"/>
                <w:szCs w:val="14"/>
              </w:rPr>
            </w:pPr>
            <w:r>
              <w:rPr>
                <w:rFonts w:eastAsia="Times New Roman" w:cs="Arial"/>
                <w:color w:val="000000"/>
                <w:spacing w:val="-2"/>
                <w:sz w:val="14"/>
                <w:szCs w:val="14"/>
                <w:lang w:eastAsia="pt-BR"/>
              </w:rPr>
              <w:t>Attributable to BB Seguridade</w:t>
            </w:r>
          </w:p>
        </w:tc>
        <w:tc>
          <w:tcPr>
            <w:tcW w:w="2906" w:type="dxa"/>
            <w:tcBorders>
              <w:top w:val="nil"/>
              <w:left w:val="nil"/>
              <w:bottom w:val="nil"/>
              <w:right w:val="nil"/>
            </w:tcBorders>
            <w:shd w:val="clear" w:color="auto" w:fill="auto"/>
            <w:vAlign w:val="center"/>
          </w:tcPr>
          <w:p w14:paraId="5C00E215"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F005D">
              <w:rPr>
                <w:rFonts w:cs="Arial"/>
                <w:color w:val="000000"/>
                <w:sz w:val="14"/>
                <w:szCs w:val="14"/>
              </w:rPr>
              <w:t>3</w:t>
            </w:r>
            <w:r>
              <w:rPr>
                <w:rFonts w:cs="Arial"/>
                <w:color w:val="000000"/>
                <w:sz w:val="14"/>
                <w:szCs w:val="14"/>
              </w:rPr>
              <w:t>,</w:t>
            </w:r>
            <w:r w:rsidRPr="008F005D">
              <w:rPr>
                <w:rFonts w:cs="Arial"/>
                <w:color w:val="000000"/>
                <w:sz w:val="14"/>
                <w:szCs w:val="14"/>
              </w:rPr>
              <w:t>234</w:t>
            </w:r>
          </w:p>
        </w:tc>
        <w:tc>
          <w:tcPr>
            <w:tcW w:w="2906" w:type="dxa"/>
            <w:tcBorders>
              <w:top w:val="nil"/>
              <w:left w:val="nil"/>
              <w:bottom w:val="nil"/>
              <w:right w:val="nil"/>
            </w:tcBorders>
            <w:shd w:val="clear" w:color="auto" w:fill="auto"/>
            <w:vAlign w:val="center"/>
          </w:tcPr>
          <w:p w14:paraId="28EE15A6" w14:textId="77777777" w:rsidR="006A362F" w:rsidRPr="008F005D"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sidRPr="008F005D">
              <w:rPr>
                <w:rFonts w:cs="Arial"/>
                <w:color w:val="000000"/>
                <w:sz w:val="14"/>
                <w:szCs w:val="14"/>
              </w:rPr>
              <w:t>5</w:t>
            </w:r>
            <w:r>
              <w:rPr>
                <w:rFonts w:cs="Arial"/>
                <w:color w:val="000000"/>
                <w:sz w:val="14"/>
                <w:szCs w:val="14"/>
              </w:rPr>
              <w:t>,</w:t>
            </w:r>
            <w:r w:rsidRPr="008F005D">
              <w:rPr>
                <w:rFonts w:cs="Arial"/>
                <w:color w:val="000000"/>
                <w:sz w:val="14"/>
                <w:szCs w:val="14"/>
              </w:rPr>
              <w:t>120</w:t>
            </w:r>
          </w:p>
        </w:tc>
      </w:tr>
      <w:tr w:rsidR="006A362F" w:rsidRPr="00AE7B73" w14:paraId="77AE54D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22150BAC" w14:textId="77777777" w:rsidR="006A362F" w:rsidRPr="008F005D" w:rsidRDefault="006A362F" w:rsidP="006928A6">
            <w:pPr>
              <w:keepNext/>
              <w:keepLines/>
              <w:rPr>
                <w:rFonts w:cs="Arial"/>
                <w:color w:val="000000"/>
                <w:sz w:val="14"/>
                <w:szCs w:val="14"/>
              </w:rPr>
            </w:pPr>
            <w:r>
              <w:rPr>
                <w:rFonts w:eastAsia="Times New Roman" w:cs="Arial"/>
                <w:color w:val="000000"/>
                <w:spacing w:val="-2"/>
                <w:sz w:val="14"/>
                <w:szCs w:val="14"/>
                <w:lang w:eastAsia="pt-BR"/>
              </w:rPr>
              <w:t>Equity income</w:t>
            </w:r>
          </w:p>
        </w:tc>
        <w:tc>
          <w:tcPr>
            <w:tcW w:w="2906" w:type="dxa"/>
            <w:tcBorders>
              <w:top w:val="nil"/>
              <w:left w:val="nil"/>
              <w:bottom w:val="single" w:sz="2" w:space="0" w:color="1F4E79" w:themeColor="accent1" w:themeShade="80"/>
              <w:right w:val="nil"/>
            </w:tcBorders>
            <w:shd w:val="clear" w:color="auto" w:fill="auto"/>
            <w:vAlign w:val="center"/>
          </w:tcPr>
          <w:p w14:paraId="1C6D809B"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F005D">
              <w:rPr>
                <w:rFonts w:cs="Arial"/>
                <w:color w:val="000000"/>
                <w:sz w:val="14"/>
                <w:szCs w:val="14"/>
              </w:rPr>
              <w:t>3</w:t>
            </w:r>
            <w:r>
              <w:rPr>
                <w:rFonts w:cs="Arial"/>
                <w:color w:val="000000"/>
                <w:sz w:val="14"/>
                <w:szCs w:val="14"/>
              </w:rPr>
              <w:t>,</w:t>
            </w:r>
            <w:r w:rsidRPr="008F005D">
              <w:rPr>
                <w:rFonts w:cs="Arial"/>
                <w:color w:val="000000"/>
                <w:sz w:val="14"/>
                <w:szCs w:val="14"/>
              </w:rPr>
              <w:t>234</w:t>
            </w:r>
          </w:p>
        </w:tc>
        <w:tc>
          <w:tcPr>
            <w:tcW w:w="2906" w:type="dxa"/>
            <w:tcBorders>
              <w:top w:val="nil"/>
              <w:left w:val="nil"/>
              <w:bottom w:val="single" w:sz="2" w:space="0" w:color="1F4E79" w:themeColor="accent1" w:themeShade="80"/>
              <w:right w:val="nil"/>
            </w:tcBorders>
            <w:shd w:val="clear" w:color="auto" w:fill="auto"/>
            <w:vAlign w:val="center"/>
          </w:tcPr>
          <w:p w14:paraId="2FEB79D9" w14:textId="77777777" w:rsidR="006A362F" w:rsidRPr="008F005D"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8F005D">
              <w:rPr>
                <w:rFonts w:cs="Arial"/>
                <w:color w:val="000000"/>
                <w:sz w:val="14"/>
                <w:szCs w:val="14"/>
              </w:rPr>
              <w:t>5</w:t>
            </w:r>
            <w:r>
              <w:rPr>
                <w:rFonts w:cs="Arial"/>
                <w:color w:val="000000"/>
                <w:sz w:val="14"/>
                <w:szCs w:val="14"/>
              </w:rPr>
              <w:t>,</w:t>
            </w:r>
            <w:r w:rsidRPr="008F005D">
              <w:rPr>
                <w:rFonts w:cs="Arial"/>
                <w:color w:val="000000"/>
                <w:sz w:val="14"/>
                <w:szCs w:val="14"/>
              </w:rPr>
              <w:t>120</w:t>
            </w:r>
          </w:p>
        </w:tc>
      </w:tr>
    </w:tbl>
    <w:p w14:paraId="75FABD16" w14:textId="77777777" w:rsidR="006A362F" w:rsidRPr="00F656C1" w:rsidRDefault="006A362F" w:rsidP="006A362F">
      <w:pPr>
        <w:pStyle w:val="PargrafodaLista"/>
        <w:numPr>
          <w:ilvl w:val="0"/>
          <w:numId w:val="44"/>
        </w:numPr>
        <w:spacing w:after="0" w:line="240" w:lineRule="auto"/>
        <w:rPr>
          <w:rFonts w:ascii="Arial" w:eastAsia="Times New Roman" w:hAnsi="Arial" w:cs="Times New Roman"/>
          <w:bCs/>
          <w:spacing w:val="-2"/>
          <w:sz w:val="14"/>
          <w:szCs w:val="16"/>
          <w:lang w:val="en-US" w:eastAsia="pt-BR"/>
        </w:rPr>
      </w:pPr>
      <w:r w:rsidRPr="00F656C1">
        <w:rPr>
          <w:rFonts w:ascii="Arial" w:eastAsia="Times New Roman" w:hAnsi="Arial" w:cs="Times New Roman"/>
          <w:bCs/>
          <w:spacing w:val="-2"/>
          <w:sz w:val="14"/>
          <w:szCs w:val="16"/>
          <w:lang w:val="en-US" w:eastAsia="pt-BR"/>
        </w:rPr>
        <w:t xml:space="preserve">BBA - Building Block Approach and </w:t>
      </w:r>
      <w:r w:rsidRPr="00F656C1">
        <w:rPr>
          <w:rFonts w:ascii="Arial" w:eastAsia="Times New Roman" w:hAnsi="Arial" w:cs="Arial"/>
          <w:kern w:val="20"/>
          <w:sz w:val="14"/>
          <w:szCs w:val="16"/>
          <w:lang w:val="en-US" w:eastAsia="pt-BR"/>
        </w:rPr>
        <w:t>PAA - Premium Allocation Approach.</w:t>
      </w:r>
    </w:p>
    <w:p w14:paraId="2F34D953" w14:textId="77777777" w:rsidR="006A362F" w:rsidRPr="008078D5" w:rsidRDefault="006A362F" w:rsidP="00076945">
      <w:pPr>
        <w:spacing w:after="0" w:line="240" w:lineRule="auto"/>
        <w:rPr>
          <w:rFonts w:eastAsia="Times New Roman" w:cs="Times New Roman"/>
          <w:b/>
          <w:color w:val="1F4E79" w:themeColor="accent1" w:themeShade="80"/>
          <w:spacing w:val="-2"/>
          <w:szCs w:val="20"/>
          <w:lang w:val="en-US" w:eastAsia="pt-BR"/>
        </w:rPr>
      </w:pPr>
    </w:p>
    <w:p w14:paraId="19820106" w14:textId="77777777" w:rsidR="006A362F"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Balance Sheet Information</w:t>
      </w:r>
    </w:p>
    <w:p w14:paraId="355CF40A"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3120"/>
        <w:gridCol w:w="3260"/>
        <w:gridCol w:w="3260"/>
      </w:tblGrid>
      <w:tr w:rsidR="006A362F" w:rsidRPr="004B635B" w14:paraId="14403145"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A0AF574" w14:textId="77777777" w:rsidR="006A362F" w:rsidRPr="004B635B" w:rsidRDefault="006A362F" w:rsidP="006928A6">
            <w:pPr>
              <w:jc w:val="center"/>
              <w:rPr>
                <w:rFonts w:cs="Arial"/>
                <w:sz w:val="14"/>
                <w:szCs w:val="14"/>
              </w:rPr>
            </w:pP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1774A78" w14:textId="77777777" w:rsidR="006A362F" w:rsidRPr="004B635B"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Feb 28, 2023 </w:t>
            </w:r>
            <w:r w:rsidRPr="00143235">
              <w:rPr>
                <w:rFonts w:cs="Arial"/>
                <w:sz w:val="14"/>
                <w:szCs w:val="14"/>
                <w:vertAlign w:val="superscript"/>
              </w:rPr>
              <w:t>(2)</w:t>
            </w:r>
          </w:p>
        </w:tc>
        <w:tc>
          <w:tcPr>
            <w:tcW w:w="326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870A393" w14:textId="77777777" w:rsidR="006A362F" w:rsidRPr="004B635B"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Dez 31, 2022 (Restated balances)</w:t>
            </w:r>
          </w:p>
        </w:tc>
      </w:tr>
      <w:tr w:rsidR="006A362F" w:rsidRPr="00824585" w14:paraId="124E58C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4E79" w:themeColor="accent1" w:themeShade="80"/>
              <w:left w:val="nil"/>
              <w:bottom w:val="nil"/>
              <w:right w:val="nil"/>
            </w:tcBorders>
            <w:shd w:val="clear" w:color="auto" w:fill="auto"/>
            <w:vAlign w:val="center"/>
            <w:hideMark/>
          </w:tcPr>
          <w:p w14:paraId="7DAEE912" w14:textId="77777777" w:rsidR="006A362F" w:rsidRPr="00824585" w:rsidRDefault="006A362F" w:rsidP="006928A6">
            <w:pPr>
              <w:keepNext/>
              <w:keepLines/>
              <w:rPr>
                <w:rFonts w:eastAsia="Times New Roman" w:cs="Arial"/>
                <w:spacing w:val="-2"/>
                <w:sz w:val="14"/>
                <w:szCs w:val="14"/>
                <w:highlight w:val="yellow"/>
              </w:rPr>
            </w:pPr>
            <w:r>
              <w:rPr>
                <w:rFonts w:cs="Arial"/>
                <w:color w:val="000000"/>
                <w:sz w:val="14"/>
                <w:szCs w:val="14"/>
              </w:rPr>
              <w:t>Current Assets</w:t>
            </w:r>
          </w:p>
        </w:tc>
        <w:tc>
          <w:tcPr>
            <w:tcW w:w="3260" w:type="dxa"/>
            <w:tcBorders>
              <w:top w:val="single" w:sz="2" w:space="0" w:color="1F4E79" w:themeColor="accent1" w:themeShade="80"/>
              <w:left w:val="nil"/>
              <w:bottom w:val="nil"/>
              <w:right w:val="nil"/>
            </w:tcBorders>
            <w:shd w:val="clear" w:color="auto" w:fill="auto"/>
            <w:vAlign w:val="center"/>
          </w:tcPr>
          <w:p w14:paraId="3A3062E8"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47</w:t>
            </w:r>
            <w:r>
              <w:rPr>
                <w:rFonts w:cs="Arial"/>
                <w:b/>
                <w:bCs/>
                <w:color w:val="000000"/>
                <w:sz w:val="14"/>
                <w:szCs w:val="14"/>
              </w:rPr>
              <w:t>,</w:t>
            </w:r>
            <w:r w:rsidRPr="00824585">
              <w:rPr>
                <w:rFonts w:cs="Arial"/>
                <w:b/>
                <w:bCs/>
                <w:color w:val="000000"/>
                <w:sz w:val="14"/>
                <w:szCs w:val="14"/>
              </w:rPr>
              <w:t xml:space="preserve">932 </w:t>
            </w:r>
          </w:p>
        </w:tc>
        <w:tc>
          <w:tcPr>
            <w:tcW w:w="3260" w:type="dxa"/>
            <w:tcBorders>
              <w:top w:val="single" w:sz="2" w:space="0" w:color="1F4E79" w:themeColor="accent1" w:themeShade="80"/>
              <w:left w:val="nil"/>
              <w:bottom w:val="nil"/>
              <w:right w:val="nil"/>
            </w:tcBorders>
            <w:shd w:val="clear" w:color="auto" w:fill="auto"/>
            <w:vAlign w:val="center"/>
          </w:tcPr>
          <w:p w14:paraId="6D4F326C"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44</w:t>
            </w:r>
            <w:r>
              <w:rPr>
                <w:rFonts w:cs="Arial"/>
                <w:b/>
                <w:bCs/>
                <w:color w:val="000000"/>
                <w:sz w:val="14"/>
                <w:szCs w:val="14"/>
              </w:rPr>
              <w:t>,</w:t>
            </w:r>
            <w:r w:rsidRPr="00824585">
              <w:rPr>
                <w:rFonts w:cs="Arial"/>
                <w:b/>
                <w:bCs/>
                <w:color w:val="000000"/>
                <w:sz w:val="14"/>
                <w:szCs w:val="14"/>
              </w:rPr>
              <w:t xml:space="preserve">174 </w:t>
            </w:r>
          </w:p>
        </w:tc>
      </w:tr>
      <w:tr w:rsidR="006A362F" w:rsidRPr="003361C0" w14:paraId="4938713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62B010AC" w14:textId="77777777" w:rsidR="006A362F" w:rsidRPr="003361C0"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Cash and cash equivalents</w:t>
            </w:r>
          </w:p>
        </w:tc>
        <w:tc>
          <w:tcPr>
            <w:tcW w:w="3260" w:type="dxa"/>
            <w:tcBorders>
              <w:top w:val="nil"/>
              <w:left w:val="nil"/>
              <w:bottom w:val="nil"/>
              <w:right w:val="nil"/>
            </w:tcBorders>
            <w:shd w:val="clear" w:color="auto" w:fill="auto"/>
            <w:vAlign w:val="center"/>
          </w:tcPr>
          <w:p w14:paraId="177C7C8A"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w:t>
            </w:r>
            <w:r>
              <w:rPr>
                <w:rFonts w:cs="Arial"/>
                <w:color w:val="000000"/>
                <w:sz w:val="14"/>
                <w:szCs w:val="14"/>
              </w:rPr>
              <w:t>,</w:t>
            </w:r>
            <w:r w:rsidRPr="003361C0">
              <w:rPr>
                <w:rFonts w:cs="Arial"/>
                <w:color w:val="000000"/>
                <w:sz w:val="14"/>
                <w:szCs w:val="14"/>
              </w:rPr>
              <w:t xml:space="preserve">922 </w:t>
            </w:r>
          </w:p>
        </w:tc>
        <w:tc>
          <w:tcPr>
            <w:tcW w:w="3260" w:type="dxa"/>
            <w:tcBorders>
              <w:top w:val="nil"/>
              <w:left w:val="nil"/>
              <w:bottom w:val="nil"/>
              <w:right w:val="nil"/>
            </w:tcBorders>
            <w:shd w:val="clear" w:color="auto" w:fill="auto"/>
            <w:vAlign w:val="center"/>
          </w:tcPr>
          <w:p w14:paraId="1DC27CBF"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w:t>
            </w:r>
            <w:r>
              <w:rPr>
                <w:rFonts w:cs="Arial"/>
                <w:color w:val="000000"/>
                <w:sz w:val="14"/>
                <w:szCs w:val="14"/>
              </w:rPr>
              <w:t>,</w:t>
            </w:r>
            <w:r w:rsidRPr="003361C0">
              <w:rPr>
                <w:rFonts w:cs="Arial"/>
                <w:color w:val="000000"/>
                <w:sz w:val="14"/>
                <w:szCs w:val="14"/>
              </w:rPr>
              <w:t xml:space="preserve">639 </w:t>
            </w:r>
          </w:p>
        </w:tc>
      </w:tr>
      <w:tr w:rsidR="006A362F" w:rsidRPr="003361C0" w14:paraId="6F92C98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55C5646" w14:textId="77777777" w:rsidR="006A362F" w:rsidRPr="003361C0"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3260" w:type="dxa"/>
            <w:tcBorders>
              <w:top w:val="nil"/>
              <w:left w:val="nil"/>
              <w:bottom w:val="nil"/>
              <w:right w:val="nil"/>
            </w:tcBorders>
            <w:shd w:val="clear" w:color="auto" w:fill="auto"/>
            <w:vAlign w:val="center"/>
          </w:tcPr>
          <w:p w14:paraId="1266889C"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44</w:t>
            </w:r>
            <w:r>
              <w:rPr>
                <w:rFonts w:cs="Arial"/>
                <w:color w:val="000000"/>
                <w:sz w:val="14"/>
                <w:szCs w:val="14"/>
              </w:rPr>
              <w:t>,</w:t>
            </w:r>
            <w:r w:rsidRPr="003361C0">
              <w:rPr>
                <w:rFonts w:cs="Arial"/>
                <w:color w:val="000000"/>
                <w:sz w:val="14"/>
                <w:szCs w:val="14"/>
              </w:rPr>
              <w:t xml:space="preserve">547 </w:t>
            </w:r>
          </w:p>
        </w:tc>
        <w:tc>
          <w:tcPr>
            <w:tcW w:w="3260" w:type="dxa"/>
            <w:tcBorders>
              <w:top w:val="nil"/>
              <w:left w:val="nil"/>
              <w:bottom w:val="nil"/>
              <w:right w:val="nil"/>
            </w:tcBorders>
            <w:shd w:val="clear" w:color="auto" w:fill="auto"/>
            <w:vAlign w:val="center"/>
          </w:tcPr>
          <w:p w14:paraId="02937F99"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41</w:t>
            </w:r>
            <w:r>
              <w:rPr>
                <w:rFonts w:cs="Arial"/>
                <w:color w:val="000000"/>
                <w:sz w:val="14"/>
                <w:szCs w:val="14"/>
              </w:rPr>
              <w:t>,</w:t>
            </w:r>
            <w:r w:rsidRPr="003361C0">
              <w:rPr>
                <w:rFonts w:cs="Arial"/>
                <w:color w:val="000000"/>
                <w:sz w:val="14"/>
                <w:szCs w:val="14"/>
              </w:rPr>
              <w:t xml:space="preserve">111 </w:t>
            </w:r>
          </w:p>
        </w:tc>
      </w:tr>
      <w:tr w:rsidR="006A362F" w:rsidRPr="003361C0" w14:paraId="57B9AE2F"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D4A1BAE" w14:textId="77777777" w:rsidR="006A362F" w:rsidRPr="003361C0" w:rsidRDefault="006A362F" w:rsidP="006928A6">
            <w:pPr>
              <w:keepNext/>
              <w:keepLines/>
              <w:ind w:left="113"/>
              <w:rPr>
                <w:rFonts w:cs="Arial"/>
                <w:b w:val="0"/>
                <w:bCs w:val="0"/>
                <w:color w:val="000000"/>
                <w:sz w:val="14"/>
                <w:szCs w:val="14"/>
                <w:highlight w:val="yellow"/>
              </w:rPr>
            </w:pPr>
            <w:r w:rsidRPr="000C6F76">
              <w:rPr>
                <w:rFonts w:cs="Arial"/>
                <w:b w:val="0"/>
                <w:bCs w:val="0"/>
                <w:color w:val="000000"/>
                <w:sz w:val="14"/>
                <w:szCs w:val="14"/>
              </w:rPr>
              <w:t>Current tax assets</w:t>
            </w:r>
          </w:p>
        </w:tc>
        <w:tc>
          <w:tcPr>
            <w:tcW w:w="3260" w:type="dxa"/>
            <w:tcBorders>
              <w:top w:val="nil"/>
              <w:left w:val="nil"/>
              <w:bottom w:val="nil"/>
              <w:right w:val="nil"/>
            </w:tcBorders>
            <w:shd w:val="clear" w:color="auto" w:fill="auto"/>
            <w:vAlign w:val="center"/>
          </w:tcPr>
          <w:p w14:paraId="4F14D8AC" w14:textId="77777777" w:rsidR="006A362F" w:rsidRPr="003361C0"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361C0">
              <w:rPr>
                <w:rFonts w:cs="Arial"/>
                <w:color w:val="000000"/>
                <w:sz w:val="14"/>
                <w:szCs w:val="14"/>
              </w:rPr>
              <w:t xml:space="preserve">                  304 </w:t>
            </w:r>
          </w:p>
        </w:tc>
        <w:tc>
          <w:tcPr>
            <w:tcW w:w="3260" w:type="dxa"/>
            <w:tcBorders>
              <w:top w:val="nil"/>
              <w:left w:val="nil"/>
              <w:bottom w:val="nil"/>
              <w:right w:val="nil"/>
            </w:tcBorders>
            <w:shd w:val="clear" w:color="auto" w:fill="auto"/>
            <w:vAlign w:val="center"/>
          </w:tcPr>
          <w:p w14:paraId="6DC91F11" w14:textId="77777777" w:rsidR="006A362F" w:rsidRPr="003361C0"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3361C0">
              <w:rPr>
                <w:rFonts w:cs="Arial"/>
                <w:color w:val="000000"/>
                <w:sz w:val="14"/>
                <w:szCs w:val="14"/>
              </w:rPr>
              <w:t xml:space="preserve">             265 </w:t>
            </w:r>
          </w:p>
        </w:tc>
      </w:tr>
      <w:tr w:rsidR="006A362F" w:rsidRPr="003361C0" w14:paraId="3DC1F36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5C2735" w14:textId="77777777" w:rsidR="006A362F" w:rsidRPr="003361C0" w:rsidRDefault="006A362F" w:rsidP="006928A6">
            <w:pPr>
              <w:keepNext/>
              <w:keepLines/>
              <w:spacing w:before="40" w:after="40"/>
              <w:ind w:left="113"/>
              <w:rPr>
                <w:rFonts w:cs="Arial"/>
                <w:b w:val="0"/>
                <w:bCs w:val="0"/>
                <w:sz w:val="14"/>
                <w:szCs w:val="14"/>
                <w:highlight w:val="yellow"/>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2F58BF79"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159 </w:t>
            </w:r>
          </w:p>
        </w:tc>
        <w:tc>
          <w:tcPr>
            <w:tcW w:w="3260" w:type="dxa"/>
            <w:tcBorders>
              <w:top w:val="nil"/>
              <w:left w:val="nil"/>
              <w:bottom w:val="nil"/>
              <w:right w:val="nil"/>
            </w:tcBorders>
            <w:shd w:val="clear" w:color="auto" w:fill="auto"/>
            <w:vAlign w:val="center"/>
          </w:tcPr>
          <w:p w14:paraId="7AB646AA"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159 </w:t>
            </w:r>
          </w:p>
        </w:tc>
      </w:tr>
      <w:tr w:rsidR="006A362F" w:rsidRPr="00824585" w14:paraId="0FD75FFE"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A46640" w14:textId="77777777" w:rsidR="006A362F" w:rsidRPr="00824585" w:rsidRDefault="006A362F" w:rsidP="006928A6">
            <w:pPr>
              <w:keepNext/>
              <w:keepLines/>
              <w:spacing w:before="40" w:after="40"/>
              <w:rPr>
                <w:rFonts w:cs="Arial"/>
                <w:sz w:val="14"/>
                <w:szCs w:val="14"/>
                <w:highlight w:val="yellow"/>
              </w:rPr>
            </w:pPr>
            <w:r w:rsidRPr="000C6F76">
              <w:rPr>
                <w:rFonts w:cs="Arial"/>
                <w:color w:val="000000"/>
                <w:sz w:val="14"/>
                <w:szCs w:val="14"/>
              </w:rPr>
              <w:t>Non-Current Assets</w:t>
            </w:r>
          </w:p>
        </w:tc>
        <w:tc>
          <w:tcPr>
            <w:tcW w:w="3260" w:type="dxa"/>
            <w:tcBorders>
              <w:top w:val="nil"/>
              <w:left w:val="nil"/>
              <w:bottom w:val="nil"/>
              <w:right w:val="nil"/>
            </w:tcBorders>
            <w:shd w:val="clear" w:color="auto" w:fill="auto"/>
            <w:vAlign w:val="center"/>
          </w:tcPr>
          <w:p w14:paraId="41F3944B"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5</w:t>
            </w:r>
            <w:r>
              <w:rPr>
                <w:rFonts w:cs="Arial"/>
                <w:b/>
                <w:bCs/>
                <w:color w:val="000000"/>
                <w:sz w:val="14"/>
                <w:szCs w:val="14"/>
              </w:rPr>
              <w:t>,</w:t>
            </w:r>
            <w:r w:rsidRPr="00824585">
              <w:rPr>
                <w:rFonts w:cs="Arial"/>
                <w:b/>
                <w:bCs/>
                <w:color w:val="000000"/>
                <w:sz w:val="14"/>
                <w:szCs w:val="14"/>
              </w:rPr>
              <w:t xml:space="preserve">188 </w:t>
            </w:r>
          </w:p>
        </w:tc>
        <w:tc>
          <w:tcPr>
            <w:tcW w:w="3260" w:type="dxa"/>
            <w:tcBorders>
              <w:top w:val="nil"/>
              <w:left w:val="nil"/>
              <w:bottom w:val="nil"/>
              <w:right w:val="nil"/>
            </w:tcBorders>
            <w:shd w:val="clear" w:color="auto" w:fill="auto"/>
            <w:vAlign w:val="center"/>
          </w:tcPr>
          <w:p w14:paraId="388CE26E"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w:t>
            </w:r>
            <w:r>
              <w:rPr>
                <w:rFonts w:cs="Arial"/>
                <w:b/>
                <w:bCs/>
                <w:color w:val="000000"/>
                <w:sz w:val="14"/>
                <w:szCs w:val="14"/>
              </w:rPr>
              <w:t>,</w:t>
            </w:r>
            <w:r w:rsidRPr="00824585">
              <w:rPr>
                <w:rFonts w:cs="Arial"/>
                <w:b/>
                <w:bCs/>
                <w:color w:val="000000"/>
                <w:sz w:val="14"/>
                <w:szCs w:val="14"/>
              </w:rPr>
              <w:t xml:space="preserve">697 </w:t>
            </w:r>
          </w:p>
        </w:tc>
      </w:tr>
      <w:tr w:rsidR="006A362F" w:rsidRPr="003361C0" w14:paraId="5EC08D3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8A586E" w14:textId="77777777" w:rsidR="006A362F" w:rsidRPr="00824585" w:rsidRDefault="006A362F" w:rsidP="006928A6">
            <w:pPr>
              <w:keepNext/>
              <w:keepLines/>
              <w:ind w:left="113"/>
              <w:rPr>
                <w:rFonts w:cs="Arial"/>
                <w:b w:val="0"/>
                <w:bCs w:val="0"/>
                <w:color w:val="000000"/>
                <w:sz w:val="14"/>
                <w:szCs w:val="14"/>
              </w:rPr>
            </w:pPr>
            <w:r w:rsidRPr="000C6F76">
              <w:rPr>
                <w:rFonts w:cs="Arial"/>
                <w:b w:val="0"/>
                <w:bCs w:val="0"/>
                <w:color w:val="000000"/>
                <w:sz w:val="14"/>
                <w:szCs w:val="14"/>
              </w:rPr>
              <w:t>Deferred tax assets</w:t>
            </w:r>
          </w:p>
        </w:tc>
        <w:tc>
          <w:tcPr>
            <w:tcW w:w="3260" w:type="dxa"/>
            <w:tcBorders>
              <w:top w:val="nil"/>
              <w:left w:val="nil"/>
              <w:bottom w:val="nil"/>
              <w:right w:val="nil"/>
            </w:tcBorders>
            <w:shd w:val="clear" w:color="auto" w:fill="auto"/>
            <w:vAlign w:val="center"/>
          </w:tcPr>
          <w:p w14:paraId="5A6F66E6"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w:t>
            </w:r>
            <w:r>
              <w:rPr>
                <w:rFonts w:cs="Arial"/>
                <w:color w:val="000000"/>
                <w:sz w:val="14"/>
                <w:szCs w:val="14"/>
              </w:rPr>
              <w:t>,</w:t>
            </w:r>
            <w:r w:rsidRPr="003361C0">
              <w:rPr>
                <w:rFonts w:cs="Arial"/>
                <w:color w:val="000000"/>
                <w:sz w:val="14"/>
                <w:szCs w:val="14"/>
              </w:rPr>
              <w:t xml:space="preserve">762 </w:t>
            </w:r>
          </w:p>
        </w:tc>
        <w:tc>
          <w:tcPr>
            <w:tcW w:w="3260" w:type="dxa"/>
            <w:tcBorders>
              <w:top w:val="nil"/>
              <w:left w:val="nil"/>
              <w:bottom w:val="nil"/>
              <w:right w:val="nil"/>
            </w:tcBorders>
            <w:shd w:val="clear" w:color="auto" w:fill="auto"/>
            <w:vAlign w:val="center"/>
          </w:tcPr>
          <w:p w14:paraId="7ECB77D1"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w:t>
            </w:r>
            <w:r>
              <w:rPr>
                <w:rFonts w:cs="Arial"/>
                <w:color w:val="000000"/>
                <w:sz w:val="14"/>
                <w:szCs w:val="14"/>
              </w:rPr>
              <w:t>,</w:t>
            </w:r>
            <w:r w:rsidRPr="003361C0">
              <w:rPr>
                <w:rFonts w:cs="Arial"/>
                <w:color w:val="000000"/>
                <w:sz w:val="14"/>
                <w:szCs w:val="14"/>
              </w:rPr>
              <w:t xml:space="preserve">264 </w:t>
            </w:r>
          </w:p>
        </w:tc>
      </w:tr>
      <w:tr w:rsidR="006A362F" w:rsidRPr="003361C0" w14:paraId="4790A50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F5DC89" w14:textId="77777777" w:rsidR="006A362F" w:rsidRPr="00824585" w:rsidRDefault="006A362F" w:rsidP="006928A6">
            <w:pPr>
              <w:keepNext/>
              <w:keepLines/>
              <w:ind w:left="113"/>
              <w:rPr>
                <w:rFonts w:cs="Arial"/>
                <w:b w:val="0"/>
                <w:bCs w:val="0"/>
                <w:color w:val="000000"/>
                <w:sz w:val="14"/>
                <w:szCs w:val="14"/>
              </w:rPr>
            </w:pPr>
            <w:r>
              <w:rPr>
                <w:rFonts w:cs="Arial"/>
                <w:b w:val="0"/>
                <w:bCs w:val="0"/>
                <w:color w:val="000000"/>
                <w:sz w:val="14"/>
                <w:szCs w:val="14"/>
              </w:rPr>
              <w:t>Fixed and intangible</w:t>
            </w:r>
          </w:p>
        </w:tc>
        <w:tc>
          <w:tcPr>
            <w:tcW w:w="3260" w:type="dxa"/>
            <w:tcBorders>
              <w:top w:val="nil"/>
              <w:left w:val="nil"/>
              <w:bottom w:val="nil"/>
              <w:right w:val="nil"/>
            </w:tcBorders>
            <w:shd w:val="clear" w:color="auto" w:fill="auto"/>
            <w:vAlign w:val="center"/>
          </w:tcPr>
          <w:p w14:paraId="421A22AD"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169 </w:t>
            </w:r>
          </w:p>
        </w:tc>
        <w:tc>
          <w:tcPr>
            <w:tcW w:w="3260" w:type="dxa"/>
            <w:tcBorders>
              <w:top w:val="nil"/>
              <w:left w:val="nil"/>
              <w:bottom w:val="nil"/>
              <w:right w:val="nil"/>
            </w:tcBorders>
            <w:shd w:val="clear" w:color="auto" w:fill="auto"/>
            <w:vAlign w:val="center"/>
          </w:tcPr>
          <w:p w14:paraId="7FB11572"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179 </w:t>
            </w:r>
          </w:p>
        </w:tc>
      </w:tr>
      <w:tr w:rsidR="006A362F" w:rsidRPr="003361C0" w14:paraId="240D440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3171B77" w14:textId="77777777" w:rsidR="006A362F" w:rsidRPr="00824585" w:rsidRDefault="006A362F" w:rsidP="006928A6">
            <w:pPr>
              <w:keepNext/>
              <w:keepLines/>
              <w:ind w:left="113"/>
              <w:rPr>
                <w:rFonts w:cs="Arial"/>
                <w:b w:val="0"/>
                <w:bCs w:val="0"/>
                <w:color w:val="000000"/>
                <w:sz w:val="14"/>
                <w:szCs w:val="14"/>
              </w:rPr>
            </w:pPr>
            <w:r>
              <w:rPr>
                <w:rFonts w:cs="Arial"/>
                <w:b w:val="0"/>
                <w:bCs w:val="0"/>
                <w:color w:val="000000"/>
                <w:sz w:val="14"/>
                <w:szCs w:val="14"/>
              </w:rPr>
              <w:t>Other assets</w:t>
            </w:r>
          </w:p>
        </w:tc>
        <w:tc>
          <w:tcPr>
            <w:tcW w:w="3260" w:type="dxa"/>
            <w:tcBorders>
              <w:top w:val="nil"/>
              <w:left w:val="nil"/>
              <w:bottom w:val="nil"/>
              <w:right w:val="nil"/>
            </w:tcBorders>
            <w:shd w:val="clear" w:color="auto" w:fill="auto"/>
            <w:vAlign w:val="center"/>
          </w:tcPr>
          <w:p w14:paraId="7885609F"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257 </w:t>
            </w:r>
          </w:p>
        </w:tc>
        <w:tc>
          <w:tcPr>
            <w:tcW w:w="3260" w:type="dxa"/>
            <w:tcBorders>
              <w:top w:val="nil"/>
              <w:left w:val="nil"/>
              <w:bottom w:val="nil"/>
              <w:right w:val="nil"/>
            </w:tcBorders>
            <w:shd w:val="clear" w:color="auto" w:fill="auto"/>
            <w:vAlign w:val="center"/>
          </w:tcPr>
          <w:p w14:paraId="2FD89D0A"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254 </w:t>
            </w:r>
          </w:p>
        </w:tc>
      </w:tr>
      <w:tr w:rsidR="006A362F" w:rsidRPr="00824585" w14:paraId="526AD2D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BF88223" w14:textId="77777777" w:rsidR="006A362F" w:rsidRPr="00824585" w:rsidRDefault="006A362F" w:rsidP="006928A6">
            <w:pPr>
              <w:keepNext/>
              <w:keepLines/>
              <w:spacing w:before="40" w:after="40"/>
              <w:rPr>
                <w:rFonts w:cs="Arial"/>
                <w:sz w:val="14"/>
                <w:szCs w:val="14"/>
                <w:highlight w:val="yellow"/>
              </w:rPr>
            </w:pPr>
            <w:r>
              <w:rPr>
                <w:rFonts w:cs="Arial"/>
                <w:color w:val="000000"/>
                <w:sz w:val="14"/>
                <w:szCs w:val="14"/>
              </w:rPr>
              <w:t>Total Assets</w:t>
            </w:r>
          </w:p>
        </w:tc>
        <w:tc>
          <w:tcPr>
            <w:tcW w:w="3260" w:type="dxa"/>
            <w:tcBorders>
              <w:top w:val="nil"/>
              <w:left w:val="nil"/>
              <w:bottom w:val="nil"/>
              <w:right w:val="nil"/>
            </w:tcBorders>
            <w:shd w:val="clear" w:color="auto" w:fill="auto"/>
            <w:vAlign w:val="center"/>
          </w:tcPr>
          <w:p w14:paraId="77A54344"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53</w:t>
            </w:r>
            <w:r>
              <w:rPr>
                <w:rFonts w:cs="Arial"/>
                <w:b/>
                <w:bCs/>
                <w:color w:val="000000"/>
                <w:sz w:val="14"/>
                <w:szCs w:val="14"/>
              </w:rPr>
              <w:t>,</w:t>
            </w:r>
            <w:r w:rsidRPr="00824585">
              <w:rPr>
                <w:rFonts w:cs="Arial"/>
                <w:b/>
                <w:bCs/>
                <w:color w:val="000000"/>
                <w:sz w:val="14"/>
                <w:szCs w:val="14"/>
              </w:rPr>
              <w:t xml:space="preserve">120 </w:t>
            </w:r>
          </w:p>
        </w:tc>
        <w:tc>
          <w:tcPr>
            <w:tcW w:w="3260" w:type="dxa"/>
            <w:tcBorders>
              <w:top w:val="nil"/>
              <w:left w:val="nil"/>
              <w:bottom w:val="nil"/>
              <w:right w:val="nil"/>
            </w:tcBorders>
            <w:shd w:val="clear" w:color="auto" w:fill="auto"/>
            <w:vAlign w:val="center"/>
          </w:tcPr>
          <w:p w14:paraId="1A127DA5"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48</w:t>
            </w:r>
            <w:r>
              <w:rPr>
                <w:rFonts w:cs="Arial"/>
                <w:b/>
                <w:bCs/>
                <w:color w:val="000000"/>
                <w:sz w:val="14"/>
                <w:szCs w:val="14"/>
              </w:rPr>
              <w:t>,</w:t>
            </w:r>
            <w:r w:rsidRPr="00824585">
              <w:rPr>
                <w:rFonts w:cs="Arial"/>
                <w:b/>
                <w:bCs/>
                <w:color w:val="000000"/>
                <w:sz w:val="14"/>
                <w:szCs w:val="14"/>
              </w:rPr>
              <w:t xml:space="preserve">871 </w:t>
            </w:r>
          </w:p>
        </w:tc>
      </w:tr>
      <w:tr w:rsidR="006A362F" w:rsidRPr="003361C0" w14:paraId="328A075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7269EC0" w14:textId="77777777" w:rsidR="006A362F" w:rsidRPr="003361C0" w:rsidRDefault="006A362F" w:rsidP="006928A6">
            <w:pPr>
              <w:keepNext/>
              <w:keepLines/>
              <w:spacing w:before="40" w:after="40"/>
              <w:rPr>
                <w:rFonts w:cs="Arial"/>
                <w:b w:val="0"/>
                <w:bCs w:val="0"/>
                <w:sz w:val="14"/>
                <w:szCs w:val="14"/>
                <w:highlight w:val="yellow"/>
              </w:rPr>
            </w:pPr>
          </w:p>
        </w:tc>
        <w:tc>
          <w:tcPr>
            <w:tcW w:w="3260" w:type="dxa"/>
            <w:tcBorders>
              <w:top w:val="nil"/>
              <w:left w:val="nil"/>
              <w:bottom w:val="nil"/>
              <w:right w:val="nil"/>
            </w:tcBorders>
            <w:shd w:val="clear" w:color="auto" w:fill="auto"/>
            <w:vAlign w:val="center"/>
          </w:tcPr>
          <w:p w14:paraId="4FA50B22"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c>
          <w:tcPr>
            <w:tcW w:w="3260" w:type="dxa"/>
            <w:tcBorders>
              <w:top w:val="nil"/>
              <w:left w:val="nil"/>
              <w:bottom w:val="nil"/>
              <w:right w:val="nil"/>
            </w:tcBorders>
            <w:shd w:val="clear" w:color="auto" w:fill="auto"/>
            <w:vAlign w:val="center"/>
          </w:tcPr>
          <w:p w14:paraId="09A8F9F6"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p>
        </w:tc>
      </w:tr>
      <w:tr w:rsidR="006A362F" w:rsidRPr="00824585" w14:paraId="56F0AF4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4487E8D" w14:textId="77777777" w:rsidR="006A362F" w:rsidRPr="00824585" w:rsidRDefault="006A362F" w:rsidP="006928A6">
            <w:pPr>
              <w:keepNext/>
              <w:keepLines/>
              <w:spacing w:before="40" w:after="40"/>
              <w:rPr>
                <w:rFonts w:cs="Arial"/>
                <w:sz w:val="14"/>
                <w:szCs w:val="14"/>
                <w:highlight w:val="yellow"/>
              </w:rPr>
            </w:pPr>
            <w:r>
              <w:rPr>
                <w:rFonts w:cs="Arial"/>
                <w:color w:val="000000"/>
                <w:sz w:val="14"/>
                <w:szCs w:val="14"/>
              </w:rPr>
              <w:t>Current Liabilities</w:t>
            </w:r>
          </w:p>
        </w:tc>
        <w:tc>
          <w:tcPr>
            <w:tcW w:w="3260" w:type="dxa"/>
            <w:tcBorders>
              <w:top w:val="nil"/>
              <w:left w:val="nil"/>
              <w:bottom w:val="nil"/>
              <w:right w:val="nil"/>
            </w:tcBorders>
            <w:shd w:val="clear" w:color="auto" w:fill="auto"/>
            <w:vAlign w:val="center"/>
          </w:tcPr>
          <w:p w14:paraId="1C2BE149"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26</w:t>
            </w:r>
            <w:r>
              <w:rPr>
                <w:rFonts w:cs="Arial"/>
                <w:b/>
                <w:bCs/>
                <w:color w:val="000000"/>
                <w:sz w:val="14"/>
                <w:szCs w:val="14"/>
              </w:rPr>
              <w:t>,</w:t>
            </w:r>
            <w:r w:rsidRPr="00824585">
              <w:rPr>
                <w:rFonts w:cs="Arial"/>
                <w:b/>
                <w:bCs/>
                <w:color w:val="000000"/>
                <w:sz w:val="14"/>
                <w:szCs w:val="14"/>
              </w:rPr>
              <w:t xml:space="preserve">191 </w:t>
            </w:r>
          </w:p>
        </w:tc>
        <w:tc>
          <w:tcPr>
            <w:tcW w:w="3260" w:type="dxa"/>
            <w:tcBorders>
              <w:top w:val="nil"/>
              <w:left w:val="nil"/>
              <w:bottom w:val="nil"/>
              <w:right w:val="nil"/>
            </w:tcBorders>
            <w:shd w:val="clear" w:color="auto" w:fill="auto"/>
            <w:vAlign w:val="center"/>
          </w:tcPr>
          <w:p w14:paraId="5A6E5CF3"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26</w:t>
            </w:r>
            <w:r>
              <w:rPr>
                <w:rFonts w:cs="Arial"/>
                <w:b/>
                <w:bCs/>
                <w:color w:val="000000"/>
                <w:sz w:val="14"/>
                <w:szCs w:val="14"/>
              </w:rPr>
              <w:t>,</w:t>
            </w:r>
            <w:r w:rsidRPr="00824585">
              <w:rPr>
                <w:rFonts w:cs="Arial"/>
                <w:b/>
                <w:bCs/>
                <w:color w:val="000000"/>
                <w:sz w:val="14"/>
                <w:szCs w:val="14"/>
              </w:rPr>
              <w:t xml:space="preserve">628 </w:t>
            </w:r>
          </w:p>
        </w:tc>
      </w:tr>
      <w:tr w:rsidR="006A362F" w:rsidRPr="003361C0" w14:paraId="0B86E82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A81A1FE" w14:textId="77777777" w:rsidR="006A362F" w:rsidRPr="00824585" w:rsidRDefault="006A362F" w:rsidP="006928A6">
            <w:pPr>
              <w:keepNext/>
              <w:keepLines/>
              <w:ind w:left="113"/>
              <w:rPr>
                <w:rFonts w:cs="Arial"/>
                <w:b w:val="0"/>
                <w:bCs w:val="0"/>
                <w:color w:val="000000"/>
                <w:sz w:val="14"/>
                <w:szCs w:val="14"/>
              </w:rPr>
            </w:pPr>
            <w:r w:rsidRPr="00D078AA">
              <w:rPr>
                <w:rFonts w:cs="Arial"/>
                <w:b w:val="0"/>
                <w:bCs w:val="0"/>
                <w:color w:val="000000"/>
                <w:sz w:val="14"/>
                <w:szCs w:val="14"/>
              </w:rPr>
              <w:t>Amounts payable</w:t>
            </w:r>
          </w:p>
        </w:tc>
        <w:tc>
          <w:tcPr>
            <w:tcW w:w="3260" w:type="dxa"/>
            <w:tcBorders>
              <w:top w:val="nil"/>
              <w:left w:val="nil"/>
              <w:bottom w:val="nil"/>
              <w:right w:val="nil"/>
            </w:tcBorders>
            <w:shd w:val="clear" w:color="auto" w:fill="auto"/>
            <w:vAlign w:val="center"/>
          </w:tcPr>
          <w:p w14:paraId="0A306DA3"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3</w:t>
            </w:r>
            <w:r>
              <w:rPr>
                <w:rFonts w:cs="Arial"/>
                <w:color w:val="000000"/>
                <w:sz w:val="14"/>
                <w:szCs w:val="14"/>
              </w:rPr>
              <w:t>,</w:t>
            </w:r>
            <w:r w:rsidRPr="003361C0">
              <w:rPr>
                <w:rFonts w:cs="Arial"/>
                <w:color w:val="000000"/>
                <w:sz w:val="14"/>
                <w:szCs w:val="14"/>
              </w:rPr>
              <w:t xml:space="preserve">981 </w:t>
            </w:r>
          </w:p>
        </w:tc>
        <w:tc>
          <w:tcPr>
            <w:tcW w:w="3260" w:type="dxa"/>
            <w:tcBorders>
              <w:top w:val="nil"/>
              <w:left w:val="nil"/>
              <w:bottom w:val="nil"/>
              <w:right w:val="nil"/>
            </w:tcBorders>
            <w:shd w:val="clear" w:color="auto" w:fill="auto"/>
            <w:vAlign w:val="center"/>
          </w:tcPr>
          <w:p w14:paraId="7EEAA9F4"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3</w:t>
            </w:r>
            <w:r>
              <w:rPr>
                <w:rFonts w:cs="Arial"/>
                <w:color w:val="000000"/>
                <w:sz w:val="14"/>
                <w:szCs w:val="14"/>
              </w:rPr>
              <w:t>,</w:t>
            </w:r>
            <w:r w:rsidRPr="003361C0">
              <w:rPr>
                <w:rFonts w:cs="Arial"/>
                <w:color w:val="000000"/>
                <w:sz w:val="14"/>
                <w:szCs w:val="14"/>
              </w:rPr>
              <w:t xml:space="preserve">411 </w:t>
            </w:r>
          </w:p>
        </w:tc>
      </w:tr>
      <w:tr w:rsidR="006A362F" w:rsidRPr="003361C0" w14:paraId="0072F785"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18428CE" w14:textId="77777777" w:rsidR="006A362F" w:rsidRPr="00824585" w:rsidRDefault="006A362F" w:rsidP="006928A6">
            <w:pPr>
              <w:keepNext/>
              <w:keepLines/>
              <w:ind w:left="113"/>
              <w:rPr>
                <w:rFonts w:cs="Arial"/>
                <w:b w:val="0"/>
                <w:bCs w:val="0"/>
                <w:color w:val="000000"/>
                <w:sz w:val="14"/>
                <w:szCs w:val="14"/>
              </w:rPr>
            </w:pPr>
            <w:r>
              <w:rPr>
                <w:rFonts w:cs="Arial"/>
                <w:b w:val="0"/>
                <w:bCs w:val="0"/>
                <w:color w:val="000000"/>
                <w:sz w:val="14"/>
                <w:szCs w:val="14"/>
              </w:rPr>
              <w:t>C</w:t>
            </w:r>
            <w:r w:rsidRPr="00D078AA">
              <w:rPr>
                <w:rFonts w:cs="Arial"/>
                <w:b w:val="0"/>
                <w:bCs w:val="0"/>
                <w:color w:val="000000"/>
                <w:sz w:val="14"/>
                <w:szCs w:val="14"/>
              </w:rPr>
              <w:t>urrent tax liability</w:t>
            </w:r>
          </w:p>
        </w:tc>
        <w:tc>
          <w:tcPr>
            <w:tcW w:w="3260" w:type="dxa"/>
            <w:tcBorders>
              <w:top w:val="nil"/>
              <w:left w:val="nil"/>
              <w:bottom w:val="nil"/>
              <w:right w:val="nil"/>
            </w:tcBorders>
            <w:shd w:val="clear" w:color="auto" w:fill="auto"/>
            <w:vAlign w:val="center"/>
          </w:tcPr>
          <w:p w14:paraId="561E597A"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1</w:t>
            </w:r>
            <w:r>
              <w:rPr>
                <w:rFonts w:cs="Arial"/>
                <w:color w:val="000000"/>
                <w:sz w:val="14"/>
                <w:szCs w:val="14"/>
              </w:rPr>
              <w:t>,</w:t>
            </w:r>
            <w:r w:rsidRPr="003361C0">
              <w:rPr>
                <w:rFonts w:cs="Arial"/>
                <w:color w:val="000000"/>
                <w:sz w:val="14"/>
                <w:szCs w:val="14"/>
              </w:rPr>
              <w:t xml:space="preserve">869 </w:t>
            </w:r>
          </w:p>
        </w:tc>
        <w:tc>
          <w:tcPr>
            <w:tcW w:w="3260" w:type="dxa"/>
            <w:tcBorders>
              <w:top w:val="nil"/>
              <w:left w:val="nil"/>
              <w:bottom w:val="nil"/>
              <w:right w:val="nil"/>
            </w:tcBorders>
            <w:shd w:val="clear" w:color="auto" w:fill="auto"/>
            <w:vAlign w:val="center"/>
          </w:tcPr>
          <w:p w14:paraId="655B73B6"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w:t>
            </w:r>
            <w:r>
              <w:rPr>
                <w:rFonts w:cs="Arial"/>
                <w:color w:val="000000"/>
                <w:sz w:val="14"/>
                <w:szCs w:val="14"/>
              </w:rPr>
              <w:t>,</w:t>
            </w:r>
            <w:r w:rsidRPr="003361C0">
              <w:rPr>
                <w:rFonts w:cs="Arial"/>
                <w:color w:val="000000"/>
                <w:sz w:val="14"/>
                <w:szCs w:val="14"/>
              </w:rPr>
              <w:t xml:space="preserve">219 </w:t>
            </w:r>
          </w:p>
        </w:tc>
      </w:tr>
      <w:tr w:rsidR="006A362F" w:rsidRPr="003361C0" w14:paraId="44C1287B"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8E5A18" w14:textId="77777777" w:rsidR="006A362F" w:rsidRPr="00824585" w:rsidRDefault="006A362F" w:rsidP="006928A6">
            <w:pPr>
              <w:keepNext/>
              <w:keepLines/>
              <w:ind w:left="113"/>
              <w:rPr>
                <w:rFonts w:cs="Arial"/>
                <w:b w:val="0"/>
                <w:bCs w:val="0"/>
                <w:color w:val="000000"/>
                <w:sz w:val="14"/>
                <w:szCs w:val="14"/>
              </w:rPr>
            </w:pPr>
            <w:r w:rsidRPr="00D078AA">
              <w:rPr>
                <w:rFonts w:cs="Arial"/>
                <w:b w:val="0"/>
                <w:bCs w:val="0"/>
                <w:color w:val="000000"/>
                <w:sz w:val="14"/>
                <w:szCs w:val="14"/>
              </w:rPr>
              <w:t>Debt from insurance operations</w:t>
            </w:r>
          </w:p>
        </w:tc>
        <w:tc>
          <w:tcPr>
            <w:tcW w:w="3260" w:type="dxa"/>
            <w:tcBorders>
              <w:top w:val="nil"/>
              <w:left w:val="nil"/>
              <w:bottom w:val="nil"/>
              <w:right w:val="nil"/>
            </w:tcBorders>
            <w:shd w:val="clear" w:color="auto" w:fill="auto"/>
            <w:vAlign w:val="center"/>
          </w:tcPr>
          <w:p w14:paraId="51232E13"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44 </w:t>
            </w:r>
          </w:p>
        </w:tc>
        <w:tc>
          <w:tcPr>
            <w:tcW w:w="3260" w:type="dxa"/>
            <w:tcBorders>
              <w:top w:val="nil"/>
              <w:left w:val="nil"/>
              <w:bottom w:val="nil"/>
              <w:right w:val="nil"/>
            </w:tcBorders>
            <w:shd w:val="clear" w:color="auto" w:fill="auto"/>
            <w:vAlign w:val="center"/>
          </w:tcPr>
          <w:p w14:paraId="4DAB6EA9"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57 </w:t>
            </w:r>
          </w:p>
        </w:tc>
      </w:tr>
      <w:tr w:rsidR="006A362F" w:rsidRPr="003361C0" w14:paraId="6CAA1A8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3ABD6B" w14:textId="77777777" w:rsidR="006A362F" w:rsidRPr="00824585" w:rsidRDefault="006A362F" w:rsidP="006928A6">
            <w:pPr>
              <w:keepNext/>
              <w:keepLines/>
              <w:ind w:left="113"/>
              <w:rPr>
                <w:rFonts w:cs="Arial"/>
                <w:b w:val="0"/>
                <w:bCs w:val="0"/>
                <w:color w:val="000000"/>
                <w:sz w:val="14"/>
                <w:szCs w:val="14"/>
              </w:rPr>
            </w:pPr>
            <w:r w:rsidRPr="00D078AA">
              <w:rPr>
                <w:rFonts w:cs="Arial"/>
                <w:b w:val="0"/>
                <w:bCs w:val="0"/>
                <w:color w:val="000000"/>
                <w:sz w:val="14"/>
                <w:szCs w:val="14"/>
              </w:rPr>
              <w:t>Insurance Contract</w:t>
            </w:r>
          </w:p>
        </w:tc>
        <w:tc>
          <w:tcPr>
            <w:tcW w:w="3260" w:type="dxa"/>
            <w:tcBorders>
              <w:top w:val="nil"/>
              <w:left w:val="nil"/>
              <w:bottom w:val="nil"/>
              <w:right w:val="nil"/>
            </w:tcBorders>
            <w:shd w:val="clear" w:color="auto" w:fill="auto"/>
            <w:vAlign w:val="center"/>
          </w:tcPr>
          <w:p w14:paraId="05817755"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20</w:t>
            </w:r>
            <w:r>
              <w:rPr>
                <w:rFonts w:cs="Arial"/>
                <w:color w:val="000000"/>
                <w:sz w:val="14"/>
                <w:szCs w:val="14"/>
              </w:rPr>
              <w:t>,</w:t>
            </w:r>
            <w:r w:rsidRPr="003361C0">
              <w:rPr>
                <w:rFonts w:cs="Arial"/>
                <w:color w:val="000000"/>
                <w:sz w:val="14"/>
                <w:szCs w:val="14"/>
              </w:rPr>
              <w:t xml:space="preserve">129 </w:t>
            </w:r>
          </w:p>
        </w:tc>
        <w:tc>
          <w:tcPr>
            <w:tcW w:w="3260" w:type="dxa"/>
            <w:tcBorders>
              <w:top w:val="nil"/>
              <w:left w:val="nil"/>
              <w:bottom w:val="nil"/>
              <w:right w:val="nil"/>
            </w:tcBorders>
            <w:shd w:val="clear" w:color="auto" w:fill="auto"/>
            <w:vAlign w:val="center"/>
          </w:tcPr>
          <w:p w14:paraId="52CBB9F7"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3361C0">
              <w:rPr>
                <w:rFonts w:cs="Arial"/>
                <w:color w:val="000000"/>
                <w:sz w:val="14"/>
                <w:szCs w:val="14"/>
              </w:rPr>
              <w:t xml:space="preserve">         20</w:t>
            </w:r>
            <w:r>
              <w:rPr>
                <w:rFonts w:cs="Arial"/>
                <w:color w:val="000000"/>
                <w:sz w:val="14"/>
                <w:szCs w:val="14"/>
              </w:rPr>
              <w:t>,</w:t>
            </w:r>
            <w:r w:rsidRPr="003361C0">
              <w:rPr>
                <w:rFonts w:cs="Arial"/>
                <w:color w:val="000000"/>
                <w:sz w:val="14"/>
                <w:szCs w:val="14"/>
              </w:rPr>
              <w:t xml:space="preserve">773 </w:t>
            </w:r>
          </w:p>
        </w:tc>
      </w:tr>
      <w:tr w:rsidR="006A362F" w:rsidRPr="003361C0" w14:paraId="4E7F630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4C7EF00" w14:textId="77777777" w:rsidR="006A362F" w:rsidRPr="00824585" w:rsidRDefault="006A362F" w:rsidP="006928A6">
            <w:pPr>
              <w:keepNext/>
              <w:keepLines/>
              <w:ind w:left="113"/>
              <w:rPr>
                <w:rFonts w:cs="Arial"/>
                <w:b w:val="0"/>
                <w:bCs w:val="0"/>
                <w:color w:val="000000"/>
                <w:sz w:val="14"/>
                <w:szCs w:val="14"/>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1528C3EB"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168 </w:t>
            </w:r>
          </w:p>
        </w:tc>
        <w:tc>
          <w:tcPr>
            <w:tcW w:w="3260" w:type="dxa"/>
            <w:tcBorders>
              <w:top w:val="nil"/>
              <w:left w:val="nil"/>
              <w:bottom w:val="nil"/>
              <w:right w:val="nil"/>
            </w:tcBorders>
            <w:shd w:val="clear" w:color="auto" w:fill="auto"/>
            <w:vAlign w:val="center"/>
          </w:tcPr>
          <w:p w14:paraId="57F0DDF2" w14:textId="77777777" w:rsidR="006A362F" w:rsidRPr="003361C0"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3361C0">
              <w:rPr>
                <w:rFonts w:cs="Arial"/>
                <w:color w:val="000000"/>
                <w:sz w:val="14"/>
                <w:szCs w:val="14"/>
              </w:rPr>
              <w:t xml:space="preserve">             168 </w:t>
            </w:r>
          </w:p>
        </w:tc>
      </w:tr>
      <w:tr w:rsidR="006A362F" w:rsidRPr="00824585" w14:paraId="7DE4C8F6"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061241" w14:textId="77777777" w:rsidR="006A362F" w:rsidRPr="00824585" w:rsidRDefault="006A362F" w:rsidP="006928A6">
            <w:pPr>
              <w:keepNext/>
              <w:keepLines/>
              <w:spacing w:before="40" w:after="40"/>
              <w:rPr>
                <w:rFonts w:cs="Arial"/>
                <w:sz w:val="14"/>
                <w:szCs w:val="14"/>
                <w:highlight w:val="yellow"/>
              </w:rPr>
            </w:pPr>
            <w:r>
              <w:rPr>
                <w:rFonts w:cs="Arial"/>
                <w:color w:val="000000"/>
                <w:sz w:val="14"/>
                <w:szCs w:val="14"/>
              </w:rPr>
              <w:t>Non-Current Liabilities</w:t>
            </w:r>
          </w:p>
        </w:tc>
        <w:tc>
          <w:tcPr>
            <w:tcW w:w="3260" w:type="dxa"/>
            <w:tcBorders>
              <w:top w:val="nil"/>
              <w:left w:val="nil"/>
              <w:bottom w:val="nil"/>
              <w:right w:val="nil"/>
            </w:tcBorders>
            <w:shd w:val="clear" w:color="auto" w:fill="auto"/>
            <w:vAlign w:val="center"/>
          </w:tcPr>
          <w:p w14:paraId="6BF708E0"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389 </w:t>
            </w:r>
          </w:p>
        </w:tc>
        <w:tc>
          <w:tcPr>
            <w:tcW w:w="3260" w:type="dxa"/>
            <w:tcBorders>
              <w:top w:val="nil"/>
              <w:left w:val="nil"/>
              <w:bottom w:val="nil"/>
              <w:right w:val="nil"/>
            </w:tcBorders>
            <w:shd w:val="clear" w:color="auto" w:fill="auto"/>
            <w:vAlign w:val="center"/>
          </w:tcPr>
          <w:p w14:paraId="7F1C5B3A"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251 </w:t>
            </w:r>
          </w:p>
        </w:tc>
      </w:tr>
      <w:tr w:rsidR="006A362F" w:rsidRPr="00824585" w14:paraId="1FA5C2B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FE802D" w14:textId="77777777" w:rsidR="006A362F" w:rsidRPr="00824585" w:rsidRDefault="006A362F" w:rsidP="006928A6">
            <w:pPr>
              <w:keepNext/>
              <w:keepLines/>
              <w:ind w:left="113"/>
              <w:rPr>
                <w:rFonts w:cs="Arial"/>
                <w:b w:val="0"/>
                <w:bCs w:val="0"/>
                <w:sz w:val="14"/>
                <w:szCs w:val="14"/>
                <w:highlight w:val="yellow"/>
              </w:rPr>
            </w:pPr>
            <w:r>
              <w:rPr>
                <w:rFonts w:cs="Arial"/>
                <w:b w:val="0"/>
                <w:bCs w:val="0"/>
                <w:color w:val="000000"/>
                <w:sz w:val="14"/>
                <w:szCs w:val="14"/>
              </w:rPr>
              <w:t>Other liabilities</w:t>
            </w:r>
          </w:p>
        </w:tc>
        <w:tc>
          <w:tcPr>
            <w:tcW w:w="3260" w:type="dxa"/>
            <w:tcBorders>
              <w:top w:val="nil"/>
              <w:left w:val="nil"/>
              <w:bottom w:val="nil"/>
              <w:right w:val="nil"/>
            </w:tcBorders>
            <w:shd w:val="clear" w:color="auto" w:fill="auto"/>
            <w:vAlign w:val="center"/>
          </w:tcPr>
          <w:p w14:paraId="5A880D19"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24585">
              <w:rPr>
                <w:rFonts w:cs="Arial"/>
                <w:color w:val="000000"/>
                <w:sz w:val="14"/>
                <w:szCs w:val="14"/>
              </w:rPr>
              <w:t xml:space="preserve">                  389 </w:t>
            </w:r>
          </w:p>
        </w:tc>
        <w:tc>
          <w:tcPr>
            <w:tcW w:w="3260" w:type="dxa"/>
            <w:tcBorders>
              <w:top w:val="nil"/>
              <w:left w:val="nil"/>
              <w:bottom w:val="nil"/>
              <w:right w:val="nil"/>
            </w:tcBorders>
            <w:shd w:val="clear" w:color="auto" w:fill="auto"/>
            <w:vAlign w:val="center"/>
          </w:tcPr>
          <w:p w14:paraId="306B4E40"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824585">
              <w:rPr>
                <w:rFonts w:cs="Arial"/>
                <w:color w:val="000000"/>
                <w:sz w:val="14"/>
                <w:szCs w:val="14"/>
              </w:rPr>
              <w:t xml:space="preserve">             251 </w:t>
            </w:r>
          </w:p>
        </w:tc>
      </w:tr>
      <w:tr w:rsidR="006A362F" w:rsidRPr="00824585" w14:paraId="3FB54E1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2CD687" w14:textId="77777777" w:rsidR="006A362F" w:rsidRPr="00824585" w:rsidRDefault="006A362F" w:rsidP="006928A6">
            <w:pPr>
              <w:keepNext/>
              <w:keepLines/>
              <w:spacing w:before="40" w:after="40"/>
              <w:rPr>
                <w:rFonts w:cs="Arial"/>
                <w:sz w:val="14"/>
                <w:szCs w:val="14"/>
                <w:highlight w:val="yellow"/>
              </w:rPr>
            </w:pPr>
            <w:r>
              <w:rPr>
                <w:rFonts w:cs="Arial"/>
                <w:color w:val="000000"/>
                <w:sz w:val="14"/>
                <w:szCs w:val="14"/>
              </w:rPr>
              <w:t>Equity</w:t>
            </w:r>
          </w:p>
        </w:tc>
        <w:tc>
          <w:tcPr>
            <w:tcW w:w="3260" w:type="dxa"/>
            <w:tcBorders>
              <w:top w:val="nil"/>
              <w:left w:val="nil"/>
              <w:bottom w:val="nil"/>
              <w:right w:val="nil"/>
            </w:tcBorders>
            <w:shd w:val="clear" w:color="auto" w:fill="auto"/>
            <w:vAlign w:val="center"/>
          </w:tcPr>
          <w:p w14:paraId="142EDB47"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26</w:t>
            </w:r>
            <w:r>
              <w:rPr>
                <w:rFonts w:cs="Arial"/>
                <w:b/>
                <w:bCs/>
                <w:color w:val="000000"/>
                <w:sz w:val="14"/>
                <w:szCs w:val="14"/>
              </w:rPr>
              <w:t>,</w:t>
            </w:r>
            <w:r w:rsidRPr="00824585">
              <w:rPr>
                <w:rFonts w:cs="Arial"/>
                <w:b/>
                <w:bCs/>
                <w:color w:val="000000"/>
                <w:sz w:val="14"/>
                <w:szCs w:val="14"/>
              </w:rPr>
              <w:t xml:space="preserve">540 </w:t>
            </w:r>
          </w:p>
        </w:tc>
        <w:tc>
          <w:tcPr>
            <w:tcW w:w="3260" w:type="dxa"/>
            <w:tcBorders>
              <w:top w:val="nil"/>
              <w:left w:val="nil"/>
              <w:bottom w:val="nil"/>
              <w:right w:val="nil"/>
            </w:tcBorders>
            <w:shd w:val="clear" w:color="auto" w:fill="auto"/>
            <w:vAlign w:val="center"/>
          </w:tcPr>
          <w:p w14:paraId="649EEB49"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21</w:t>
            </w:r>
            <w:r>
              <w:rPr>
                <w:rFonts w:cs="Arial"/>
                <w:b/>
                <w:bCs/>
                <w:color w:val="000000"/>
                <w:sz w:val="14"/>
                <w:szCs w:val="14"/>
              </w:rPr>
              <w:t>,</w:t>
            </w:r>
            <w:r w:rsidRPr="00824585">
              <w:rPr>
                <w:rFonts w:cs="Arial"/>
                <w:b/>
                <w:bCs/>
                <w:color w:val="000000"/>
                <w:sz w:val="14"/>
                <w:szCs w:val="14"/>
              </w:rPr>
              <w:t xml:space="preserve">992 </w:t>
            </w:r>
          </w:p>
        </w:tc>
      </w:tr>
      <w:tr w:rsidR="006A362F" w:rsidRPr="003361C0" w14:paraId="303B519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8100BA" w14:textId="77777777" w:rsidR="006A362F" w:rsidRPr="00080F19" w:rsidRDefault="006A362F" w:rsidP="006928A6">
            <w:pPr>
              <w:keepNext/>
              <w:keepLines/>
              <w:ind w:left="113"/>
              <w:rPr>
                <w:rFonts w:cs="Arial"/>
                <w:b w:val="0"/>
                <w:bCs w:val="0"/>
                <w:color w:val="000000"/>
                <w:sz w:val="14"/>
                <w:szCs w:val="14"/>
              </w:rPr>
            </w:pPr>
            <w:r>
              <w:rPr>
                <w:rFonts w:cs="Arial"/>
                <w:b w:val="0"/>
                <w:bCs w:val="0"/>
                <w:color w:val="000000"/>
                <w:sz w:val="14"/>
                <w:szCs w:val="14"/>
              </w:rPr>
              <w:t>Capital and reserves</w:t>
            </w:r>
          </w:p>
        </w:tc>
        <w:tc>
          <w:tcPr>
            <w:tcW w:w="3260" w:type="dxa"/>
            <w:tcBorders>
              <w:top w:val="nil"/>
              <w:left w:val="nil"/>
              <w:bottom w:val="nil"/>
              <w:right w:val="nil"/>
            </w:tcBorders>
            <w:shd w:val="clear" w:color="auto" w:fill="auto"/>
            <w:vAlign w:val="center"/>
          </w:tcPr>
          <w:p w14:paraId="5505A088" w14:textId="77777777" w:rsidR="006A362F" w:rsidRPr="00080F19"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 xml:space="preserve">             28</w:t>
            </w:r>
            <w:r>
              <w:rPr>
                <w:rFonts w:cs="Arial"/>
                <w:color w:val="000000"/>
                <w:sz w:val="14"/>
                <w:szCs w:val="14"/>
              </w:rPr>
              <w:t>,</w:t>
            </w:r>
            <w:r w:rsidRPr="00080F19">
              <w:rPr>
                <w:rFonts w:cs="Arial"/>
                <w:color w:val="000000"/>
                <w:sz w:val="14"/>
                <w:szCs w:val="14"/>
              </w:rPr>
              <w:t xml:space="preserve">644 </w:t>
            </w:r>
          </w:p>
        </w:tc>
        <w:tc>
          <w:tcPr>
            <w:tcW w:w="3260" w:type="dxa"/>
            <w:tcBorders>
              <w:top w:val="nil"/>
              <w:left w:val="nil"/>
              <w:bottom w:val="nil"/>
              <w:right w:val="nil"/>
            </w:tcBorders>
            <w:shd w:val="clear" w:color="auto" w:fill="auto"/>
            <w:vAlign w:val="center"/>
          </w:tcPr>
          <w:p w14:paraId="53EC6DC0" w14:textId="77777777" w:rsidR="006A362F" w:rsidRPr="00080F19"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080F19">
              <w:rPr>
                <w:rFonts w:cs="Arial"/>
                <w:color w:val="000000"/>
                <w:sz w:val="14"/>
                <w:szCs w:val="14"/>
              </w:rPr>
              <w:t xml:space="preserve">         28</w:t>
            </w:r>
            <w:r>
              <w:rPr>
                <w:rFonts w:cs="Arial"/>
                <w:color w:val="000000"/>
                <w:sz w:val="14"/>
                <w:szCs w:val="14"/>
              </w:rPr>
              <w:t>,</w:t>
            </w:r>
            <w:r w:rsidRPr="00080F19">
              <w:rPr>
                <w:rFonts w:cs="Arial"/>
                <w:color w:val="000000"/>
                <w:sz w:val="14"/>
                <w:szCs w:val="14"/>
              </w:rPr>
              <w:t xml:space="preserve">644 </w:t>
            </w:r>
          </w:p>
        </w:tc>
      </w:tr>
      <w:tr w:rsidR="006A362F" w:rsidRPr="003361C0" w14:paraId="00AE202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EB6DF54" w14:textId="77777777" w:rsidR="006A362F" w:rsidRPr="00080F19" w:rsidRDefault="006A362F" w:rsidP="006928A6">
            <w:pPr>
              <w:keepNext/>
              <w:keepLines/>
              <w:ind w:left="113"/>
              <w:rPr>
                <w:rFonts w:cs="Arial"/>
                <w:b w:val="0"/>
                <w:bCs w:val="0"/>
                <w:color w:val="000000"/>
                <w:sz w:val="14"/>
                <w:szCs w:val="14"/>
              </w:rPr>
            </w:pPr>
            <w:r w:rsidRPr="00D078AA">
              <w:rPr>
                <w:rFonts w:cs="Arial"/>
                <w:b w:val="0"/>
                <w:bCs w:val="0"/>
                <w:color w:val="000000"/>
                <w:sz w:val="14"/>
                <w:szCs w:val="14"/>
              </w:rPr>
              <w:t>Accumulated losses</w:t>
            </w:r>
          </w:p>
        </w:tc>
        <w:tc>
          <w:tcPr>
            <w:tcW w:w="3260" w:type="dxa"/>
            <w:tcBorders>
              <w:top w:val="nil"/>
              <w:left w:val="nil"/>
              <w:bottom w:val="nil"/>
              <w:right w:val="nil"/>
            </w:tcBorders>
            <w:shd w:val="clear" w:color="auto" w:fill="auto"/>
          </w:tcPr>
          <w:p w14:paraId="78A29DE9" w14:textId="77777777" w:rsidR="006A362F" w:rsidRPr="00080F19"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80F19">
              <w:rPr>
                <w:rFonts w:cs="Arial"/>
                <w:sz w:val="14"/>
                <w:szCs w:val="14"/>
              </w:rPr>
              <w:t xml:space="preserve"> (2</w:t>
            </w:r>
            <w:r>
              <w:rPr>
                <w:rFonts w:cs="Arial"/>
                <w:sz w:val="14"/>
                <w:szCs w:val="14"/>
              </w:rPr>
              <w:t>,</w:t>
            </w:r>
            <w:r w:rsidRPr="00080F19">
              <w:rPr>
                <w:rFonts w:cs="Arial"/>
                <w:sz w:val="14"/>
                <w:szCs w:val="14"/>
              </w:rPr>
              <w:t>405)</w:t>
            </w:r>
          </w:p>
        </w:tc>
        <w:tc>
          <w:tcPr>
            <w:tcW w:w="3260" w:type="dxa"/>
            <w:tcBorders>
              <w:top w:val="nil"/>
              <w:left w:val="nil"/>
              <w:bottom w:val="nil"/>
              <w:right w:val="nil"/>
            </w:tcBorders>
            <w:shd w:val="clear" w:color="auto" w:fill="auto"/>
          </w:tcPr>
          <w:p w14:paraId="1190F25A" w14:textId="77777777" w:rsidR="006A362F" w:rsidRPr="00080F19"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080F19">
              <w:rPr>
                <w:rFonts w:cs="Arial"/>
                <w:sz w:val="14"/>
                <w:szCs w:val="14"/>
              </w:rPr>
              <w:t xml:space="preserve"> (6</w:t>
            </w:r>
            <w:r>
              <w:rPr>
                <w:rFonts w:cs="Arial"/>
                <w:sz w:val="14"/>
                <w:szCs w:val="14"/>
              </w:rPr>
              <w:t>,</w:t>
            </w:r>
            <w:r w:rsidRPr="00080F19">
              <w:rPr>
                <w:rFonts w:cs="Arial"/>
                <w:sz w:val="14"/>
                <w:szCs w:val="14"/>
              </w:rPr>
              <w:t>716)</w:t>
            </w:r>
          </w:p>
        </w:tc>
      </w:tr>
      <w:tr w:rsidR="006A362F" w:rsidRPr="003361C0" w14:paraId="4A7BEA4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14D150" w14:textId="77777777" w:rsidR="006A362F" w:rsidRPr="00080F19" w:rsidRDefault="006A362F" w:rsidP="006928A6">
            <w:pPr>
              <w:keepNext/>
              <w:keepLines/>
              <w:ind w:left="113"/>
              <w:rPr>
                <w:rFonts w:cs="Arial"/>
                <w:b w:val="0"/>
                <w:bCs w:val="0"/>
                <w:color w:val="000000"/>
                <w:sz w:val="14"/>
                <w:szCs w:val="14"/>
              </w:rPr>
            </w:pPr>
            <w:r>
              <w:rPr>
                <w:rFonts w:cs="Arial"/>
                <w:b w:val="0"/>
                <w:bCs w:val="0"/>
                <w:color w:val="000000"/>
                <w:sz w:val="14"/>
                <w:szCs w:val="14"/>
              </w:rPr>
              <w:t>Other comprehensive results</w:t>
            </w:r>
          </w:p>
        </w:tc>
        <w:tc>
          <w:tcPr>
            <w:tcW w:w="3260" w:type="dxa"/>
            <w:tcBorders>
              <w:top w:val="nil"/>
              <w:left w:val="nil"/>
              <w:bottom w:val="nil"/>
              <w:right w:val="nil"/>
            </w:tcBorders>
            <w:shd w:val="clear" w:color="auto" w:fill="auto"/>
          </w:tcPr>
          <w:p w14:paraId="40AEACAD" w14:textId="77777777" w:rsidR="006A362F" w:rsidRPr="00080F19"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80F19">
              <w:rPr>
                <w:rFonts w:cs="Arial"/>
                <w:sz w:val="14"/>
                <w:szCs w:val="14"/>
              </w:rPr>
              <w:t xml:space="preserve"> 301 </w:t>
            </w:r>
          </w:p>
        </w:tc>
        <w:tc>
          <w:tcPr>
            <w:tcW w:w="3260" w:type="dxa"/>
            <w:tcBorders>
              <w:top w:val="nil"/>
              <w:left w:val="nil"/>
              <w:bottom w:val="nil"/>
              <w:right w:val="nil"/>
            </w:tcBorders>
            <w:shd w:val="clear" w:color="auto" w:fill="auto"/>
          </w:tcPr>
          <w:p w14:paraId="08233A30" w14:textId="77777777" w:rsidR="006A362F" w:rsidRPr="00080F19"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sidRPr="00080F19">
              <w:rPr>
                <w:rFonts w:cs="Arial"/>
                <w:sz w:val="14"/>
                <w:szCs w:val="14"/>
              </w:rPr>
              <w:t xml:space="preserve"> 64 </w:t>
            </w:r>
          </w:p>
        </w:tc>
      </w:tr>
      <w:tr w:rsidR="006A362F" w:rsidRPr="00824585" w14:paraId="31F2DC6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D6768A" w14:textId="77777777" w:rsidR="006A362F" w:rsidRPr="00824585" w:rsidRDefault="006A362F" w:rsidP="006928A6">
            <w:pPr>
              <w:keepNext/>
              <w:keepLines/>
              <w:spacing w:before="40" w:after="40"/>
              <w:rPr>
                <w:rFonts w:eastAsia="Times New Roman" w:cs="Arial"/>
                <w:spacing w:val="-2"/>
                <w:sz w:val="14"/>
                <w:szCs w:val="14"/>
                <w:highlight w:val="yellow"/>
              </w:rPr>
            </w:pPr>
            <w:r>
              <w:rPr>
                <w:rFonts w:cs="Arial"/>
                <w:color w:val="000000"/>
                <w:sz w:val="14"/>
                <w:szCs w:val="14"/>
              </w:rPr>
              <w:t>L</w:t>
            </w:r>
            <w:r w:rsidRPr="00C453A1">
              <w:rPr>
                <w:rFonts w:cs="Arial"/>
                <w:color w:val="000000"/>
                <w:sz w:val="14"/>
                <w:szCs w:val="14"/>
              </w:rPr>
              <w:t xml:space="preserve">iabilities </w:t>
            </w:r>
            <w:r>
              <w:rPr>
                <w:rFonts w:cs="Arial"/>
                <w:color w:val="000000"/>
                <w:sz w:val="14"/>
                <w:szCs w:val="14"/>
              </w:rPr>
              <w:t>and</w:t>
            </w:r>
            <w:r w:rsidRPr="00824585">
              <w:rPr>
                <w:rFonts w:cs="Arial"/>
                <w:color w:val="000000"/>
                <w:sz w:val="14"/>
                <w:szCs w:val="14"/>
              </w:rPr>
              <w:t xml:space="preserve"> </w:t>
            </w:r>
            <w:r>
              <w:rPr>
                <w:rFonts w:cs="Arial"/>
                <w:color w:val="000000"/>
                <w:sz w:val="14"/>
                <w:szCs w:val="14"/>
              </w:rPr>
              <w:t>Equity</w:t>
            </w:r>
          </w:p>
        </w:tc>
        <w:tc>
          <w:tcPr>
            <w:tcW w:w="3260" w:type="dxa"/>
            <w:tcBorders>
              <w:top w:val="nil"/>
              <w:left w:val="nil"/>
              <w:bottom w:val="nil"/>
              <w:right w:val="nil"/>
            </w:tcBorders>
            <w:shd w:val="clear" w:color="auto" w:fill="auto"/>
            <w:vAlign w:val="center"/>
          </w:tcPr>
          <w:p w14:paraId="548E4514"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53</w:t>
            </w:r>
            <w:r>
              <w:rPr>
                <w:rFonts w:cs="Arial"/>
                <w:b/>
                <w:bCs/>
                <w:color w:val="000000"/>
                <w:sz w:val="14"/>
                <w:szCs w:val="14"/>
              </w:rPr>
              <w:t>,</w:t>
            </w:r>
            <w:r w:rsidRPr="00824585">
              <w:rPr>
                <w:rFonts w:cs="Arial"/>
                <w:b/>
                <w:bCs/>
                <w:color w:val="000000"/>
                <w:sz w:val="14"/>
                <w:szCs w:val="14"/>
              </w:rPr>
              <w:t xml:space="preserve">120 </w:t>
            </w:r>
          </w:p>
        </w:tc>
        <w:tc>
          <w:tcPr>
            <w:tcW w:w="3260" w:type="dxa"/>
            <w:tcBorders>
              <w:top w:val="nil"/>
              <w:left w:val="nil"/>
              <w:bottom w:val="nil"/>
              <w:right w:val="nil"/>
            </w:tcBorders>
            <w:shd w:val="clear" w:color="auto" w:fill="auto"/>
            <w:vAlign w:val="center"/>
          </w:tcPr>
          <w:p w14:paraId="70FCEBE6" w14:textId="77777777" w:rsidR="006A362F" w:rsidRPr="00824585"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824585">
              <w:rPr>
                <w:rFonts w:cs="Arial"/>
                <w:b/>
                <w:bCs/>
                <w:color w:val="000000"/>
                <w:sz w:val="14"/>
                <w:szCs w:val="14"/>
              </w:rPr>
              <w:t xml:space="preserve">           48</w:t>
            </w:r>
            <w:r>
              <w:rPr>
                <w:rFonts w:cs="Arial"/>
                <w:b/>
                <w:bCs/>
                <w:color w:val="000000"/>
                <w:sz w:val="14"/>
                <w:szCs w:val="14"/>
              </w:rPr>
              <w:t>,</w:t>
            </w:r>
            <w:r w:rsidRPr="00824585">
              <w:rPr>
                <w:rFonts w:cs="Arial"/>
                <w:b/>
                <w:bCs/>
                <w:color w:val="000000"/>
                <w:sz w:val="14"/>
                <w:szCs w:val="14"/>
              </w:rPr>
              <w:t xml:space="preserve">871 </w:t>
            </w:r>
          </w:p>
        </w:tc>
      </w:tr>
      <w:tr w:rsidR="006A362F" w:rsidRPr="00824585" w14:paraId="7CF56A2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FD3899" w14:textId="77777777" w:rsidR="006A362F" w:rsidRPr="00824585" w:rsidRDefault="006A362F" w:rsidP="006928A6">
            <w:pPr>
              <w:keepNext/>
              <w:keepLines/>
              <w:spacing w:before="40" w:after="40"/>
              <w:rPr>
                <w:rFonts w:cs="Arial"/>
                <w:color w:val="000000"/>
                <w:sz w:val="14"/>
                <w:szCs w:val="14"/>
              </w:rPr>
            </w:pPr>
            <w:r>
              <w:rPr>
                <w:rFonts w:cs="Arial"/>
                <w:sz w:val="14"/>
                <w:szCs w:val="14"/>
              </w:rPr>
              <w:t>Attributable to BB Seguridade</w:t>
            </w:r>
          </w:p>
        </w:tc>
        <w:tc>
          <w:tcPr>
            <w:tcW w:w="3260" w:type="dxa"/>
            <w:tcBorders>
              <w:top w:val="nil"/>
              <w:left w:val="nil"/>
              <w:bottom w:val="nil"/>
              <w:right w:val="nil"/>
            </w:tcBorders>
            <w:shd w:val="clear" w:color="auto" w:fill="auto"/>
          </w:tcPr>
          <w:p w14:paraId="29712ABD"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sz w:val="14"/>
                <w:szCs w:val="14"/>
              </w:rPr>
              <w:t xml:space="preserve"> 19</w:t>
            </w:r>
            <w:r>
              <w:rPr>
                <w:rFonts w:cs="Arial"/>
                <w:b/>
                <w:bCs/>
                <w:sz w:val="14"/>
                <w:szCs w:val="14"/>
              </w:rPr>
              <w:t>,</w:t>
            </w:r>
            <w:r w:rsidRPr="00824585">
              <w:rPr>
                <w:rFonts w:cs="Arial"/>
                <w:b/>
                <w:bCs/>
                <w:sz w:val="14"/>
                <w:szCs w:val="14"/>
              </w:rPr>
              <w:t xml:space="preserve">907 </w:t>
            </w:r>
          </w:p>
        </w:tc>
        <w:tc>
          <w:tcPr>
            <w:tcW w:w="3260" w:type="dxa"/>
            <w:tcBorders>
              <w:top w:val="nil"/>
              <w:left w:val="nil"/>
              <w:bottom w:val="nil"/>
              <w:right w:val="nil"/>
            </w:tcBorders>
            <w:shd w:val="clear" w:color="auto" w:fill="auto"/>
            <w:vAlign w:val="center"/>
          </w:tcPr>
          <w:p w14:paraId="75815060"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color w:val="000000"/>
                <w:sz w:val="14"/>
                <w:szCs w:val="14"/>
              </w:rPr>
              <w:t>16</w:t>
            </w:r>
            <w:r>
              <w:rPr>
                <w:rFonts w:cs="Arial"/>
                <w:b/>
                <w:bCs/>
                <w:color w:val="000000"/>
                <w:sz w:val="14"/>
                <w:szCs w:val="14"/>
              </w:rPr>
              <w:t>,</w:t>
            </w:r>
            <w:r w:rsidRPr="00824585">
              <w:rPr>
                <w:rFonts w:cs="Arial"/>
                <w:b/>
                <w:bCs/>
                <w:color w:val="000000"/>
                <w:sz w:val="14"/>
                <w:szCs w:val="14"/>
              </w:rPr>
              <w:t>494</w:t>
            </w:r>
          </w:p>
        </w:tc>
      </w:tr>
      <w:tr w:rsidR="006A362F" w:rsidRPr="003361C0" w14:paraId="0C097AE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DF68753" w14:textId="77777777" w:rsidR="006A362F" w:rsidRPr="003361C0" w:rsidRDefault="006A362F" w:rsidP="006928A6">
            <w:pPr>
              <w:keepNext/>
              <w:keepLines/>
              <w:ind w:left="113"/>
              <w:rPr>
                <w:rFonts w:cs="Arial"/>
                <w:color w:val="000000"/>
                <w:sz w:val="14"/>
                <w:szCs w:val="14"/>
              </w:rPr>
            </w:pPr>
            <w:r w:rsidRPr="00D078AA">
              <w:rPr>
                <w:rFonts w:cs="Arial"/>
                <w:b w:val="0"/>
                <w:bCs w:val="0"/>
                <w:color w:val="000000"/>
                <w:sz w:val="14"/>
                <w:szCs w:val="14"/>
              </w:rPr>
              <w:t>Adjustment</w:t>
            </w:r>
            <w:r w:rsidRPr="00A877DC">
              <w:rPr>
                <w:rFonts w:cs="Arial"/>
                <w:b w:val="0"/>
                <w:bCs w:val="0"/>
                <w:color w:val="000000"/>
                <w:sz w:val="14"/>
                <w:szCs w:val="14"/>
              </w:rPr>
              <w:t xml:space="preserve"> </w:t>
            </w:r>
            <w:r w:rsidRPr="00564192">
              <w:rPr>
                <w:rFonts w:cs="Arial"/>
                <w:b w:val="0"/>
                <w:bCs w:val="0"/>
                <w:color w:val="000000"/>
                <w:sz w:val="14"/>
                <w:szCs w:val="14"/>
                <w:vertAlign w:val="superscript"/>
              </w:rPr>
              <w:t>(1)</w:t>
            </w:r>
          </w:p>
        </w:tc>
        <w:tc>
          <w:tcPr>
            <w:tcW w:w="3260" w:type="dxa"/>
            <w:tcBorders>
              <w:top w:val="nil"/>
              <w:left w:val="nil"/>
              <w:bottom w:val="nil"/>
              <w:right w:val="nil"/>
            </w:tcBorders>
            <w:shd w:val="clear" w:color="auto" w:fill="auto"/>
          </w:tcPr>
          <w:p w14:paraId="25B272AA" w14:textId="77777777" w:rsidR="006A362F" w:rsidRPr="004B635B"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sz w:val="14"/>
                <w:szCs w:val="14"/>
              </w:rPr>
              <w:t>(</w:t>
            </w:r>
            <w:r w:rsidRPr="004B635B">
              <w:rPr>
                <w:rFonts w:cs="Arial"/>
                <w:sz w:val="14"/>
                <w:szCs w:val="14"/>
              </w:rPr>
              <w:t>3</w:t>
            </w:r>
            <w:r>
              <w:rPr>
                <w:rFonts w:cs="Arial"/>
                <w:sz w:val="14"/>
                <w:szCs w:val="14"/>
              </w:rPr>
              <w:t>,</w:t>
            </w:r>
            <w:r w:rsidRPr="004B635B">
              <w:rPr>
                <w:rFonts w:cs="Arial"/>
                <w:sz w:val="14"/>
                <w:szCs w:val="14"/>
              </w:rPr>
              <w:t>000</w:t>
            </w:r>
            <w:r>
              <w:rPr>
                <w:rFonts w:cs="Arial"/>
                <w:sz w:val="14"/>
                <w:szCs w:val="14"/>
              </w:rPr>
              <w:t>)</w:t>
            </w:r>
            <w:r w:rsidRPr="004B635B">
              <w:rPr>
                <w:rFonts w:cs="Arial"/>
                <w:sz w:val="14"/>
                <w:szCs w:val="14"/>
              </w:rPr>
              <w:t xml:space="preserve"> </w:t>
            </w:r>
          </w:p>
        </w:tc>
        <w:tc>
          <w:tcPr>
            <w:tcW w:w="3260" w:type="dxa"/>
            <w:tcBorders>
              <w:top w:val="nil"/>
              <w:left w:val="nil"/>
              <w:bottom w:val="nil"/>
              <w:right w:val="nil"/>
            </w:tcBorders>
            <w:shd w:val="clear" w:color="auto" w:fill="auto"/>
            <w:vAlign w:val="center"/>
          </w:tcPr>
          <w:p w14:paraId="49E5B2CF" w14:textId="77777777" w:rsidR="006A362F" w:rsidRPr="003361C0"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rPr>
            </w:pPr>
            <w:r>
              <w:rPr>
                <w:rFonts w:cs="Arial"/>
                <w:color w:val="000000"/>
                <w:sz w:val="14"/>
                <w:szCs w:val="14"/>
              </w:rPr>
              <w:t>--</w:t>
            </w:r>
          </w:p>
        </w:tc>
      </w:tr>
      <w:tr w:rsidR="006A362F" w:rsidRPr="00824585" w14:paraId="7BC1351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4E79" w:themeColor="accent1" w:themeShade="80"/>
              <w:right w:val="nil"/>
            </w:tcBorders>
            <w:shd w:val="clear" w:color="auto" w:fill="auto"/>
            <w:vAlign w:val="center"/>
          </w:tcPr>
          <w:p w14:paraId="62BBCEBF" w14:textId="77777777" w:rsidR="006A362F" w:rsidRPr="00824585" w:rsidRDefault="006A362F" w:rsidP="006928A6">
            <w:pPr>
              <w:keepNext/>
              <w:keepLines/>
              <w:spacing w:before="40" w:after="40"/>
              <w:rPr>
                <w:rFonts w:cs="Arial"/>
                <w:color w:val="000000"/>
                <w:sz w:val="14"/>
                <w:szCs w:val="14"/>
              </w:rPr>
            </w:pPr>
            <w:r>
              <w:rPr>
                <w:rFonts w:cs="Arial"/>
                <w:sz w:val="14"/>
                <w:szCs w:val="14"/>
              </w:rPr>
              <w:t>Investment balance</w:t>
            </w:r>
          </w:p>
        </w:tc>
        <w:tc>
          <w:tcPr>
            <w:tcW w:w="3260" w:type="dxa"/>
            <w:tcBorders>
              <w:top w:val="nil"/>
              <w:left w:val="nil"/>
              <w:bottom w:val="single" w:sz="2" w:space="0" w:color="1F4E79" w:themeColor="accent1" w:themeShade="80"/>
              <w:right w:val="nil"/>
            </w:tcBorders>
            <w:shd w:val="clear" w:color="auto" w:fill="auto"/>
          </w:tcPr>
          <w:p w14:paraId="59F75A64"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sz w:val="14"/>
                <w:szCs w:val="14"/>
              </w:rPr>
              <w:t xml:space="preserve"> 16</w:t>
            </w:r>
            <w:r>
              <w:rPr>
                <w:rFonts w:cs="Arial"/>
                <w:b/>
                <w:bCs/>
                <w:sz w:val="14"/>
                <w:szCs w:val="14"/>
              </w:rPr>
              <w:t>,</w:t>
            </w:r>
            <w:r w:rsidRPr="00824585">
              <w:rPr>
                <w:rFonts w:cs="Arial"/>
                <w:b/>
                <w:bCs/>
                <w:sz w:val="14"/>
                <w:szCs w:val="14"/>
              </w:rPr>
              <w:t xml:space="preserve">907 </w:t>
            </w:r>
          </w:p>
        </w:tc>
        <w:tc>
          <w:tcPr>
            <w:tcW w:w="3260" w:type="dxa"/>
            <w:tcBorders>
              <w:top w:val="nil"/>
              <w:left w:val="nil"/>
              <w:bottom w:val="single" w:sz="2" w:space="0" w:color="1F4E79" w:themeColor="accent1" w:themeShade="80"/>
              <w:right w:val="nil"/>
            </w:tcBorders>
            <w:shd w:val="clear" w:color="auto" w:fill="auto"/>
            <w:vAlign w:val="center"/>
          </w:tcPr>
          <w:p w14:paraId="0153827A" w14:textId="77777777" w:rsidR="006A362F" w:rsidRPr="00824585"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sidRPr="00824585">
              <w:rPr>
                <w:rFonts w:cs="Arial"/>
                <w:b/>
                <w:bCs/>
                <w:color w:val="000000"/>
                <w:sz w:val="14"/>
                <w:szCs w:val="14"/>
              </w:rPr>
              <w:t>16</w:t>
            </w:r>
            <w:r>
              <w:rPr>
                <w:rFonts w:cs="Arial"/>
                <w:b/>
                <w:bCs/>
                <w:color w:val="000000"/>
                <w:sz w:val="14"/>
                <w:szCs w:val="14"/>
              </w:rPr>
              <w:t>,</w:t>
            </w:r>
            <w:r w:rsidRPr="00824585">
              <w:rPr>
                <w:rFonts w:cs="Arial"/>
                <w:b/>
                <w:bCs/>
                <w:color w:val="000000"/>
                <w:sz w:val="14"/>
                <w:szCs w:val="14"/>
              </w:rPr>
              <w:t>494</w:t>
            </w:r>
          </w:p>
        </w:tc>
      </w:tr>
    </w:tbl>
    <w:p w14:paraId="3E1FC5F2" w14:textId="77777777" w:rsidR="006A362F" w:rsidRPr="00143235" w:rsidRDefault="006A362F" w:rsidP="006A362F">
      <w:pPr>
        <w:pStyle w:val="PargrafodaLista"/>
        <w:keepNext/>
        <w:keepLines/>
        <w:numPr>
          <w:ilvl w:val="0"/>
          <w:numId w:val="46"/>
        </w:numPr>
        <w:spacing w:after="0" w:line="240" w:lineRule="auto"/>
        <w:rPr>
          <w:rFonts w:ascii="Arial" w:eastAsia="Times New Roman" w:hAnsi="Arial" w:cs="Arial"/>
          <w:spacing w:val="-2"/>
          <w:sz w:val="14"/>
          <w:szCs w:val="16"/>
          <w:lang w:eastAsia="zh-CN"/>
        </w:rPr>
      </w:pPr>
      <w:r w:rsidRPr="00662248">
        <w:rPr>
          <w:rFonts w:ascii="Arial" w:eastAsia="Times New Roman" w:hAnsi="Arial" w:cs="Arial"/>
          <w:spacing w:val="-2"/>
          <w:sz w:val="14"/>
          <w:szCs w:val="16"/>
          <w:lang w:eastAsia="zh-CN"/>
        </w:rPr>
        <w:t>Recognition of dividends</w:t>
      </w:r>
      <w:r>
        <w:rPr>
          <w:rFonts w:ascii="Arial" w:eastAsia="Times New Roman" w:hAnsi="Arial" w:cs="Arial"/>
          <w:spacing w:val="-2"/>
          <w:sz w:val="14"/>
          <w:szCs w:val="16"/>
          <w:lang w:eastAsia="zh-CN"/>
        </w:rPr>
        <w:t>.</w:t>
      </w:r>
    </w:p>
    <w:p w14:paraId="63F9B8A4" w14:textId="77777777" w:rsidR="006A362F" w:rsidRPr="00662248" w:rsidRDefault="006A362F" w:rsidP="006A362F">
      <w:pPr>
        <w:pStyle w:val="PargrafodaLista"/>
        <w:keepNext/>
        <w:keepLines/>
        <w:numPr>
          <w:ilvl w:val="0"/>
          <w:numId w:val="46"/>
        </w:numPr>
        <w:spacing w:after="0" w:line="240" w:lineRule="auto"/>
        <w:rPr>
          <w:rFonts w:ascii="Arial" w:eastAsia="Times New Roman" w:hAnsi="Arial" w:cs="Arial"/>
          <w:spacing w:val="-2"/>
          <w:sz w:val="14"/>
          <w:szCs w:val="16"/>
          <w:lang w:val="en-US" w:eastAsia="zh-CN"/>
        </w:rPr>
      </w:pPr>
      <w:r>
        <w:rPr>
          <w:rFonts w:ascii="Arial" w:eastAsia="Times New Roman" w:hAnsi="Arial" w:cs="Arial"/>
          <w:spacing w:val="-2"/>
          <w:sz w:val="14"/>
          <w:szCs w:val="16"/>
          <w:lang w:val="en-US" w:eastAsia="zh-CN"/>
        </w:rPr>
        <w:t>B</w:t>
      </w:r>
      <w:r w:rsidRPr="00662248">
        <w:rPr>
          <w:rFonts w:ascii="Arial" w:eastAsia="Times New Roman" w:hAnsi="Arial" w:cs="Arial"/>
          <w:spacing w:val="-2"/>
          <w:sz w:val="14"/>
          <w:szCs w:val="16"/>
          <w:lang w:val="en-US" w:eastAsia="zh-CN"/>
        </w:rPr>
        <w:t>alance with a one-month lag.</w:t>
      </w:r>
    </w:p>
    <w:p w14:paraId="7E2D62B6" w14:textId="77777777" w:rsidR="006A362F" w:rsidRPr="00662248" w:rsidRDefault="006A362F" w:rsidP="00076945">
      <w:pPr>
        <w:spacing w:after="0" w:line="240" w:lineRule="auto"/>
        <w:rPr>
          <w:rFonts w:eastAsia="Times New Roman" w:cs="Times New Roman"/>
          <w:b/>
          <w:color w:val="1F4E79" w:themeColor="accent1" w:themeShade="80"/>
          <w:spacing w:val="-2"/>
          <w:szCs w:val="20"/>
          <w:lang w:val="en-US" w:eastAsia="pt-BR"/>
        </w:rPr>
      </w:pPr>
    </w:p>
    <w:p w14:paraId="2E30D8FA" w14:textId="77777777" w:rsidR="006A362F" w:rsidRPr="0020490A" w:rsidRDefault="006A362F" w:rsidP="00076945">
      <w:pPr>
        <w:spacing w:after="0" w:line="240" w:lineRule="auto"/>
        <w:rPr>
          <w:rFonts w:eastAsia="Times New Roman" w:cs="Times New Roman"/>
          <w:b/>
          <w:color w:val="1F4E79" w:themeColor="accent1" w:themeShade="80"/>
          <w:spacing w:val="-2"/>
          <w:szCs w:val="20"/>
          <w:lang w:val="en-US" w:eastAsia="pt-BR"/>
        </w:rPr>
      </w:pPr>
      <w:r w:rsidRPr="0020490A">
        <w:rPr>
          <w:rFonts w:eastAsia="Times New Roman" w:cs="Times New Roman"/>
          <w:b/>
          <w:color w:val="1F4E79" w:themeColor="accent1" w:themeShade="80"/>
          <w:spacing w:val="-2"/>
          <w:szCs w:val="20"/>
          <w:lang w:val="en-US" w:eastAsia="pt-BR"/>
        </w:rPr>
        <w:t>c.4) Brasilcap</w:t>
      </w:r>
    </w:p>
    <w:p w14:paraId="2300C836" w14:textId="77777777" w:rsidR="006A362F" w:rsidRPr="0020490A" w:rsidRDefault="006A362F" w:rsidP="00076945">
      <w:pPr>
        <w:spacing w:after="0" w:line="240" w:lineRule="auto"/>
        <w:rPr>
          <w:rFonts w:eastAsia="Times New Roman" w:cs="Times New Roman"/>
          <w:b/>
          <w:color w:val="1F4E79" w:themeColor="accent1" w:themeShade="80"/>
          <w:spacing w:val="-2"/>
          <w:szCs w:val="20"/>
          <w:lang w:val="en-US" w:eastAsia="pt-BR"/>
        </w:rPr>
      </w:pPr>
    </w:p>
    <w:p w14:paraId="700D8DD7" w14:textId="77777777" w:rsidR="006A362F" w:rsidRPr="0020490A" w:rsidRDefault="006A362F" w:rsidP="00076945">
      <w:pPr>
        <w:spacing w:after="0" w:line="240" w:lineRule="auto"/>
        <w:rPr>
          <w:rFonts w:eastAsia="Times New Roman" w:cs="Arial"/>
          <w:spacing w:val="-2"/>
          <w:szCs w:val="20"/>
          <w:lang w:val="en-US" w:eastAsia="zh-CN"/>
        </w:rPr>
      </w:pPr>
      <w:r w:rsidRPr="0020490A">
        <w:rPr>
          <w:rFonts w:eastAsia="Times New Roman" w:cs="Times New Roman"/>
          <w:b/>
          <w:color w:val="1F4E79" w:themeColor="accent1" w:themeShade="80"/>
          <w:spacing w:val="-2"/>
          <w:szCs w:val="20"/>
          <w:lang w:val="en-US" w:eastAsia="pt-BR"/>
        </w:rPr>
        <w:t>Income Statement Information</w:t>
      </w:r>
    </w:p>
    <w:p w14:paraId="5D764DC2" w14:textId="77777777" w:rsidR="006A362F" w:rsidRPr="0020490A" w:rsidRDefault="006A362F" w:rsidP="00076945">
      <w:pPr>
        <w:spacing w:after="0" w:line="240" w:lineRule="auto"/>
        <w:jc w:val="right"/>
        <w:rPr>
          <w:rFonts w:cs="Arial"/>
          <w:b/>
          <w:sz w:val="14"/>
          <w:lang w:val="en-US" w:eastAsia="pt-BR"/>
        </w:rPr>
      </w:pPr>
      <w:r w:rsidRPr="0020490A">
        <w:rPr>
          <w:rFonts w:cs="Arial"/>
          <w:b/>
          <w:sz w:val="14"/>
          <w:lang w:val="en-US" w:eastAsia="pt-BR"/>
        </w:rPr>
        <w:t>R$ thousand</w:t>
      </w:r>
    </w:p>
    <w:tbl>
      <w:tblPr>
        <w:tblStyle w:val="TabeladeLista6Colorida-nfase512"/>
        <w:tblW w:w="9640" w:type="dxa"/>
        <w:jc w:val="center"/>
        <w:tblInd w:w="0" w:type="dxa"/>
        <w:tblLayout w:type="fixed"/>
        <w:tblLook w:val="04A0" w:firstRow="1" w:lastRow="0" w:firstColumn="1" w:lastColumn="0" w:noHBand="0" w:noVBand="1"/>
      </w:tblPr>
      <w:tblGrid>
        <w:gridCol w:w="3828"/>
        <w:gridCol w:w="2906"/>
        <w:gridCol w:w="2906"/>
      </w:tblGrid>
      <w:tr w:rsidR="006A362F" w:rsidRPr="00E155FB" w14:paraId="20AF941A"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E91F354" w14:textId="77777777" w:rsidR="006A362F" w:rsidRPr="0020490A" w:rsidRDefault="006A362F" w:rsidP="006928A6">
            <w:pPr>
              <w:rPr>
                <w:rFonts w:cs="Arial"/>
                <w:sz w:val="14"/>
                <w:szCs w:val="14"/>
                <w:highlight w:val="yellow"/>
                <w:lang w:val="en-US"/>
              </w:rPr>
            </w:pP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030ADE9" w14:textId="77777777" w:rsidR="006A362F" w:rsidRPr="00773064"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1</w:t>
            </w:r>
            <w:r w:rsidRPr="00662248">
              <w:rPr>
                <w:rFonts w:cs="Arial"/>
                <w:sz w:val="14"/>
                <w:szCs w:val="14"/>
                <w:vertAlign w:val="superscript"/>
              </w:rPr>
              <w:t>st</w:t>
            </w:r>
            <w:r>
              <w:rPr>
                <w:rFonts w:cs="Arial"/>
                <w:sz w:val="14"/>
                <w:szCs w:val="14"/>
              </w:rPr>
              <w:t xml:space="preserve"> Quarter 2023</w:t>
            </w:r>
          </w:p>
        </w:tc>
        <w:tc>
          <w:tcPr>
            <w:tcW w:w="2906"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68CC007" w14:textId="77777777" w:rsidR="006A362F" w:rsidRPr="00773064" w:rsidRDefault="006A362F" w:rsidP="006928A6">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1</w:t>
            </w:r>
            <w:r w:rsidRPr="00662248">
              <w:rPr>
                <w:rFonts w:cs="Arial"/>
                <w:sz w:val="14"/>
                <w:szCs w:val="14"/>
                <w:vertAlign w:val="superscript"/>
              </w:rPr>
              <w:t>st</w:t>
            </w:r>
            <w:r>
              <w:rPr>
                <w:rFonts w:cs="Arial"/>
                <w:sz w:val="14"/>
                <w:szCs w:val="14"/>
              </w:rPr>
              <w:t xml:space="preserve"> Quarter 2022</w:t>
            </w:r>
          </w:p>
        </w:tc>
      </w:tr>
      <w:tr w:rsidR="006A362F" w:rsidRPr="00E155FB" w14:paraId="579F4CAB"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1F4E79" w:themeColor="accent1" w:themeShade="80"/>
              <w:left w:val="nil"/>
              <w:bottom w:val="nil"/>
              <w:right w:val="nil"/>
            </w:tcBorders>
            <w:shd w:val="clear" w:color="auto" w:fill="auto"/>
            <w:vAlign w:val="center"/>
          </w:tcPr>
          <w:p w14:paraId="0AD16ED5" w14:textId="77777777" w:rsidR="006A362F" w:rsidRPr="003F2F2A" w:rsidRDefault="006A362F" w:rsidP="006928A6">
            <w:pPr>
              <w:rPr>
                <w:rFonts w:cs="Arial"/>
                <w:sz w:val="14"/>
                <w:szCs w:val="14"/>
                <w:lang w:val="en-US"/>
              </w:rPr>
            </w:pPr>
            <w:r w:rsidRPr="003F2F2A">
              <w:rPr>
                <w:rFonts w:cs="Arial"/>
                <w:sz w:val="14"/>
                <w:szCs w:val="14"/>
                <w:lang w:val="en-US"/>
              </w:rPr>
              <w:t>Net income from capitalization operations</w:t>
            </w:r>
          </w:p>
        </w:tc>
        <w:tc>
          <w:tcPr>
            <w:tcW w:w="2906" w:type="dxa"/>
            <w:tcBorders>
              <w:top w:val="single" w:sz="2" w:space="0" w:color="1F4E79" w:themeColor="accent1" w:themeShade="80"/>
              <w:left w:val="nil"/>
              <w:bottom w:val="nil"/>
              <w:right w:val="nil"/>
            </w:tcBorders>
            <w:shd w:val="clear" w:color="auto" w:fill="auto"/>
            <w:vAlign w:val="center"/>
          </w:tcPr>
          <w:p w14:paraId="1F959C80" w14:textId="77777777" w:rsidR="006A362F" w:rsidRPr="00410435" w:rsidRDefault="006A362F" w:rsidP="00662248">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F2F2A">
              <w:rPr>
                <w:rFonts w:cs="Arial"/>
                <w:b/>
                <w:bCs/>
                <w:sz w:val="14"/>
                <w:szCs w:val="14"/>
                <w:lang w:val="en-US"/>
              </w:rPr>
              <w:t xml:space="preserve">  </w:t>
            </w:r>
            <w:r w:rsidRPr="00410435">
              <w:rPr>
                <w:rFonts w:cs="Arial"/>
                <w:b/>
                <w:bCs/>
                <w:sz w:val="14"/>
                <w:szCs w:val="14"/>
              </w:rPr>
              <w:t>(2</w:t>
            </w:r>
            <w:r>
              <w:rPr>
                <w:rFonts w:cs="Arial"/>
                <w:b/>
                <w:bCs/>
                <w:sz w:val="14"/>
                <w:szCs w:val="14"/>
              </w:rPr>
              <w:t>,</w:t>
            </w:r>
            <w:r w:rsidRPr="00410435">
              <w:rPr>
                <w:rFonts w:cs="Arial"/>
                <w:b/>
                <w:bCs/>
                <w:sz w:val="14"/>
                <w:szCs w:val="14"/>
              </w:rPr>
              <w:t>754)</w:t>
            </w:r>
          </w:p>
        </w:tc>
        <w:tc>
          <w:tcPr>
            <w:tcW w:w="2906" w:type="dxa"/>
            <w:tcBorders>
              <w:top w:val="single" w:sz="2" w:space="0" w:color="1F4E79" w:themeColor="accent1" w:themeShade="80"/>
              <w:left w:val="nil"/>
              <w:bottom w:val="nil"/>
              <w:right w:val="nil"/>
            </w:tcBorders>
            <w:shd w:val="clear" w:color="auto" w:fill="auto"/>
            <w:vAlign w:val="center"/>
          </w:tcPr>
          <w:p w14:paraId="49A19A0A" w14:textId="77777777" w:rsidR="006A362F" w:rsidRPr="00773064" w:rsidRDefault="006A362F" w:rsidP="00662248">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410435">
              <w:rPr>
                <w:rFonts w:cs="Arial"/>
                <w:b/>
                <w:bCs/>
                <w:sz w:val="14"/>
                <w:szCs w:val="14"/>
              </w:rPr>
              <w:t xml:space="preserve">  (344)</w:t>
            </w:r>
          </w:p>
        </w:tc>
      </w:tr>
      <w:tr w:rsidR="006A362F" w:rsidRPr="00E155FB" w14:paraId="2E6C1163"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54D3090" w14:textId="77777777" w:rsidR="006A362F" w:rsidRPr="00410435" w:rsidRDefault="006A362F" w:rsidP="006928A6">
            <w:pPr>
              <w:keepNext/>
              <w:keepLines/>
              <w:spacing w:before="40" w:after="40"/>
              <w:ind w:left="113"/>
              <w:rPr>
                <w:rFonts w:cs="Arial"/>
                <w:b w:val="0"/>
                <w:bCs w:val="0"/>
                <w:sz w:val="14"/>
                <w:szCs w:val="14"/>
              </w:rPr>
            </w:pPr>
            <w:r w:rsidRPr="003F2F2A">
              <w:rPr>
                <w:rFonts w:cs="Arial"/>
                <w:b w:val="0"/>
                <w:bCs w:val="0"/>
                <w:sz w:val="14"/>
                <w:szCs w:val="14"/>
              </w:rPr>
              <w:t>Income from operations</w:t>
            </w:r>
          </w:p>
        </w:tc>
        <w:tc>
          <w:tcPr>
            <w:tcW w:w="2906" w:type="dxa"/>
            <w:tcBorders>
              <w:top w:val="nil"/>
              <w:left w:val="nil"/>
              <w:bottom w:val="nil"/>
              <w:right w:val="nil"/>
            </w:tcBorders>
            <w:shd w:val="clear" w:color="auto" w:fill="auto"/>
            <w:vAlign w:val="center"/>
          </w:tcPr>
          <w:p w14:paraId="4D4CC221" w14:textId="77777777" w:rsidR="006A362F" w:rsidRPr="00E155FB" w:rsidRDefault="006A362F" w:rsidP="0066224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155FB">
              <w:rPr>
                <w:rFonts w:cs="Arial"/>
                <w:sz w:val="14"/>
                <w:szCs w:val="14"/>
              </w:rPr>
              <w:t>177</w:t>
            </w:r>
            <w:r>
              <w:rPr>
                <w:rFonts w:cs="Arial"/>
                <w:sz w:val="14"/>
                <w:szCs w:val="14"/>
              </w:rPr>
              <w:t>,</w:t>
            </w:r>
            <w:r w:rsidRPr="00E155FB">
              <w:rPr>
                <w:rFonts w:cs="Arial"/>
                <w:sz w:val="14"/>
                <w:szCs w:val="14"/>
              </w:rPr>
              <w:t>383</w:t>
            </w:r>
          </w:p>
        </w:tc>
        <w:tc>
          <w:tcPr>
            <w:tcW w:w="2906" w:type="dxa"/>
            <w:tcBorders>
              <w:top w:val="nil"/>
              <w:left w:val="nil"/>
              <w:bottom w:val="nil"/>
              <w:right w:val="nil"/>
            </w:tcBorders>
            <w:shd w:val="clear" w:color="auto" w:fill="auto"/>
            <w:vAlign w:val="center"/>
          </w:tcPr>
          <w:p w14:paraId="14C04036" w14:textId="77777777" w:rsidR="006A362F" w:rsidRPr="00E155FB" w:rsidRDefault="006A362F" w:rsidP="0066224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155FB">
              <w:rPr>
                <w:rFonts w:cs="Arial"/>
                <w:sz w:val="14"/>
                <w:szCs w:val="14"/>
              </w:rPr>
              <w:t xml:space="preserve">  162</w:t>
            </w:r>
            <w:r>
              <w:rPr>
                <w:rFonts w:cs="Arial"/>
                <w:sz w:val="14"/>
                <w:szCs w:val="14"/>
              </w:rPr>
              <w:t>,</w:t>
            </w:r>
            <w:r w:rsidRPr="00E155FB">
              <w:rPr>
                <w:rFonts w:cs="Arial"/>
                <w:sz w:val="14"/>
                <w:szCs w:val="14"/>
              </w:rPr>
              <w:t xml:space="preserve">399 </w:t>
            </w:r>
          </w:p>
        </w:tc>
      </w:tr>
      <w:tr w:rsidR="006A362F" w:rsidRPr="00E155FB" w14:paraId="5AC6C75D"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2E3DE88" w14:textId="77777777" w:rsidR="006A362F" w:rsidRPr="00410435" w:rsidRDefault="006A362F" w:rsidP="006928A6">
            <w:pPr>
              <w:keepNext/>
              <w:keepLines/>
              <w:spacing w:before="40" w:after="40"/>
              <w:ind w:left="113"/>
              <w:rPr>
                <w:rFonts w:cs="Arial"/>
                <w:b w:val="0"/>
                <w:bCs w:val="0"/>
                <w:sz w:val="14"/>
                <w:szCs w:val="14"/>
              </w:rPr>
            </w:pPr>
            <w:r>
              <w:rPr>
                <w:rFonts w:cs="Arial"/>
                <w:b w:val="0"/>
                <w:bCs w:val="0"/>
                <w:sz w:val="14"/>
                <w:szCs w:val="14"/>
              </w:rPr>
              <w:t>C</w:t>
            </w:r>
            <w:r w:rsidRPr="003F2F2A">
              <w:rPr>
                <w:rFonts w:cs="Arial"/>
                <w:b w:val="0"/>
                <w:bCs w:val="0"/>
                <w:sz w:val="14"/>
                <w:szCs w:val="14"/>
              </w:rPr>
              <w:t>osts</w:t>
            </w:r>
          </w:p>
        </w:tc>
        <w:tc>
          <w:tcPr>
            <w:tcW w:w="2906" w:type="dxa"/>
            <w:tcBorders>
              <w:top w:val="nil"/>
              <w:left w:val="nil"/>
              <w:bottom w:val="nil"/>
              <w:right w:val="nil"/>
            </w:tcBorders>
            <w:shd w:val="clear" w:color="auto" w:fill="auto"/>
            <w:vAlign w:val="center"/>
          </w:tcPr>
          <w:p w14:paraId="7ADCB988"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(180</w:t>
            </w:r>
            <w:r>
              <w:rPr>
                <w:rFonts w:cs="Arial"/>
                <w:sz w:val="14"/>
                <w:szCs w:val="14"/>
              </w:rPr>
              <w:t>,</w:t>
            </w:r>
            <w:r w:rsidRPr="00E155FB">
              <w:rPr>
                <w:rFonts w:cs="Arial"/>
                <w:sz w:val="14"/>
                <w:szCs w:val="14"/>
              </w:rPr>
              <w:t>137)</w:t>
            </w:r>
          </w:p>
        </w:tc>
        <w:tc>
          <w:tcPr>
            <w:tcW w:w="2906" w:type="dxa"/>
            <w:tcBorders>
              <w:top w:val="nil"/>
              <w:left w:val="nil"/>
              <w:bottom w:val="nil"/>
              <w:right w:val="nil"/>
            </w:tcBorders>
            <w:shd w:val="clear" w:color="auto" w:fill="auto"/>
            <w:vAlign w:val="center"/>
          </w:tcPr>
          <w:p w14:paraId="00C6841C"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(162</w:t>
            </w:r>
            <w:r>
              <w:rPr>
                <w:rFonts w:cs="Arial"/>
                <w:sz w:val="14"/>
                <w:szCs w:val="14"/>
              </w:rPr>
              <w:t>,</w:t>
            </w:r>
            <w:r w:rsidRPr="00E155FB">
              <w:rPr>
                <w:rFonts w:cs="Arial"/>
                <w:sz w:val="14"/>
                <w:szCs w:val="14"/>
              </w:rPr>
              <w:t>743)</w:t>
            </w:r>
          </w:p>
        </w:tc>
      </w:tr>
      <w:tr w:rsidR="006A362F" w:rsidRPr="00E155FB" w14:paraId="6CC5CC88"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6DB2689" w14:textId="77777777" w:rsidR="006A362F" w:rsidRPr="00E155FB" w:rsidRDefault="006A362F" w:rsidP="006928A6">
            <w:pPr>
              <w:keepNext/>
              <w:keepLines/>
              <w:spacing w:before="40" w:after="40"/>
              <w:rPr>
                <w:rFonts w:cs="Arial"/>
                <w:sz w:val="14"/>
                <w:szCs w:val="14"/>
                <w:highlight w:val="yellow"/>
              </w:rPr>
            </w:pPr>
            <w:r>
              <w:rPr>
                <w:rFonts w:cs="Arial"/>
                <w:color w:val="000000"/>
                <w:sz w:val="14"/>
                <w:szCs w:val="14"/>
              </w:rPr>
              <w:t>Financial result</w:t>
            </w:r>
          </w:p>
        </w:tc>
        <w:tc>
          <w:tcPr>
            <w:tcW w:w="2906" w:type="dxa"/>
            <w:tcBorders>
              <w:top w:val="nil"/>
              <w:left w:val="nil"/>
              <w:bottom w:val="nil"/>
              <w:right w:val="nil"/>
            </w:tcBorders>
            <w:shd w:val="clear" w:color="auto" w:fill="auto"/>
            <w:vAlign w:val="center"/>
          </w:tcPr>
          <w:p w14:paraId="70621C59" w14:textId="77777777" w:rsidR="006A362F" w:rsidRPr="00E155FB" w:rsidRDefault="006A362F" w:rsidP="0066224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155FB">
              <w:rPr>
                <w:rFonts w:cs="Arial"/>
                <w:b/>
                <w:bCs/>
                <w:sz w:val="14"/>
                <w:szCs w:val="14"/>
              </w:rPr>
              <w:t>95</w:t>
            </w:r>
            <w:r>
              <w:rPr>
                <w:rFonts w:cs="Arial"/>
                <w:b/>
                <w:bCs/>
                <w:sz w:val="14"/>
                <w:szCs w:val="14"/>
              </w:rPr>
              <w:t>,</w:t>
            </w:r>
            <w:r w:rsidRPr="00E155FB">
              <w:rPr>
                <w:rFonts w:cs="Arial"/>
                <w:b/>
                <w:bCs/>
                <w:sz w:val="14"/>
                <w:szCs w:val="14"/>
              </w:rPr>
              <w:t>043</w:t>
            </w:r>
          </w:p>
        </w:tc>
        <w:tc>
          <w:tcPr>
            <w:tcW w:w="2906" w:type="dxa"/>
            <w:tcBorders>
              <w:top w:val="nil"/>
              <w:left w:val="nil"/>
              <w:bottom w:val="nil"/>
              <w:right w:val="nil"/>
            </w:tcBorders>
            <w:shd w:val="clear" w:color="auto" w:fill="auto"/>
            <w:vAlign w:val="center"/>
          </w:tcPr>
          <w:p w14:paraId="7EE68694" w14:textId="77777777" w:rsidR="006A362F" w:rsidRPr="00E155FB" w:rsidRDefault="006A362F" w:rsidP="00662248">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155FB">
              <w:rPr>
                <w:rFonts w:cs="Arial"/>
                <w:b/>
                <w:bCs/>
                <w:sz w:val="14"/>
                <w:szCs w:val="14"/>
              </w:rPr>
              <w:t xml:space="preserve">  76</w:t>
            </w:r>
            <w:r>
              <w:rPr>
                <w:rFonts w:cs="Arial"/>
                <w:b/>
                <w:bCs/>
                <w:sz w:val="14"/>
                <w:szCs w:val="14"/>
              </w:rPr>
              <w:t>,</w:t>
            </w:r>
            <w:r w:rsidRPr="00E155FB">
              <w:rPr>
                <w:rFonts w:cs="Arial"/>
                <w:b/>
                <w:bCs/>
                <w:sz w:val="14"/>
                <w:szCs w:val="14"/>
              </w:rPr>
              <w:t xml:space="preserve">876 </w:t>
            </w:r>
          </w:p>
        </w:tc>
      </w:tr>
      <w:tr w:rsidR="006A362F" w:rsidRPr="00E155FB" w14:paraId="6085F81E"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B44657A" w14:textId="77777777" w:rsidR="006A362F" w:rsidRPr="00E155FB" w:rsidRDefault="006A362F" w:rsidP="006928A6">
            <w:pPr>
              <w:keepNext/>
              <w:keepLines/>
              <w:spacing w:before="40" w:after="40"/>
              <w:ind w:left="113"/>
              <w:rPr>
                <w:rFonts w:cs="Arial"/>
                <w:b w:val="0"/>
                <w:bCs w:val="0"/>
                <w:color w:val="000000"/>
                <w:sz w:val="14"/>
                <w:szCs w:val="14"/>
                <w:highlight w:val="yellow"/>
              </w:rPr>
            </w:pPr>
            <w:r>
              <w:rPr>
                <w:rFonts w:cs="Arial"/>
                <w:b w:val="0"/>
                <w:bCs w:val="0"/>
                <w:sz w:val="14"/>
                <w:szCs w:val="14"/>
              </w:rPr>
              <w:t>Financial income</w:t>
            </w:r>
          </w:p>
        </w:tc>
        <w:tc>
          <w:tcPr>
            <w:tcW w:w="2906" w:type="dxa"/>
            <w:tcBorders>
              <w:top w:val="nil"/>
              <w:left w:val="nil"/>
              <w:bottom w:val="nil"/>
              <w:right w:val="nil"/>
            </w:tcBorders>
            <w:shd w:val="clear" w:color="auto" w:fill="auto"/>
            <w:vAlign w:val="center"/>
          </w:tcPr>
          <w:p w14:paraId="09F60511" w14:textId="77777777" w:rsidR="006A362F" w:rsidRPr="00E155FB" w:rsidRDefault="006A362F" w:rsidP="0066224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297</w:t>
            </w:r>
            <w:r>
              <w:rPr>
                <w:rFonts w:cs="Arial"/>
                <w:color w:val="000000"/>
                <w:sz w:val="14"/>
                <w:szCs w:val="14"/>
              </w:rPr>
              <w:t>,</w:t>
            </w:r>
            <w:r w:rsidRPr="00E155FB">
              <w:rPr>
                <w:rFonts w:cs="Arial"/>
                <w:color w:val="000000"/>
                <w:sz w:val="14"/>
                <w:szCs w:val="14"/>
              </w:rPr>
              <w:t>075</w:t>
            </w:r>
          </w:p>
        </w:tc>
        <w:tc>
          <w:tcPr>
            <w:tcW w:w="2906" w:type="dxa"/>
            <w:tcBorders>
              <w:top w:val="nil"/>
              <w:left w:val="nil"/>
              <w:bottom w:val="nil"/>
              <w:right w:val="nil"/>
            </w:tcBorders>
            <w:shd w:val="clear" w:color="auto" w:fill="auto"/>
            <w:vAlign w:val="center"/>
          </w:tcPr>
          <w:p w14:paraId="3E2D0783" w14:textId="77777777" w:rsidR="006A362F" w:rsidRPr="00E155FB" w:rsidRDefault="006A362F" w:rsidP="00662248">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295</w:t>
            </w:r>
            <w:r>
              <w:rPr>
                <w:rFonts w:cs="Arial"/>
                <w:color w:val="000000"/>
                <w:sz w:val="14"/>
                <w:szCs w:val="14"/>
              </w:rPr>
              <w:t>,</w:t>
            </w:r>
            <w:r w:rsidRPr="00E155FB">
              <w:rPr>
                <w:rFonts w:cs="Arial"/>
                <w:color w:val="000000"/>
                <w:sz w:val="14"/>
                <w:szCs w:val="14"/>
              </w:rPr>
              <w:t>932</w:t>
            </w:r>
          </w:p>
        </w:tc>
      </w:tr>
      <w:tr w:rsidR="006A362F" w:rsidRPr="00E155FB" w14:paraId="3D152106"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E8C7456" w14:textId="77777777" w:rsidR="006A362F" w:rsidRPr="00E155FB" w:rsidRDefault="006A362F" w:rsidP="006928A6">
            <w:pPr>
              <w:keepNext/>
              <w:keepLines/>
              <w:spacing w:before="40" w:after="40"/>
              <w:ind w:left="113"/>
              <w:rPr>
                <w:rFonts w:cs="Arial"/>
                <w:b w:val="0"/>
                <w:bCs w:val="0"/>
                <w:sz w:val="14"/>
                <w:szCs w:val="14"/>
              </w:rPr>
            </w:pPr>
            <w:r w:rsidRPr="003F2F2A">
              <w:rPr>
                <w:rFonts w:cs="Arial"/>
                <w:b w:val="0"/>
                <w:bCs w:val="0"/>
                <w:sz w:val="14"/>
                <w:szCs w:val="14"/>
              </w:rPr>
              <w:t>Financial expenses</w:t>
            </w:r>
          </w:p>
        </w:tc>
        <w:tc>
          <w:tcPr>
            <w:tcW w:w="2906" w:type="dxa"/>
            <w:tcBorders>
              <w:top w:val="nil"/>
              <w:left w:val="nil"/>
              <w:bottom w:val="nil"/>
              <w:right w:val="nil"/>
            </w:tcBorders>
            <w:shd w:val="clear" w:color="auto" w:fill="auto"/>
            <w:vAlign w:val="center"/>
          </w:tcPr>
          <w:p w14:paraId="3D57CE20"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(202</w:t>
            </w:r>
            <w:r>
              <w:rPr>
                <w:rFonts w:cs="Arial"/>
                <w:color w:val="000000"/>
                <w:sz w:val="14"/>
                <w:szCs w:val="14"/>
              </w:rPr>
              <w:t>,</w:t>
            </w:r>
            <w:r w:rsidRPr="00E155FB">
              <w:rPr>
                <w:rFonts w:cs="Arial"/>
                <w:color w:val="000000"/>
                <w:sz w:val="14"/>
                <w:szCs w:val="14"/>
              </w:rPr>
              <w:t>032)</w:t>
            </w:r>
          </w:p>
        </w:tc>
        <w:tc>
          <w:tcPr>
            <w:tcW w:w="2906" w:type="dxa"/>
            <w:tcBorders>
              <w:top w:val="nil"/>
              <w:left w:val="nil"/>
              <w:bottom w:val="nil"/>
              <w:right w:val="nil"/>
            </w:tcBorders>
            <w:shd w:val="clear" w:color="auto" w:fill="auto"/>
            <w:vAlign w:val="center"/>
          </w:tcPr>
          <w:p w14:paraId="6C8B7505"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color w:val="000000"/>
                <w:sz w:val="14"/>
                <w:szCs w:val="14"/>
              </w:rPr>
              <w:t xml:space="preserve">  (219</w:t>
            </w:r>
            <w:r>
              <w:rPr>
                <w:rFonts w:cs="Arial"/>
                <w:color w:val="000000"/>
                <w:sz w:val="14"/>
                <w:szCs w:val="14"/>
              </w:rPr>
              <w:t>,</w:t>
            </w:r>
            <w:r w:rsidRPr="00E155FB">
              <w:rPr>
                <w:rFonts w:cs="Arial"/>
                <w:color w:val="000000"/>
                <w:sz w:val="14"/>
                <w:szCs w:val="14"/>
              </w:rPr>
              <w:t>056)</w:t>
            </w:r>
          </w:p>
        </w:tc>
      </w:tr>
      <w:tr w:rsidR="006A362F" w:rsidRPr="00E155FB" w14:paraId="18B5EBF6"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EA0C5B5" w14:textId="77777777" w:rsidR="006A362F" w:rsidRPr="00E155FB" w:rsidRDefault="006A362F" w:rsidP="006928A6">
            <w:pPr>
              <w:keepNext/>
              <w:keepLines/>
              <w:rPr>
                <w:rFonts w:cs="Arial"/>
                <w:sz w:val="14"/>
                <w:szCs w:val="14"/>
                <w:highlight w:val="yellow"/>
              </w:rPr>
            </w:pPr>
            <w:r>
              <w:rPr>
                <w:rFonts w:cs="Arial"/>
                <w:color w:val="000000"/>
                <w:sz w:val="14"/>
                <w:szCs w:val="14"/>
              </w:rPr>
              <w:t>E</w:t>
            </w:r>
            <w:r w:rsidRPr="003F2F2A">
              <w:rPr>
                <w:rFonts w:cs="Arial"/>
                <w:color w:val="000000"/>
                <w:sz w:val="14"/>
                <w:szCs w:val="14"/>
              </w:rPr>
              <w:t>quity result</w:t>
            </w:r>
          </w:p>
        </w:tc>
        <w:tc>
          <w:tcPr>
            <w:tcW w:w="2906" w:type="dxa"/>
            <w:tcBorders>
              <w:top w:val="nil"/>
              <w:left w:val="nil"/>
              <w:bottom w:val="nil"/>
              <w:right w:val="nil"/>
            </w:tcBorders>
            <w:shd w:val="clear" w:color="auto" w:fill="auto"/>
            <w:vAlign w:val="center"/>
          </w:tcPr>
          <w:p w14:paraId="28CDAB7D"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(255)</w:t>
            </w:r>
          </w:p>
        </w:tc>
        <w:tc>
          <w:tcPr>
            <w:tcW w:w="2906" w:type="dxa"/>
            <w:tcBorders>
              <w:top w:val="nil"/>
              <w:left w:val="nil"/>
              <w:bottom w:val="nil"/>
              <w:right w:val="nil"/>
            </w:tcBorders>
            <w:shd w:val="clear" w:color="auto" w:fill="auto"/>
            <w:vAlign w:val="center"/>
          </w:tcPr>
          <w:p w14:paraId="7538A243"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 xml:space="preserve">  (211)</w:t>
            </w:r>
          </w:p>
        </w:tc>
      </w:tr>
      <w:tr w:rsidR="006A362F" w:rsidRPr="00E155FB" w14:paraId="7173BB1D"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162A0D84" w14:textId="77777777" w:rsidR="006A362F" w:rsidRPr="00E155FB" w:rsidRDefault="006A362F" w:rsidP="006928A6">
            <w:pPr>
              <w:keepNext/>
              <w:keepLines/>
              <w:spacing w:before="40" w:after="40"/>
              <w:ind w:left="113"/>
              <w:rPr>
                <w:rFonts w:cs="Arial"/>
                <w:b w:val="0"/>
                <w:bCs w:val="0"/>
                <w:sz w:val="14"/>
                <w:szCs w:val="14"/>
                <w:highlight w:val="yellow"/>
              </w:rPr>
            </w:pPr>
            <w:r>
              <w:rPr>
                <w:rFonts w:cs="Arial"/>
                <w:b w:val="0"/>
                <w:bCs w:val="0"/>
                <w:sz w:val="14"/>
                <w:szCs w:val="14"/>
              </w:rPr>
              <w:t>Depreciation and amortization</w:t>
            </w:r>
          </w:p>
        </w:tc>
        <w:tc>
          <w:tcPr>
            <w:tcW w:w="2906" w:type="dxa"/>
            <w:tcBorders>
              <w:top w:val="nil"/>
              <w:left w:val="nil"/>
              <w:bottom w:val="nil"/>
              <w:right w:val="nil"/>
            </w:tcBorders>
            <w:shd w:val="clear" w:color="auto" w:fill="auto"/>
            <w:vAlign w:val="center"/>
          </w:tcPr>
          <w:p w14:paraId="66554FED"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(255)</w:t>
            </w:r>
          </w:p>
        </w:tc>
        <w:tc>
          <w:tcPr>
            <w:tcW w:w="2906" w:type="dxa"/>
            <w:tcBorders>
              <w:top w:val="nil"/>
              <w:left w:val="nil"/>
              <w:bottom w:val="nil"/>
              <w:right w:val="nil"/>
            </w:tcBorders>
            <w:shd w:val="clear" w:color="auto" w:fill="auto"/>
            <w:vAlign w:val="center"/>
          </w:tcPr>
          <w:p w14:paraId="71E8222B"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(211)</w:t>
            </w:r>
          </w:p>
        </w:tc>
      </w:tr>
      <w:tr w:rsidR="006A362F" w:rsidRPr="00E155FB" w14:paraId="2AED4970"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FDE2C29" w14:textId="77777777" w:rsidR="006A362F" w:rsidRPr="00E155FB" w:rsidRDefault="006A362F" w:rsidP="006928A6">
            <w:pPr>
              <w:keepNext/>
              <w:keepLines/>
              <w:rPr>
                <w:rFonts w:cs="Arial"/>
                <w:sz w:val="14"/>
                <w:szCs w:val="14"/>
                <w:highlight w:val="yellow"/>
              </w:rPr>
            </w:pPr>
            <w:r>
              <w:rPr>
                <w:rFonts w:cs="Arial"/>
                <w:sz w:val="14"/>
                <w:szCs w:val="14"/>
              </w:rPr>
              <w:t>Other income and expenses</w:t>
            </w:r>
          </w:p>
        </w:tc>
        <w:tc>
          <w:tcPr>
            <w:tcW w:w="2906" w:type="dxa"/>
            <w:tcBorders>
              <w:top w:val="nil"/>
              <w:left w:val="nil"/>
              <w:bottom w:val="nil"/>
              <w:right w:val="nil"/>
            </w:tcBorders>
            <w:shd w:val="clear" w:color="auto" w:fill="auto"/>
            <w:vAlign w:val="center"/>
          </w:tcPr>
          <w:p w14:paraId="09511F01"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13</w:t>
            </w:r>
            <w:r>
              <w:rPr>
                <w:rFonts w:cs="Arial"/>
                <w:b/>
                <w:bCs/>
                <w:sz w:val="14"/>
                <w:szCs w:val="14"/>
              </w:rPr>
              <w:t>,</w:t>
            </w:r>
            <w:r w:rsidRPr="00E155FB">
              <w:rPr>
                <w:rFonts w:cs="Arial"/>
                <w:b/>
                <w:bCs/>
                <w:sz w:val="14"/>
                <w:szCs w:val="14"/>
              </w:rPr>
              <w:t>285</w:t>
            </w:r>
          </w:p>
        </w:tc>
        <w:tc>
          <w:tcPr>
            <w:tcW w:w="2906" w:type="dxa"/>
            <w:tcBorders>
              <w:top w:val="nil"/>
              <w:left w:val="nil"/>
              <w:bottom w:val="nil"/>
              <w:right w:val="nil"/>
            </w:tcBorders>
            <w:shd w:val="clear" w:color="auto" w:fill="auto"/>
            <w:vAlign w:val="center"/>
          </w:tcPr>
          <w:p w14:paraId="081F1174"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E155FB">
              <w:rPr>
                <w:rFonts w:cs="Arial"/>
                <w:b/>
                <w:bCs/>
                <w:sz w:val="14"/>
                <w:szCs w:val="14"/>
              </w:rPr>
              <w:t xml:space="preserve">  11</w:t>
            </w:r>
            <w:r>
              <w:rPr>
                <w:rFonts w:cs="Arial"/>
                <w:b/>
                <w:bCs/>
                <w:sz w:val="14"/>
                <w:szCs w:val="14"/>
              </w:rPr>
              <w:t>,</w:t>
            </w:r>
            <w:r w:rsidRPr="00E155FB">
              <w:rPr>
                <w:rFonts w:cs="Arial"/>
                <w:b/>
                <w:bCs/>
                <w:sz w:val="14"/>
                <w:szCs w:val="14"/>
              </w:rPr>
              <w:t xml:space="preserve">697 </w:t>
            </w:r>
          </w:p>
        </w:tc>
      </w:tr>
      <w:tr w:rsidR="006A362F" w:rsidRPr="00E155FB" w14:paraId="6FC1D244"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6C270D4D" w14:textId="77777777" w:rsidR="006A362F" w:rsidRPr="00E155FB" w:rsidRDefault="006A362F" w:rsidP="006928A6">
            <w:pPr>
              <w:keepNext/>
              <w:keepLines/>
              <w:spacing w:before="40" w:after="40"/>
              <w:ind w:left="113"/>
              <w:rPr>
                <w:rFonts w:cs="Arial"/>
                <w:b w:val="0"/>
                <w:bCs w:val="0"/>
                <w:sz w:val="14"/>
                <w:szCs w:val="14"/>
              </w:rPr>
            </w:pPr>
            <w:r>
              <w:rPr>
                <w:rFonts w:cs="Arial"/>
                <w:b w:val="0"/>
                <w:bCs w:val="0"/>
                <w:sz w:val="14"/>
                <w:szCs w:val="14"/>
              </w:rPr>
              <w:t>Other income</w:t>
            </w:r>
          </w:p>
        </w:tc>
        <w:tc>
          <w:tcPr>
            <w:tcW w:w="2906" w:type="dxa"/>
            <w:tcBorders>
              <w:top w:val="nil"/>
              <w:left w:val="nil"/>
              <w:bottom w:val="nil"/>
              <w:right w:val="nil"/>
            </w:tcBorders>
            <w:shd w:val="clear" w:color="auto" w:fill="auto"/>
            <w:vAlign w:val="center"/>
          </w:tcPr>
          <w:p w14:paraId="313624FB"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14</w:t>
            </w:r>
            <w:r>
              <w:rPr>
                <w:rFonts w:cs="Arial"/>
                <w:sz w:val="14"/>
                <w:szCs w:val="14"/>
              </w:rPr>
              <w:t>,</w:t>
            </w:r>
            <w:r w:rsidRPr="00E155FB">
              <w:rPr>
                <w:rFonts w:cs="Arial"/>
                <w:sz w:val="14"/>
                <w:szCs w:val="14"/>
              </w:rPr>
              <w:t>11</w:t>
            </w:r>
            <w:r>
              <w:rPr>
                <w:rFonts w:cs="Arial"/>
                <w:sz w:val="14"/>
                <w:szCs w:val="14"/>
              </w:rPr>
              <w:t>5</w:t>
            </w:r>
          </w:p>
        </w:tc>
        <w:tc>
          <w:tcPr>
            <w:tcW w:w="2906" w:type="dxa"/>
            <w:tcBorders>
              <w:top w:val="nil"/>
              <w:left w:val="nil"/>
              <w:bottom w:val="nil"/>
              <w:right w:val="nil"/>
            </w:tcBorders>
            <w:shd w:val="clear" w:color="auto" w:fill="auto"/>
            <w:vAlign w:val="center"/>
          </w:tcPr>
          <w:p w14:paraId="05357B24"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11</w:t>
            </w:r>
            <w:r>
              <w:rPr>
                <w:rFonts w:cs="Arial"/>
                <w:sz w:val="14"/>
                <w:szCs w:val="14"/>
              </w:rPr>
              <w:t>,</w:t>
            </w:r>
            <w:r w:rsidRPr="00E155FB">
              <w:rPr>
                <w:rFonts w:cs="Arial"/>
                <w:sz w:val="14"/>
                <w:szCs w:val="14"/>
              </w:rPr>
              <w:t>9</w:t>
            </w:r>
            <w:r>
              <w:rPr>
                <w:rFonts w:cs="Arial"/>
                <w:sz w:val="14"/>
                <w:szCs w:val="14"/>
              </w:rPr>
              <w:t>80</w:t>
            </w:r>
            <w:r w:rsidRPr="00E155FB">
              <w:rPr>
                <w:rFonts w:cs="Arial"/>
                <w:sz w:val="14"/>
                <w:szCs w:val="14"/>
              </w:rPr>
              <w:t xml:space="preserve"> </w:t>
            </w:r>
          </w:p>
        </w:tc>
      </w:tr>
      <w:tr w:rsidR="006A362F" w:rsidRPr="00E155FB" w14:paraId="7FB3F327"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9AC71C3" w14:textId="77777777" w:rsidR="006A362F" w:rsidRPr="00E155FB" w:rsidRDefault="006A362F" w:rsidP="006928A6">
            <w:pPr>
              <w:keepNext/>
              <w:keepLines/>
              <w:spacing w:before="40" w:after="40"/>
              <w:ind w:left="113"/>
              <w:rPr>
                <w:rFonts w:cs="Arial"/>
                <w:b w:val="0"/>
                <w:bCs w:val="0"/>
                <w:sz w:val="14"/>
                <w:szCs w:val="14"/>
              </w:rPr>
            </w:pPr>
            <w:r>
              <w:rPr>
                <w:rFonts w:cs="Arial"/>
                <w:b w:val="0"/>
                <w:bCs w:val="0"/>
                <w:sz w:val="14"/>
                <w:szCs w:val="14"/>
              </w:rPr>
              <w:t>Other expenses</w:t>
            </w:r>
          </w:p>
        </w:tc>
        <w:tc>
          <w:tcPr>
            <w:tcW w:w="2906" w:type="dxa"/>
            <w:tcBorders>
              <w:top w:val="nil"/>
              <w:left w:val="nil"/>
              <w:bottom w:val="nil"/>
              <w:right w:val="nil"/>
            </w:tcBorders>
            <w:shd w:val="clear" w:color="auto" w:fill="auto"/>
            <w:vAlign w:val="center"/>
          </w:tcPr>
          <w:p w14:paraId="679537CE"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(830)</w:t>
            </w:r>
          </w:p>
        </w:tc>
        <w:tc>
          <w:tcPr>
            <w:tcW w:w="2906" w:type="dxa"/>
            <w:tcBorders>
              <w:top w:val="nil"/>
              <w:left w:val="nil"/>
              <w:bottom w:val="nil"/>
              <w:right w:val="nil"/>
            </w:tcBorders>
            <w:shd w:val="clear" w:color="auto" w:fill="auto"/>
            <w:vAlign w:val="center"/>
          </w:tcPr>
          <w:p w14:paraId="628ABE50"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(283)</w:t>
            </w:r>
          </w:p>
        </w:tc>
      </w:tr>
      <w:tr w:rsidR="006A362F" w:rsidRPr="00E155FB" w14:paraId="174CDEC6"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584152E" w14:textId="77777777" w:rsidR="006A362F" w:rsidRPr="00E155FB" w:rsidRDefault="006A362F" w:rsidP="006928A6">
            <w:pPr>
              <w:keepNext/>
              <w:keepLines/>
              <w:rPr>
                <w:rFonts w:cs="Arial"/>
                <w:sz w:val="14"/>
                <w:szCs w:val="14"/>
                <w:highlight w:val="yellow"/>
              </w:rPr>
            </w:pPr>
            <w:r>
              <w:rPr>
                <w:rFonts w:cs="Arial"/>
                <w:sz w:val="14"/>
                <w:szCs w:val="14"/>
              </w:rPr>
              <w:t>Operational result</w:t>
            </w:r>
          </w:p>
        </w:tc>
        <w:tc>
          <w:tcPr>
            <w:tcW w:w="2906" w:type="dxa"/>
            <w:tcBorders>
              <w:top w:val="nil"/>
              <w:left w:val="nil"/>
              <w:bottom w:val="nil"/>
              <w:right w:val="nil"/>
            </w:tcBorders>
            <w:shd w:val="clear" w:color="auto" w:fill="auto"/>
            <w:vAlign w:val="center"/>
          </w:tcPr>
          <w:p w14:paraId="272D62D9"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155FB">
              <w:rPr>
                <w:rFonts w:cs="Arial"/>
                <w:b/>
                <w:bCs/>
                <w:sz w:val="14"/>
                <w:szCs w:val="14"/>
              </w:rPr>
              <w:t>105</w:t>
            </w:r>
            <w:r>
              <w:rPr>
                <w:rFonts w:cs="Arial"/>
                <w:b/>
                <w:bCs/>
                <w:sz w:val="14"/>
                <w:szCs w:val="14"/>
              </w:rPr>
              <w:t>,</w:t>
            </w:r>
            <w:r w:rsidRPr="00E155FB">
              <w:rPr>
                <w:rFonts w:cs="Arial"/>
                <w:b/>
                <w:bCs/>
                <w:sz w:val="14"/>
                <w:szCs w:val="14"/>
              </w:rPr>
              <w:t>320</w:t>
            </w:r>
          </w:p>
        </w:tc>
        <w:tc>
          <w:tcPr>
            <w:tcW w:w="2906" w:type="dxa"/>
            <w:tcBorders>
              <w:top w:val="nil"/>
              <w:left w:val="nil"/>
              <w:bottom w:val="nil"/>
              <w:right w:val="nil"/>
            </w:tcBorders>
            <w:shd w:val="clear" w:color="auto" w:fill="auto"/>
            <w:vAlign w:val="center"/>
          </w:tcPr>
          <w:p w14:paraId="1335F035"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155FB">
              <w:rPr>
                <w:rFonts w:cs="Arial"/>
                <w:b/>
                <w:bCs/>
                <w:sz w:val="14"/>
                <w:szCs w:val="14"/>
              </w:rPr>
              <w:t xml:space="preserve">  88</w:t>
            </w:r>
            <w:r>
              <w:rPr>
                <w:rFonts w:cs="Arial"/>
                <w:b/>
                <w:bCs/>
                <w:sz w:val="14"/>
                <w:szCs w:val="14"/>
              </w:rPr>
              <w:t>,</w:t>
            </w:r>
            <w:r w:rsidRPr="00E155FB">
              <w:rPr>
                <w:rFonts w:cs="Arial"/>
                <w:b/>
                <w:bCs/>
                <w:sz w:val="14"/>
                <w:szCs w:val="14"/>
              </w:rPr>
              <w:t xml:space="preserve">018 </w:t>
            </w:r>
          </w:p>
        </w:tc>
      </w:tr>
      <w:tr w:rsidR="006A362F" w:rsidRPr="00E155FB" w14:paraId="04B8D3C3"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B0B0A46" w14:textId="77777777" w:rsidR="006A362F" w:rsidRPr="003F2F2A" w:rsidRDefault="006A362F" w:rsidP="006928A6">
            <w:pPr>
              <w:keepNext/>
              <w:keepLines/>
              <w:spacing w:before="40" w:after="40"/>
              <w:ind w:left="113"/>
              <w:rPr>
                <w:rFonts w:cs="Arial"/>
                <w:b w:val="0"/>
                <w:bCs w:val="0"/>
                <w:sz w:val="14"/>
                <w:szCs w:val="14"/>
                <w:lang w:val="en-US"/>
              </w:rPr>
            </w:pPr>
            <w:r w:rsidRPr="003F2F2A">
              <w:rPr>
                <w:rFonts w:cs="Arial"/>
                <w:b w:val="0"/>
                <w:bCs w:val="0"/>
                <w:sz w:val="14"/>
                <w:szCs w:val="14"/>
                <w:lang w:val="en-US"/>
              </w:rPr>
              <w:t>Gains/losses on non-current assets</w:t>
            </w:r>
          </w:p>
        </w:tc>
        <w:tc>
          <w:tcPr>
            <w:tcW w:w="2906" w:type="dxa"/>
            <w:tcBorders>
              <w:top w:val="nil"/>
              <w:left w:val="nil"/>
              <w:bottom w:val="nil"/>
              <w:right w:val="nil"/>
            </w:tcBorders>
            <w:shd w:val="clear" w:color="auto" w:fill="auto"/>
            <w:vAlign w:val="center"/>
          </w:tcPr>
          <w:p w14:paraId="7196100B"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E155FB">
              <w:rPr>
                <w:rFonts w:cs="Arial"/>
                <w:sz w:val="14"/>
                <w:szCs w:val="14"/>
              </w:rPr>
              <w:t>(5)</w:t>
            </w:r>
          </w:p>
        </w:tc>
        <w:tc>
          <w:tcPr>
            <w:tcW w:w="2906" w:type="dxa"/>
            <w:tcBorders>
              <w:top w:val="nil"/>
              <w:left w:val="nil"/>
              <w:bottom w:val="nil"/>
              <w:right w:val="nil"/>
            </w:tcBorders>
            <w:shd w:val="clear" w:color="auto" w:fill="auto"/>
            <w:vAlign w:val="center"/>
          </w:tcPr>
          <w:p w14:paraId="24F27680"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(152)</w:t>
            </w:r>
          </w:p>
        </w:tc>
      </w:tr>
      <w:tr w:rsidR="006A362F" w:rsidRPr="00773064" w14:paraId="1284B938"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41A0895A" w14:textId="77777777" w:rsidR="006A362F" w:rsidRPr="00773064" w:rsidRDefault="006A362F" w:rsidP="006928A6">
            <w:pPr>
              <w:keepNext/>
              <w:keepLines/>
              <w:rPr>
                <w:rFonts w:cs="Arial"/>
                <w:sz w:val="14"/>
                <w:szCs w:val="14"/>
              </w:rPr>
            </w:pPr>
            <w:r>
              <w:rPr>
                <w:rFonts w:cs="Arial"/>
                <w:color w:val="000000"/>
                <w:sz w:val="14"/>
                <w:szCs w:val="14"/>
              </w:rPr>
              <w:t>Income before taxes</w:t>
            </w:r>
          </w:p>
        </w:tc>
        <w:tc>
          <w:tcPr>
            <w:tcW w:w="2906" w:type="dxa"/>
            <w:tcBorders>
              <w:top w:val="nil"/>
              <w:left w:val="nil"/>
              <w:bottom w:val="nil"/>
              <w:right w:val="nil"/>
            </w:tcBorders>
            <w:shd w:val="clear" w:color="auto" w:fill="auto"/>
            <w:vAlign w:val="center"/>
          </w:tcPr>
          <w:p w14:paraId="46C20D4C" w14:textId="77777777" w:rsidR="006A362F" w:rsidRPr="00773064"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773064">
              <w:rPr>
                <w:rFonts w:cs="Arial"/>
                <w:b/>
                <w:bCs/>
                <w:sz w:val="14"/>
                <w:szCs w:val="14"/>
              </w:rPr>
              <w:t>105</w:t>
            </w:r>
            <w:r>
              <w:rPr>
                <w:rFonts w:cs="Arial"/>
                <w:b/>
                <w:bCs/>
                <w:sz w:val="14"/>
                <w:szCs w:val="14"/>
              </w:rPr>
              <w:t>,</w:t>
            </w:r>
            <w:r w:rsidRPr="00773064">
              <w:rPr>
                <w:rFonts w:cs="Arial"/>
                <w:b/>
                <w:bCs/>
                <w:sz w:val="14"/>
                <w:szCs w:val="14"/>
              </w:rPr>
              <w:t>315</w:t>
            </w:r>
          </w:p>
        </w:tc>
        <w:tc>
          <w:tcPr>
            <w:tcW w:w="2906" w:type="dxa"/>
            <w:tcBorders>
              <w:top w:val="nil"/>
              <w:left w:val="nil"/>
              <w:bottom w:val="nil"/>
              <w:right w:val="nil"/>
            </w:tcBorders>
            <w:shd w:val="clear" w:color="auto" w:fill="auto"/>
            <w:vAlign w:val="center"/>
          </w:tcPr>
          <w:p w14:paraId="1D850104" w14:textId="77777777" w:rsidR="006A362F" w:rsidRPr="00773064"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773064">
              <w:rPr>
                <w:rFonts w:cs="Arial"/>
                <w:b/>
                <w:bCs/>
                <w:sz w:val="14"/>
                <w:szCs w:val="14"/>
              </w:rPr>
              <w:t xml:space="preserve">  87</w:t>
            </w:r>
            <w:r>
              <w:rPr>
                <w:rFonts w:cs="Arial"/>
                <w:b/>
                <w:bCs/>
                <w:sz w:val="14"/>
                <w:szCs w:val="14"/>
              </w:rPr>
              <w:t>,</w:t>
            </w:r>
            <w:r w:rsidRPr="00773064">
              <w:rPr>
                <w:rFonts w:cs="Arial"/>
                <w:b/>
                <w:bCs/>
                <w:sz w:val="14"/>
                <w:szCs w:val="14"/>
              </w:rPr>
              <w:t xml:space="preserve">866 </w:t>
            </w:r>
          </w:p>
        </w:tc>
      </w:tr>
      <w:tr w:rsidR="006A362F" w:rsidRPr="00E155FB" w14:paraId="6BED6B46"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8C246C1" w14:textId="77777777" w:rsidR="006A362F" w:rsidRPr="00E155FB" w:rsidRDefault="006A362F" w:rsidP="006928A6">
            <w:pPr>
              <w:keepNext/>
              <w:keepLines/>
              <w:spacing w:before="40" w:after="40"/>
              <w:ind w:left="113"/>
              <w:rPr>
                <w:rFonts w:cs="Arial"/>
                <w:b w:val="0"/>
                <w:bCs w:val="0"/>
                <w:sz w:val="14"/>
                <w:szCs w:val="14"/>
              </w:rPr>
            </w:pPr>
            <w:r>
              <w:rPr>
                <w:rFonts w:cs="Arial"/>
                <w:b w:val="0"/>
                <w:bCs w:val="0"/>
                <w:sz w:val="14"/>
                <w:szCs w:val="14"/>
              </w:rPr>
              <w:t>Taxes</w:t>
            </w:r>
          </w:p>
        </w:tc>
        <w:tc>
          <w:tcPr>
            <w:tcW w:w="2906" w:type="dxa"/>
            <w:tcBorders>
              <w:top w:val="nil"/>
              <w:left w:val="nil"/>
              <w:bottom w:val="nil"/>
              <w:right w:val="nil"/>
            </w:tcBorders>
            <w:shd w:val="clear" w:color="auto" w:fill="auto"/>
            <w:vAlign w:val="center"/>
          </w:tcPr>
          <w:p w14:paraId="20211070"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E155FB">
              <w:rPr>
                <w:rFonts w:cs="Arial"/>
                <w:sz w:val="14"/>
                <w:szCs w:val="14"/>
              </w:rPr>
              <w:t>(42</w:t>
            </w:r>
            <w:r>
              <w:rPr>
                <w:rFonts w:cs="Arial"/>
                <w:sz w:val="14"/>
                <w:szCs w:val="14"/>
              </w:rPr>
              <w:t>,</w:t>
            </w:r>
            <w:r w:rsidRPr="00E155FB">
              <w:rPr>
                <w:rFonts w:cs="Arial"/>
                <w:sz w:val="14"/>
                <w:szCs w:val="14"/>
              </w:rPr>
              <w:t>159)</w:t>
            </w:r>
          </w:p>
        </w:tc>
        <w:tc>
          <w:tcPr>
            <w:tcW w:w="2906" w:type="dxa"/>
            <w:tcBorders>
              <w:top w:val="nil"/>
              <w:left w:val="nil"/>
              <w:bottom w:val="nil"/>
              <w:right w:val="nil"/>
            </w:tcBorders>
            <w:shd w:val="clear" w:color="auto" w:fill="auto"/>
            <w:vAlign w:val="center"/>
          </w:tcPr>
          <w:p w14:paraId="2F80669D" w14:textId="77777777" w:rsidR="006A362F" w:rsidRPr="00E155FB"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E155FB">
              <w:rPr>
                <w:rFonts w:cs="Arial"/>
                <w:sz w:val="14"/>
                <w:szCs w:val="14"/>
              </w:rPr>
              <w:t xml:space="preserve">  (36</w:t>
            </w:r>
            <w:r>
              <w:rPr>
                <w:rFonts w:cs="Arial"/>
                <w:sz w:val="14"/>
                <w:szCs w:val="14"/>
              </w:rPr>
              <w:t>,</w:t>
            </w:r>
            <w:r w:rsidRPr="00E155FB">
              <w:rPr>
                <w:rFonts w:cs="Arial"/>
                <w:sz w:val="14"/>
                <w:szCs w:val="14"/>
              </w:rPr>
              <w:t>084)</w:t>
            </w:r>
          </w:p>
        </w:tc>
      </w:tr>
      <w:tr w:rsidR="006A362F" w:rsidRPr="00E155FB" w14:paraId="2F2C65A5"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E395F42" w14:textId="77777777" w:rsidR="006A362F" w:rsidRPr="00E155FB" w:rsidRDefault="006A362F" w:rsidP="006928A6">
            <w:pPr>
              <w:keepNext/>
              <w:keepLines/>
              <w:spacing w:before="40" w:after="40"/>
              <w:ind w:left="113"/>
              <w:rPr>
                <w:rFonts w:cs="Arial"/>
                <w:b w:val="0"/>
                <w:bCs w:val="0"/>
                <w:sz w:val="14"/>
                <w:szCs w:val="14"/>
              </w:rPr>
            </w:pPr>
            <w:r>
              <w:rPr>
                <w:rFonts w:cs="Arial"/>
                <w:b w:val="0"/>
                <w:bCs w:val="0"/>
                <w:sz w:val="14"/>
                <w:szCs w:val="14"/>
              </w:rPr>
              <w:t>Profit sharing</w:t>
            </w:r>
          </w:p>
        </w:tc>
        <w:tc>
          <w:tcPr>
            <w:tcW w:w="2906" w:type="dxa"/>
            <w:tcBorders>
              <w:top w:val="nil"/>
              <w:left w:val="nil"/>
              <w:bottom w:val="nil"/>
              <w:right w:val="nil"/>
            </w:tcBorders>
            <w:shd w:val="clear" w:color="auto" w:fill="auto"/>
            <w:vAlign w:val="center"/>
          </w:tcPr>
          <w:p w14:paraId="4A082026"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E155FB">
              <w:rPr>
                <w:rFonts w:cs="Arial"/>
                <w:sz w:val="14"/>
                <w:szCs w:val="14"/>
              </w:rPr>
              <w:t>(469)</w:t>
            </w:r>
          </w:p>
        </w:tc>
        <w:tc>
          <w:tcPr>
            <w:tcW w:w="2906" w:type="dxa"/>
            <w:tcBorders>
              <w:top w:val="nil"/>
              <w:left w:val="nil"/>
              <w:bottom w:val="nil"/>
              <w:right w:val="nil"/>
            </w:tcBorders>
            <w:shd w:val="clear" w:color="auto" w:fill="auto"/>
            <w:vAlign w:val="center"/>
          </w:tcPr>
          <w:p w14:paraId="34C61BFC"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1</w:t>
            </w:r>
            <w:r>
              <w:rPr>
                <w:rFonts w:cs="Arial"/>
                <w:sz w:val="14"/>
                <w:szCs w:val="14"/>
              </w:rPr>
              <w:t>,</w:t>
            </w:r>
            <w:r w:rsidRPr="00E155FB">
              <w:rPr>
                <w:rFonts w:cs="Arial"/>
                <w:sz w:val="14"/>
                <w:szCs w:val="14"/>
              </w:rPr>
              <w:t xml:space="preserve">407 </w:t>
            </w:r>
          </w:p>
        </w:tc>
      </w:tr>
      <w:tr w:rsidR="006A362F" w:rsidRPr="00773064" w14:paraId="3488E950"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55442F46" w14:textId="77777777" w:rsidR="006A362F" w:rsidRPr="00773064" w:rsidRDefault="006A362F" w:rsidP="006928A6">
            <w:pPr>
              <w:keepNext/>
              <w:keepLines/>
              <w:rPr>
                <w:rFonts w:cs="Arial"/>
                <w:sz w:val="14"/>
                <w:szCs w:val="14"/>
              </w:rPr>
            </w:pPr>
            <w:r>
              <w:rPr>
                <w:rFonts w:cs="Arial"/>
                <w:color w:val="000000"/>
                <w:sz w:val="14"/>
                <w:szCs w:val="14"/>
              </w:rPr>
              <w:t>Net income</w:t>
            </w:r>
          </w:p>
        </w:tc>
        <w:tc>
          <w:tcPr>
            <w:tcW w:w="2906" w:type="dxa"/>
            <w:tcBorders>
              <w:top w:val="nil"/>
              <w:left w:val="nil"/>
              <w:bottom w:val="nil"/>
              <w:right w:val="nil"/>
            </w:tcBorders>
            <w:shd w:val="clear" w:color="auto" w:fill="auto"/>
            <w:vAlign w:val="center"/>
          </w:tcPr>
          <w:p w14:paraId="33D68372" w14:textId="77777777" w:rsidR="006A362F" w:rsidRPr="00773064"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773064">
              <w:rPr>
                <w:rFonts w:cs="Arial"/>
                <w:b/>
                <w:bCs/>
                <w:sz w:val="14"/>
                <w:szCs w:val="14"/>
              </w:rPr>
              <w:t>62</w:t>
            </w:r>
            <w:r>
              <w:rPr>
                <w:rFonts w:cs="Arial"/>
                <w:b/>
                <w:bCs/>
                <w:sz w:val="14"/>
                <w:szCs w:val="14"/>
              </w:rPr>
              <w:t>,</w:t>
            </w:r>
            <w:r w:rsidRPr="00773064">
              <w:rPr>
                <w:rFonts w:cs="Arial"/>
                <w:b/>
                <w:bCs/>
                <w:sz w:val="14"/>
                <w:szCs w:val="14"/>
              </w:rPr>
              <w:t>687</w:t>
            </w:r>
          </w:p>
        </w:tc>
        <w:tc>
          <w:tcPr>
            <w:tcW w:w="2906" w:type="dxa"/>
            <w:tcBorders>
              <w:top w:val="nil"/>
              <w:left w:val="nil"/>
              <w:bottom w:val="nil"/>
              <w:right w:val="nil"/>
            </w:tcBorders>
            <w:shd w:val="clear" w:color="auto" w:fill="auto"/>
            <w:vAlign w:val="center"/>
          </w:tcPr>
          <w:p w14:paraId="477D7F49" w14:textId="77777777" w:rsidR="006A362F" w:rsidRPr="00773064"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773064">
              <w:rPr>
                <w:rFonts w:cs="Arial"/>
                <w:b/>
                <w:bCs/>
                <w:sz w:val="14"/>
                <w:szCs w:val="14"/>
              </w:rPr>
              <w:t xml:space="preserve">  53</w:t>
            </w:r>
            <w:r>
              <w:rPr>
                <w:rFonts w:cs="Arial"/>
                <w:b/>
                <w:bCs/>
                <w:sz w:val="14"/>
                <w:szCs w:val="14"/>
              </w:rPr>
              <w:t>,</w:t>
            </w:r>
            <w:r w:rsidRPr="00773064">
              <w:rPr>
                <w:rFonts w:cs="Arial"/>
                <w:b/>
                <w:bCs/>
                <w:sz w:val="14"/>
                <w:szCs w:val="14"/>
              </w:rPr>
              <w:t xml:space="preserve">189 </w:t>
            </w:r>
          </w:p>
        </w:tc>
      </w:tr>
      <w:tr w:rsidR="006A362F" w:rsidRPr="00E155FB" w14:paraId="2F30ACE2"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036B7B15" w14:textId="77777777" w:rsidR="006A362F" w:rsidRPr="00E155FB" w:rsidRDefault="006A362F" w:rsidP="006928A6">
            <w:pPr>
              <w:keepNext/>
              <w:keepLines/>
              <w:spacing w:before="40" w:after="40"/>
              <w:ind w:left="113"/>
              <w:rPr>
                <w:rFonts w:cs="Arial"/>
                <w:b w:val="0"/>
                <w:bCs w:val="0"/>
                <w:sz w:val="14"/>
                <w:szCs w:val="14"/>
              </w:rPr>
            </w:pPr>
            <w:r>
              <w:rPr>
                <w:rFonts w:cs="Arial"/>
                <w:b w:val="0"/>
                <w:bCs w:val="0"/>
                <w:sz w:val="14"/>
                <w:szCs w:val="14"/>
              </w:rPr>
              <w:t>Other comprehensive results</w:t>
            </w:r>
          </w:p>
        </w:tc>
        <w:tc>
          <w:tcPr>
            <w:tcW w:w="2906" w:type="dxa"/>
            <w:tcBorders>
              <w:top w:val="nil"/>
              <w:left w:val="nil"/>
              <w:bottom w:val="nil"/>
              <w:right w:val="nil"/>
            </w:tcBorders>
            <w:shd w:val="clear" w:color="auto" w:fill="auto"/>
            <w:vAlign w:val="center"/>
          </w:tcPr>
          <w:p w14:paraId="4D5D8003"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E155FB">
              <w:rPr>
                <w:rFonts w:cs="Arial"/>
                <w:sz w:val="14"/>
                <w:szCs w:val="14"/>
              </w:rPr>
              <w:t>(60</w:t>
            </w:r>
            <w:r>
              <w:rPr>
                <w:rFonts w:cs="Arial"/>
                <w:sz w:val="14"/>
                <w:szCs w:val="14"/>
              </w:rPr>
              <w:t>,</w:t>
            </w:r>
            <w:r w:rsidRPr="00E155FB">
              <w:rPr>
                <w:rFonts w:cs="Arial"/>
                <w:sz w:val="14"/>
                <w:szCs w:val="14"/>
              </w:rPr>
              <w:t>581)</w:t>
            </w:r>
          </w:p>
        </w:tc>
        <w:tc>
          <w:tcPr>
            <w:tcW w:w="2906" w:type="dxa"/>
            <w:tcBorders>
              <w:top w:val="nil"/>
              <w:left w:val="nil"/>
              <w:bottom w:val="nil"/>
              <w:right w:val="nil"/>
            </w:tcBorders>
            <w:shd w:val="clear" w:color="auto" w:fill="auto"/>
            <w:vAlign w:val="center"/>
          </w:tcPr>
          <w:p w14:paraId="1704D373" w14:textId="77777777" w:rsidR="006A362F" w:rsidRPr="00E155FB"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color w:val="000000"/>
                <w:sz w:val="14"/>
                <w:szCs w:val="14"/>
                <w:highlight w:val="yellow"/>
              </w:rPr>
            </w:pPr>
            <w:r w:rsidRPr="00E155FB">
              <w:rPr>
                <w:rFonts w:cs="Arial"/>
                <w:sz w:val="14"/>
                <w:szCs w:val="14"/>
              </w:rPr>
              <w:t xml:space="preserve">  (98</w:t>
            </w:r>
            <w:r>
              <w:rPr>
                <w:rFonts w:cs="Arial"/>
                <w:sz w:val="14"/>
                <w:szCs w:val="14"/>
              </w:rPr>
              <w:t>,</w:t>
            </w:r>
            <w:r w:rsidRPr="00E155FB">
              <w:rPr>
                <w:rFonts w:cs="Arial"/>
                <w:sz w:val="14"/>
                <w:szCs w:val="14"/>
              </w:rPr>
              <w:t>085)</w:t>
            </w:r>
          </w:p>
        </w:tc>
      </w:tr>
      <w:tr w:rsidR="006A362F" w:rsidRPr="00773064" w14:paraId="05D41213"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7965263A" w14:textId="77777777" w:rsidR="006A362F" w:rsidRPr="00773064" w:rsidRDefault="006A362F" w:rsidP="006928A6">
            <w:pPr>
              <w:keepNext/>
              <w:keepLines/>
              <w:rPr>
                <w:rFonts w:cs="Arial"/>
                <w:sz w:val="14"/>
                <w:szCs w:val="14"/>
              </w:rPr>
            </w:pPr>
            <w:r>
              <w:rPr>
                <w:rFonts w:cs="Arial"/>
                <w:sz w:val="14"/>
                <w:szCs w:val="14"/>
              </w:rPr>
              <w:t>Comprehensive income</w:t>
            </w:r>
          </w:p>
        </w:tc>
        <w:tc>
          <w:tcPr>
            <w:tcW w:w="2906" w:type="dxa"/>
            <w:tcBorders>
              <w:top w:val="nil"/>
              <w:left w:val="nil"/>
              <w:bottom w:val="nil"/>
              <w:right w:val="nil"/>
            </w:tcBorders>
            <w:shd w:val="clear" w:color="auto" w:fill="auto"/>
            <w:vAlign w:val="center"/>
          </w:tcPr>
          <w:p w14:paraId="38786DE4" w14:textId="77777777" w:rsidR="006A362F" w:rsidRPr="00773064"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773064">
              <w:rPr>
                <w:rFonts w:cs="Arial"/>
                <w:b/>
                <w:bCs/>
                <w:sz w:val="14"/>
                <w:szCs w:val="14"/>
              </w:rPr>
              <w:t>2</w:t>
            </w:r>
            <w:r>
              <w:rPr>
                <w:rFonts w:cs="Arial"/>
                <w:b/>
                <w:bCs/>
                <w:sz w:val="14"/>
                <w:szCs w:val="14"/>
              </w:rPr>
              <w:t>,</w:t>
            </w:r>
            <w:r w:rsidRPr="00773064">
              <w:rPr>
                <w:rFonts w:cs="Arial"/>
                <w:b/>
                <w:bCs/>
                <w:sz w:val="14"/>
                <w:szCs w:val="14"/>
              </w:rPr>
              <w:t>106</w:t>
            </w:r>
          </w:p>
        </w:tc>
        <w:tc>
          <w:tcPr>
            <w:tcW w:w="2906" w:type="dxa"/>
            <w:tcBorders>
              <w:top w:val="nil"/>
              <w:left w:val="nil"/>
              <w:bottom w:val="nil"/>
              <w:right w:val="nil"/>
            </w:tcBorders>
            <w:shd w:val="clear" w:color="auto" w:fill="auto"/>
            <w:vAlign w:val="center"/>
          </w:tcPr>
          <w:p w14:paraId="7F1C902D" w14:textId="77777777" w:rsidR="006A362F" w:rsidRPr="00773064"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highlight w:val="yellow"/>
              </w:rPr>
            </w:pPr>
            <w:r w:rsidRPr="00773064">
              <w:rPr>
                <w:rFonts w:cs="Arial"/>
                <w:b/>
                <w:bCs/>
                <w:sz w:val="14"/>
                <w:szCs w:val="14"/>
              </w:rPr>
              <w:t xml:space="preserve">  (44</w:t>
            </w:r>
            <w:r>
              <w:rPr>
                <w:rFonts w:cs="Arial"/>
                <w:b/>
                <w:bCs/>
                <w:sz w:val="14"/>
                <w:szCs w:val="14"/>
              </w:rPr>
              <w:t>,</w:t>
            </w:r>
            <w:r w:rsidRPr="00773064">
              <w:rPr>
                <w:rFonts w:cs="Arial"/>
                <w:b/>
                <w:bCs/>
                <w:sz w:val="14"/>
                <w:szCs w:val="14"/>
              </w:rPr>
              <w:t>896)</w:t>
            </w:r>
          </w:p>
        </w:tc>
      </w:tr>
      <w:tr w:rsidR="006A362F" w:rsidRPr="00773064" w14:paraId="428F158F" w14:textId="77777777" w:rsidTr="0066224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right w:val="nil"/>
            </w:tcBorders>
            <w:shd w:val="clear" w:color="auto" w:fill="auto"/>
            <w:vAlign w:val="center"/>
          </w:tcPr>
          <w:p w14:paraId="33C622F8" w14:textId="77777777" w:rsidR="006A362F" w:rsidRPr="00773064" w:rsidRDefault="006A362F" w:rsidP="006928A6">
            <w:pPr>
              <w:keepNext/>
              <w:keepLines/>
              <w:rPr>
                <w:rFonts w:cs="Arial"/>
                <w:b w:val="0"/>
                <w:bCs w:val="0"/>
                <w:sz w:val="14"/>
                <w:szCs w:val="14"/>
              </w:rPr>
            </w:pPr>
            <w:r>
              <w:rPr>
                <w:rFonts w:eastAsia="Times New Roman" w:cs="Arial"/>
                <w:color w:val="000000"/>
                <w:spacing w:val="-2"/>
                <w:sz w:val="14"/>
                <w:szCs w:val="14"/>
                <w:lang w:eastAsia="pt-BR"/>
              </w:rPr>
              <w:t>Attributable to BB Seguridade</w:t>
            </w:r>
          </w:p>
        </w:tc>
        <w:tc>
          <w:tcPr>
            <w:tcW w:w="2906" w:type="dxa"/>
            <w:tcBorders>
              <w:top w:val="nil"/>
              <w:left w:val="nil"/>
              <w:bottom w:val="nil"/>
              <w:right w:val="nil"/>
            </w:tcBorders>
            <w:shd w:val="clear" w:color="auto" w:fill="auto"/>
            <w:vAlign w:val="center"/>
          </w:tcPr>
          <w:p w14:paraId="5338432F" w14:textId="77777777" w:rsidR="006A362F" w:rsidRPr="00773064"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61DE4">
              <w:rPr>
                <w:rFonts w:cs="Arial"/>
                <w:b/>
                <w:bCs/>
                <w:sz w:val="14"/>
                <w:szCs w:val="14"/>
              </w:rPr>
              <w:t>41</w:t>
            </w:r>
            <w:r>
              <w:rPr>
                <w:rFonts w:cs="Arial"/>
                <w:b/>
                <w:bCs/>
                <w:sz w:val="14"/>
                <w:szCs w:val="14"/>
              </w:rPr>
              <w:t>,</w:t>
            </w:r>
            <w:r w:rsidRPr="00961DE4">
              <w:rPr>
                <w:rFonts w:cs="Arial"/>
                <w:b/>
                <w:bCs/>
                <w:sz w:val="14"/>
                <w:szCs w:val="14"/>
              </w:rPr>
              <w:t>855</w:t>
            </w:r>
          </w:p>
        </w:tc>
        <w:tc>
          <w:tcPr>
            <w:tcW w:w="2906" w:type="dxa"/>
            <w:tcBorders>
              <w:top w:val="nil"/>
              <w:left w:val="nil"/>
              <w:bottom w:val="nil"/>
              <w:right w:val="nil"/>
            </w:tcBorders>
            <w:shd w:val="clear" w:color="auto" w:fill="auto"/>
            <w:vAlign w:val="center"/>
          </w:tcPr>
          <w:p w14:paraId="307639AB" w14:textId="77777777" w:rsidR="006A362F" w:rsidRPr="00961DE4" w:rsidRDefault="006A362F" w:rsidP="00662248">
            <w:pPr>
              <w:keepNext/>
              <w:keepLines/>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61DE4">
              <w:rPr>
                <w:rFonts w:cs="Arial"/>
                <w:b/>
                <w:bCs/>
                <w:sz w:val="14"/>
                <w:szCs w:val="14"/>
              </w:rPr>
              <w:t xml:space="preserve"> 35</w:t>
            </w:r>
            <w:r>
              <w:rPr>
                <w:rFonts w:cs="Arial"/>
                <w:b/>
                <w:bCs/>
                <w:sz w:val="14"/>
                <w:szCs w:val="14"/>
              </w:rPr>
              <w:t>,</w:t>
            </w:r>
            <w:r w:rsidRPr="00961DE4">
              <w:rPr>
                <w:rFonts w:cs="Arial"/>
                <w:b/>
                <w:bCs/>
                <w:sz w:val="14"/>
                <w:szCs w:val="14"/>
              </w:rPr>
              <w:t xml:space="preserve">456 </w:t>
            </w:r>
          </w:p>
        </w:tc>
      </w:tr>
      <w:tr w:rsidR="006A362F" w:rsidRPr="00773064" w14:paraId="35E16D72" w14:textId="77777777" w:rsidTr="0066224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single" w:sz="2" w:space="0" w:color="1F4E79" w:themeColor="accent1" w:themeShade="80"/>
              <w:right w:val="nil"/>
            </w:tcBorders>
            <w:shd w:val="clear" w:color="auto" w:fill="auto"/>
            <w:vAlign w:val="center"/>
          </w:tcPr>
          <w:p w14:paraId="063AF0E2" w14:textId="77777777" w:rsidR="006A362F" w:rsidRPr="00773064" w:rsidRDefault="006A362F" w:rsidP="006928A6">
            <w:pPr>
              <w:keepNext/>
              <w:keepLines/>
              <w:rPr>
                <w:rFonts w:cs="Arial"/>
                <w:b w:val="0"/>
                <w:bCs w:val="0"/>
                <w:sz w:val="14"/>
                <w:szCs w:val="14"/>
              </w:rPr>
            </w:pPr>
            <w:r>
              <w:rPr>
                <w:rFonts w:eastAsia="Times New Roman" w:cs="Arial"/>
                <w:color w:val="000000"/>
                <w:spacing w:val="-2"/>
                <w:sz w:val="14"/>
                <w:szCs w:val="14"/>
                <w:lang w:eastAsia="pt-BR"/>
              </w:rPr>
              <w:t>Equity income</w:t>
            </w:r>
          </w:p>
        </w:tc>
        <w:tc>
          <w:tcPr>
            <w:tcW w:w="2906" w:type="dxa"/>
            <w:tcBorders>
              <w:top w:val="nil"/>
              <w:left w:val="nil"/>
              <w:bottom w:val="single" w:sz="2" w:space="0" w:color="1F4E79" w:themeColor="accent1" w:themeShade="80"/>
              <w:right w:val="nil"/>
            </w:tcBorders>
            <w:shd w:val="clear" w:color="auto" w:fill="auto"/>
            <w:vAlign w:val="center"/>
          </w:tcPr>
          <w:p w14:paraId="1E37D117" w14:textId="77777777" w:rsidR="006A362F" w:rsidRPr="00773064"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961DE4">
              <w:rPr>
                <w:rFonts w:cs="Arial"/>
                <w:b/>
                <w:bCs/>
                <w:sz w:val="14"/>
                <w:szCs w:val="14"/>
              </w:rPr>
              <w:t>41</w:t>
            </w:r>
            <w:r>
              <w:rPr>
                <w:rFonts w:cs="Arial"/>
                <w:b/>
                <w:bCs/>
                <w:sz w:val="14"/>
                <w:szCs w:val="14"/>
              </w:rPr>
              <w:t>,</w:t>
            </w:r>
            <w:r w:rsidRPr="00961DE4">
              <w:rPr>
                <w:rFonts w:cs="Arial"/>
                <w:b/>
                <w:bCs/>
                <w:sz w:val="14"/>
                <w:szCs w:val="14"/>
              </w:rPr>
              <w:t>855</w:t>
            </w:r>
          </w:p>
        </w:tc>
        <w:tc>
          <w:tcPr>
            <w:tcW w:w="2906" w:type="dxa"/>
            <w:tcBorders>
              <w:top w:val="nil"/>
              <w:left w:val="nil"/>
              <w:bottom w:val="single" w:sz="2" w:space="0" w:color="1F4E79" w:themeColor="accent1" w:themeShade="80"/>
              <w:right w:val="nil"/>
            </w:tcBorders>
            <w:shd w:val="clear" w:color="auto" w:fill="auto"/>
            <w:vAlign w:val="center"/>
          </w:tcPr>
          <w:p w14:paraId="5E5D21AA" w14:textId="77777777" w:rsidR="006A362F" w:rsidRPr="00961DE4" w:rsidRDefault="006A362F" w:rsidP="00662248">
            <w:pPr>
              <w:keepNext/>
              <w:keepLines/>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961DE4">
              <w:rPr>
                <w:rFonts w:cs="Arial"/>
                <w:b/>
                <w:bCs/>
                <w:sz w:val="14"/>
                <w:szCs w:val="14"/>
              </w:rPr>
              <w:t xml:space="preserve"> 35</w:t>
            </w:r>
            <w:r>
              <w:rPr>
                <w:rFonts w:cs="Arial"/>
                <w:b/>
                <w:bCs/>
                <w:sz w:val="14"/>
                <w:szCs w:val="14"/>
              </w:rPr>
              <w:t>,</w:t>
            </w:r>
            <w:r w:rsidRPr="00961DE4">
              <w:rPr>
                <w:rFonts w:cs="Arial"/>
                <w:b/>
                <w:bCs/>
                <w:sz w:val="14"/>
                <w:szCs w:val="14"/>
              </w:rPr>
              <w:t xml:space="preserve">456 </w:t>
            </w:r>
          </w:p>
        </w:tc>
      </w:tr>
    </w:tbl>
    <w:p w14:paraId="24307D77"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734A09E8" w14:textId="77777777" w:rsidR="006A362F"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Balance Sheet Information</w:t>
      </w:r>
    </w:p>
    <w:p w14:paraId="74388FBE" w14:textId="77777777" w:rsidR="006A362F" w:rsidRPr="00537AE7" w:rsidRDefault="006A362F" w:rsidP="00076945">
      <w:pPr>
        <w:spacing w:after="0" w:line="240" w:lineRule="auto"/>
        <w:jc w:val="right"/>
        <w:rPr>
          <w:rFonts w:cs="Arial"/>
          <w:b/>
          <w:sz w:val="14"/>
          <w:lang w:eastAsia="pt-BR"/>
        </w:rPr>
      </w:pPr>
      <w:r w:rsidRPr="00537AE7">
        <w:rPr>
          <w:rFonts w:cs="Arial"/>
          <w:b/>
          <w:sz w:val="14"/>
          <w:lang w:eastAsia="pt-BR"/>
        </w:rPr>
        <w:t xml:space="preserve">R$ </w:t>
      </w:r>
      <w:r>
        <w:rPr>
          <w:rFonts w:cs="Arial"/>
          <w:b/>
          <w:sz w:val="14"/>
          <w:lang w:eastAsia="pt-BR"/>
        </w:rPr>
        <w:t>thousand</w:t>
      </w:r>
    </w:p>
    <w:tbl>
      <w:tblPr>
        <w:tblStyle w:val="TabeladeLista6Colorida-nfase512"/>
        <w:tblW w:w="9640" w:type="dxa"/>
        <w:jc w:val="center"/>
        <w:tblInd w:w="0" w:type="dxa"/>
        <w:tblLayout w:type="fixed"/>
        <w:tblLook w:val="04A0" w:firstRow="1" w:lastRow="0" w:firstColumn="1" w:lastColumn="0" w:noHBand="0" w:noVBand="1"/>
      </w:tblPr>
      <w:tblGrid>
        <w:gridCol w:w="4820"/>
        <w:gridCol w:w="2410"/>
        <w:gridCol w:w="2410"/>
      </w:tblGrid>
      <w:tr w:rsidR="006A362F" w:rsidRPr="00EC5FB3" w14:paraId="14D9B647"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38EF6D93" w14:textId="77777777" w:rsidR="006A362F" w:rsidRPr="00EC5FB3" w:rsidRDefault="006A362F" w:rsidP="006928A6">
            <w:pPr>
              <w:jc w:val="center"/>
              <w:rPr>
                <w:rFonts w:cs="Arial"/>
                <w:sz w:val="14"/>
                <w:szCs w:val="14"/>
              </w:rPr>
            </w:pP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44B7C7D" w14:textId="77777777" w:rsidR="006A362F" w:rsidRPr="00EC5FB3"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Pr>
                <w:rFonts w:cs="Arial"/>
                <w:sz w:val="14"/>
                <w:szCs w:val="14"/>
              </w:rPr>
              <w:t>Mar 31, 2023</w:t>
            </w:r>
          </w:p>
        </w:tc>
        <w:tc>
          <w:tcPr>
            <w:tcW w:w="2410"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EF3AA50" w14:textId="77777777" w:rsidR="006A362F" w:rsidRPr="00EC5FB3" w:rsidRDefault="006A362F" w:rsidP="006928A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Dez 31, 2022</w:t>
            </w:r>
          </w:p>
        </w:tc>
      </w:tr>
      <w:tr w:rsidR="006A362F" w:rsidRPr="00EC5FB3" w14:paraId="147AECE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left w:val="nil"/>
              <w:bottom w:val="nil"/>
              <w:right w:val="nil"/>
            </w:tcBorders>
            <w:shd w:val="clear" w:color="auto" w:fill="auto"/>
            <w:vAlign w:val="center"/>
            <w:hideMark/>
          </w:tcPr>
          <w:p w14:paraId="7F3274F7" w14:textId="77777777" w:rsidR="006A362F" w:rsidRPr="00EC5FB3" w:rsidRDefault="006A362F" w:rsidP="006928A6">
            <w:pPr>
              <w:keepNext/>
              <w:keepLines/>
              <w:rPr>
                <w:rFonts w:eastAsia="Times New Roman" w:cs="Arial"/>
                <w:spacing w:val="-2"/>
                <w:sz w:val="14"/>
                <w:szCs w:val="14"/>
                <w:highlight w:val="yellow"/>
              </w:rPr>
            </w:pPr>
            <w:r>
              <w:rPr>
                <w:rFonts w:cs="Arial"/>
                <w:color w:val="000000"/>
                <w:sz w:val="14"/>
                <w:szCs w:val="14"/>
              </w:rPr>
              <w:t>Current Assets</w:t>
            </w:r>
            <w:r w:rsidRPr="00EC5FB3">
              <w:rPr>
                <w:rFonts w:cs="Arial"/>
                <w:color w:val="000000"/>
                <w:sz w:val="14"/>
                <w:szCs w:val="14"/>
              </w:rPr>
              <w:t xml:space="preserve"> </w:t>
            </w:r>
          </w:p>
        </w:tc>
        <w:tc>
          <w:tcPr>
            <w:tcW w:w="2410" w:type="dxa"/>
            <w:tcBorders>
              <w:top w:val="single" w:sz="2" w:space="0" w:color="1F4E79" w:themeColor="accent1" w:themeShade="80"/>
              <w:left w:val="nil"/>
              <w:bottom w:val="nil"/>
              <w:right w:val="nil"/>
            </w:tcBorders>
            <w:shd w:val="clear" w:color="auto" w:fill="auto"/>
            <w:vAlign w:val="center"/>
          </w:tcPr>
          <w:p w14:paraId="4DBE2A41"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8</w:t>
            </w:r>
            <w:r>
              <w:rPr>
                <w:rFonts w:cs="Arial"/>
                <w:b/>
                <w:bCs/>
                <w:sz w:val="14"/>
                <w:szCs w:val="14"/>
              </w:rPr>
              <w:t>,</w:t>
            </w:r>
            <w:r w:rsidRPr="00EC5FB3">
              <w:rPr>
                <w:rFonts w:cs="Arial"/>
                <w:b/>
                <w:bCs/>
                <w:sz w:val="14"/>
                <w:szCs w:val="14"/>
              </w:rPr>
              <w:t>678</w:t>
            </w:r>
            <w:r>
              <w:rPr>
                <w:rFonts w:cs="Arial"/>
                <w:b/>
                <w:bCs/>
                <w:sz w:val="14"/>
                <w:szCs w:val="14"/>
              </w:rPr>
              <w:t>,</w:t>
            </w:r>
            <w:r w:rsidRPr="00EC5FB3">
              <w:rPr>
                <w:rFonts w:cs="Arial"/>
                <w:b/>
                <w:bCs/>
                <w:sz w:val="14"/>
                <w:szCs w:val="14"/>
              </w:rPr>
              <w:t xml:space="preserve">766 </w:t>
            </w:r>
          </w:p>
        </w:tc>
        <w:tc>
          <w:tcPr>
            <w:tcW w:w="2410" w:type="dxa"/>
            <w:tcBorders>
              <w:top w:val="single" w:sz="2" w:space="0" w:color="1F4E79" w:themeColor="accent1" w:themeShade="80"/>
              <w:left w:val="nil"/>
              <w:bottom w:val="nil"/>
              <w:right w:val="nil"/>
            </w:tcBorders>
            <w:shd w:val="clear" w:color="auto" w:fill="auto"/>
            <w:vAlign w:val="center"/>
          </w:tcPr>
          <w:p w14:paraId="1367E9A4"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7</w:t>
            </w:r>
            <w:r>
              <w:rPr>
                <w:rFonts w:cs="Arial"/>
                <w:b/>
                <w:bCs/>
                <w:sz w:val="14"/>
                <w:szCs w:val="14"/>
              </w:rPr>
              <w:t>,</w:t>
            </w:r>
            <w:r w:rsidRPr="00EC5FB3">
              <w:rPr>
                <w:rFonts w:cs="Arial"/>
                <w:b/>
                <w:bCs/>
                <w:sz w:val="14"/>
                <w:szCs w:val="14"/>
              </w:rPr>
              <w:t>412</w:t>
            </w:r>
            <w:r>
              <w:rPr>
                <w:rFonts w:cs="Arial"/>
                <w:b/>
                <w:bCs/>
                <w:sz w:val="14"/>
                <w:szCs w:val="14"/>
              </w:rPr>
              <w:t>,</w:t>
            </w:r>
            <w:r w:rsidRPr="00EC5FB3">
              <w:rPr>
                <w:rFonts w:cs="Arial"/>
                <w:b/>
                <w:bCs/>
                <w:sz w:val="14"/>
                <w:szCs w:val="14"/>
              </w:rPr>
              <w:t xml:space="preserve">208 </w:t>
            </w:r>
          </w:p>
        </w:tc>
      </w:tr>
      <w:tr w:rsidR="006A362F" w:rsidRPr="00EC5FB3" w14:paraId="6F51E92F"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4ADE4556" w14:textId="77777777" w:rsidR="006A362F" w:rsidRPr="00EC5FB3" w:rsidRDefault="006A362F" w:rsidP="006928A6">
            <w:pPr>
              <w:keepNext/>
              <w:keepLines/>
              <w:ind w:left="113"/>
              <w:rPr>
                <w:rFonts w:eastAsia="Times New Roman" w:cs="Arial"/>
                <w:b w:val="0"/>
                <w:bCs w:val="0"/>
                <w:spacing w:val="-2"/>
                <w:sz w:val="14"/>
                <w:szCs w:val="14"/>
                <w:highlight w:val="yellow"/>
              </w:rPr>
            </w:pPr>
            <w:r>
              <w:rPr>
                <w:rFonts w:cs="Arial"/>
                <w:b w:val="0"/>
                <w:bCs w:val="0"/>
                <w:sz w:val="14"/>
                <w:szCs w:val="14"/>
              </w:rPr>
              <w:t>Cash and cash equivalents</w:t>
            </w:r>
          </w:p>
        </w:tc>
        <w:tc>
          <w:tcPr>
            <w:tcW w:w="2410" w:type="dxa"/>
            <w:tcBorders>
              <w:top w:val="nil"/>
              <w:left w:val="nil"/>
              <w:bottom w:val="nil"/>
              <w:right w:val="nil"/>
            </w:tcBorders>
            <w:shd w:val="clear" w:color="auto" w:fill="auto"/>
            <w:vAlign w:val="center"/>
          </w:tcPr>
          <w:p w14:paraId="4C16C6AA"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108 </w:t>
            </w:r>
          </w:p>
        </w:tc>
        <w:tc>
          <w:tcPr>
            <w:tcW w:w="2410" w:type="dxa"/>
            <w:tcBorders>
              <w:top w:val="nil"/>
              <w:left w:val="nil"/>
              <w:bottom w:val="nil"/>
              <w:right w:val="nil"/>
            </w:tcBorders>
            <w:shd w:val="clear" w:color="auto" w:fill="auto"/>
            <w:vAlign w:val="center"/>
          </w:tcPr>
          <w:p w14:paraId="20D03A1B"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12 </w:t>
            </w:r>
          </w:p>
        </w:tc>
      </w:tr>
      <w:tr w:rsidR="006A362F" w:rsidRPr="00EC5FB3" w14:paraId="43A752E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46BA5F0" w14:textId="77777777" w:rsidR="006A362F" w:rsidRPr="00EC5FB3"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Financial instruments</w:t>
            </w:r>
          </w:p>
        </w:tc>
        <w:tc>
          <w:tcPr>
            <w:tcW w:w="2410" w:type="dxa"/>
            <w:tcBorders>
              <w:top w:val="nil"/>
              <w:left w:val="nil"/>
              <w:bottom w:val="nil"/>
              <w:right w:val="nil"/>
            </w:tcBorders>
            <w:shd w:val="clear" w:color="auto" w:fill="auto"/>
            <w:vAlign w:val="center"/>
          </w:tcPr>
          <w:p w14:paraId="20C9B764"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8</w:t>
            </w:r>
            <w:r>
              <w:rPr>
                <w:rFonts w:cs="Arial"/>
                <w:sz w:val="14"/>
                <w:szCs w:val="14"/>
              </w:rPr>
              <w:t>,</w:t>
            </w:r>
            <w:r w:rsidRPr="00EC5FB3">
              <w:rPr>
                <w:rFonts w:cs="Arial"/>
                <w:sz w:val="14"/>
                <w:szCs w:val="14"/>
              </w:rPr>
              <w:t>614</w:t>
            </w:r>
            <w:r>
              <w:rPr>
                <w:rFonts w:cs="Arial"/>
                <w:sz w:val="14"/>
                <w:szCs w:val="14"/>
              </w:rPr>
              <w:t>,</w:t>
            </w:r>
            <w:r w:rsidRPr="00EC5FB3">
              <w:rPr>
                <w:rFonts w:cs="Arial"/>
                <w:sz w:val="14"/>
                <w:szCs w:val="14"/>
              </w:rPr>
              <w:t xml:space="preserve">379 </w:t>
            </w:r>
          </w:p>
        </w:tc>
        <w:tc>
          <w:tcPr>
            <w:tcW w:w="2410" w:type="dxa"/>
            <w:tcBorders>
              <w:top w:val="nil"/>
              <w:left w:val="nil"/>
              <w:bottom w:val="nil"/>
              <w:right w:val="nil"/>
            </w:tcBorders>
            <w:shd w:val="clear" w:color="auto" w:fill="auto"/>
            <w:vAlign w:val="center"/>
          </w:tcPr>
          <w:p w14:paraId="758D2A93"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7</w:t>
            </w:r>
            <w:r>
              <w:rPr>
                <w:rFonts w:cs="Arial"/>
                <w:sz w:val="14"/>
                <w:szCs w:val="14"/>
              </w:rPr>
              <w:t>,</w:t>
            </w:r>
            <w:r w:rsidRPr="00EC5FB3">
              <w:rPr>
                <w:rFonts w:cs="Arial"/>
                <w:sz w:val="14"/>
                <w:szCs w:val="14"/>
              </w:rPr>
              <w:t>371</w:t>
            </w:r>
            <w:r>
              <w:rPr>
                <w:rFonts w:cs="Arial"/>
                <w:sz w:val="14"/>
                <w:szCs w:val="14"/>
              </w:rPr>
              <w:t>,</w:t>
            </w:r>
            <w:r w:rsidRPr="00EC5FB3">
              <w:rPr>
                <w:rFonts w:cs="Arial"/>
                <w:sz w:val="14"/>
                <w:szCs w:val="14"/>
              </w:rPr>
              <w:t>35</w:t>
            </w:r>
            <w:r>
              <w:rPr>
                <w:rFonts w:cs="Arial"/>
                <w:sz w:val="14"/>
                <w:szCs w:val="14"/>
              </w:rPr>
              <w:t>3</w:t>
            </w:r>
            <w:r w:rsidRPr="00EC5FB3">
              <w:rPr>
                <w:rFonts w:cs="Arial"/>
                <w:sz w:val="14"/>
                <w:szCs w:val="14"/>
              </w:rPr>
              <w:t xml:space="preserve"> </w:t>
            </w:r>
          </w:p>
        </w:tc>
      </w:tr>
      <w:tr w:rsidR="006A362F" w:rsidRPr="00EC5FB3" w14:paraId="6C996532"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5240106" w14:textId="77777777" w:rsidR="006A362F" w:rsidRPr="00EC5FB3" w:rsidRDefault="006A362F" w:rsidP="006928A6">
            <w:pPr>
              <w:keepNext/>
              <w:keepLines/>
              <w:ind w:left="113"/>
              <w:rPr>
                <w:rFonts w:eastAsia="Times New Roman" w:cs="Arial"/>
                <w:b w:val="0"/>
                <w:bCs w:val="0"/>
                <w:spacing w:val="-2"/>
                <w:sz w:val="14"/>
                <w:szCs w:val="14"/>
                <w:highlight w:val="yellow"/>
              </w:rPr>
            </w:pPr>
            <w:r>
              <w:rPr>
                <w:rFonts w:cs="Arial"/>
                <w:b w:val="0"/>
                <w:bCs w:val="0"/>
                <w:color w:val="000000"/>
                <w:sz w:val="14"/>
                <w:szCs w:val="14"/>
              </w:rPr>
              <w:t>Other assets</w:t>
            </w:r>
            <w:r w:rsidRPr="00EC5FB3">
              <w:rPr>
                <w:rFonts w:cs="Arial"/>
                <w:b w:val="0"/>
                <w:bCs w:val="0"/>
                <w:color w:val="000000"/>
                <w:sz w:val="14"/>
                <w:szCs w:val="14"/>
              </w:rPr>
              <w:t xml:space="preserve"> </w:t>
            </w:r>
            <w:r>
              <w:rPr>
                <w:rFonts w:cs="Arial"/>
                <w:b w:val="0"/>
                <w:bCs w:val="0"/>
                <w:color w:val="000000"/>
                <w:sz w:val="14"/>
                <w:szCs w:val="14"/>
              </w:rPr>
              <w:t>current</w:t>
            </w:r>
          </w:p>
        </w:tc>
        <w:tc>
          <w:tcPr>
            <w:tcW w:w="2410" w:type="dxa"/>
            <w:tcBorders>
              <w:top w:val="nil"/>
              <w:left w:val="nil"/>
              <w:bottom w:val="nil"/>
              <w:right w:val="nil"/>
            </w:tcBorders>
            <w:shd w:val="clear" w:color="auto" w:fill="auto"/>
            <w:vAlign w:val="center"/>
          </w:tcPr>
          <w:p w14:paraId="5147F0E3"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64</w:t>
            </w:r>
            <w:r>
              <w:rPr>
                <w:rFonts w:cs="Arial"/>
                <w:sz w:val="14"/>
                <w:szCs w:val="14"/>
              </w:rPr>
              <w:t>,</w:t>
            </w:r>
            <w:r w:rsidRPr="00EC5FB3">
              <w:rPr>
                <w:rFonts w:cs="Arial"/>
                <w:sz w:val="14"/>
                <w:szCs w:val="14"/>
              </w:rPr>
              <w:t xml:space="preserve">279 </w:t>
            </w:r>
          </w:p>
        </w:tc>
        <w:tc>
          <w:tcPr>
            <w:tcW w:w="2410" w:type="dxa"/>
            <w:tcBorders>
              <w:top w:val="nil"/>
              <w:left w:val="nil"/>
              <w:bottom w:val="nil"/>
              <w:right w:val="nil"/>
            </w:tcBorders>
            <w:shd w:val="clear" w:color="auto" w:fill="auto"/>
            <w:vAlign w:val="center"/>
          </w:tcPr>
          <w:p w14:paraId="4FF106A9"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40</w:t>
            </w:r>
            <w:r>
              <w:rPr>
                <w:rFonts w:cs="Arial"/>
                <w:sz w:val="14"/>
                <w:szCs w:val="14"/>
              </w:rPr>
              <w:t>,</w:t>
            </w:r>
            <w:r w:rsidRPr="00EC5FB3">
              <w:rPr>
                <w:rFonts w:cs="Arial"/>
                <w:sz w:val="14"/>
                <w:szCs w:val="14"/>
              </w:rPr>
              <w:t xml:space="preserve">843 </w:t>
            </w:r>
          </w:p>
        </w:tc>
      </w:tr>
      <w:tr w:rsidR="006A362F" w:rsidRPr="00EC5FB3" w14:paraId="02933CA7"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3CC2D44" w14:textId="77777777" w:rsidR="006A362F" w:rsidRPr="00EC5FB3" w:rsidRDefault="006A362F" w:rsidP="006928A6">
            <w:pPr>
              <w:keepNext/>
              <w:keepLines/>
              <w:rPr>
                <w:rFonts w:cs="Arial"/>
                <w:color w:val="000000"/>
                <w:sz w:val="14"/>
                <w:szCs w:val="14"/>
                <w:highlight w:val="yellow"/>
              </w:rPr>
            </w:pPr>
            <w:r>
              <w:rPr>
                <w:rFonts w:cs="Arial"/>
                <w:sz w:val="14"/>
                <w:szCs w:val="14"/>
              </w:rPr>
              <w:t>Non-Current Assets</w:t>
            </w:r>
            <w:r w:rsidRPr="00EC5FB3">
              <w:rPr>
                <w:rFonts w:cs="Arial"/>
                <w:sz w:val="14"/>
                <w:szCs w:val="14"/>
              </w:rPr>
              <w:t xml:space="preserve"> </w:t>
            </w:r>
          </w:p>
        </w:tc>
        <w:tc>
          <w:tcPr>
            <w:tcW w:w="2410" w:type="dxa"/>
            <w:tcBorders>
              <w:top w:val="nil"/>
              <w:left w:val="nil"/>
              <w:bottom w:val="nil"/>
              <w:right w:val="nil"/>
            </w:tcBorders>
            <w:shd w:val="clear" w:color="auto" w:fill="auto"/>
            <w:vAlign w:val="center"/>
          </w:tcPr>
          <w:p w14:paraId="5AF17E84"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3</w:t>
            </w:r>
            <w:r>
              <w:rPr>
                <w:rFonts w:cs="Arial"/>
                <w:b/>
                <w:bCs/>
                <w:sz w:val="14"/>
                <w:szCs w:val="14"/>
              </w:rPr>
              <w:t>,</w:t>
            </w:r>
            <w:r w:rsidRPr="00EC5FB3">
              <w:rPr>
                <w:rFonts w:cs="Arial"/>
                <w:b/>
                <w:bCs/>
                <w:sz w:val="14"/>
                <w:szCs w:val="14"/>
              </w:rPr>
              <w:t>202</w:t>
            </w:r>
            <w:r>
              <w:rPr>
                <w:rFonts w:cs="Arial"/>
                <w:b/>
                <w:bCs/>
                <w:sz w:val="14"/>
                <w:szCs w:val="14"/>
              </w:rPr>
              <w:t>,</w:t>
            </w:r>
            <w:r w:rsidRPr="00EC5FB3">
              <w:rPr>
                <w:rFonts w:cs="Arial"/>
                <w:b/>
                <w:bCs/>
                <w:sz w:val="14"/>
                <w:szCs w:val="14"/>
              </w:rPr>
              <w:t xml:space="preserve">145 </w:t>
            </w:r>
          </w:p>
        </w:tc>
        <w:tc>
          <w:tcPr>
            <w:tcW w:w="2410" w:type="dxa"/>
            <w:tcBorders>
              <w:top w:val="nil"/>
              <w:left w:val="nil"/>
              <w:bottom w:val="nil"/>
              <w:right w:val="nil"/>
            </w:tcBorders>
            <w:shd w:val="clear" w:color="auto" w:fill="auto"/>
            <w:vAlign w:val="center"/>
          </w:tcPr>
          <w:p w14:paraId="7D8F6E9B"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4</w:t>
            </w:r>
            <w:r>
              <w:rPr>
                <w:rFonts w:cs="Arial"/>
                <w:b/>
                <w:bCs/>
                <w:sz w:val="14"/>
                <w:szCs w:val="14"/>
              </w:rPr>
              <w:t>,</w:t>
            </w:r>
            <w:r w:rsidRPr="00EC5FB3">
              <w:rPr>
                <w:rFonts w:cs="Arial"/>
                <w:b/>
                <w:bCs/>
                <w:sz w:val="14"/>
                <w:szCs w:val="14"/>
              </w:rPr>
              <w:t>079</w:t>
            </w:r>
            <w:r>
              <w:rPr>
                <w:rFonts w:cs="Arial"/>
                <w:b/>
                <w:bCs/>
                <w:sz w:val="14"/>
                <w:szCs w:val="14"/>
              </w:rPr>
              <w:t>,</w:t>
            </w:r>
            <w:r w:rsidRPr="00EC5FB3">
              <w:rPr>
                <w:rFonts w:cs="Arial"/>
                <w:b/>
                <w:bCs/>
                <w:sz w:val="14"/>
                <w:szCs w:val="14"/>
              </w:rPr>
              <w:t xml:space="preserve">098 </w:t>
            </w:r>
          </w:p>
        </w:tc>
      </w:tr>
      <w:tr w:rsidR="006A362F" w:rsidRPr="00EC5FB3" w14:paraId="456AB0ED"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58A8E62" w14:textId="77777777" w:rsidR="006A362F" w:rsidRPr="00EC5FB3" w:rsidRDefault="006A362F" w:rsidP="006928A6">
            <w:pPr>
              <w:keepNext/>
              <w:keepLines/>
              <w:ind w:left="113"/>
              <w:rPr>
                <w:rFonts w:cs="Arial"/>
                <w:b w:val="0"/>
                <w:bCs w:val="0"/>
                <w:color w:val="000000"/>
                <w:sz w:val="14"/>
                <w:szCs w:val="14"/>
                <w:highlight w:val="yellow"/>
              </w:rPr>
            </w:pPr>
            <w:r>
              <w:rPr>
                <w:rFonts w:cs="Arial"/>
                <w:b w:val="0"/>
                <w:bCs w:val="0"/>
                <w:color w:val="000000"/>
                <w:sz w:val="14"/>
                <w:szCs w:val="14"/>
              </w:rPr>
              <w:t>Financial instruments</w:t>
            </w:r>
          </w:p>
        </w:tc>
        <w:tc>
          <w:tcPr>
            <w:tcW w:w="2410" w:type="dxa"/>
            <w:tcBorders>
              <w:top w:val="nil"/>
              <w:left w:val="nil"/>
              <w:bottom w:val="nil"/>
              <w:right w:val="nil"/>
            </w:tcBorders>
            <w:shd w:val="clear" w:color="auto" w:fill="auto"/>
            <w:vAlign w:val="center"/>
          </w:tcPr>
          <w:p w14:paraId="0F853CE5"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w:t>
            </w:r>
            <w:r>
              <w:rPr>
                <w:rFonts w:cs="Arial"/>
                <w:sz w:val="14"/>
                <w:szCs w:val="14"/>
              </w:rPr>
              <w:t>,</w:t>
            </w:r>
            <w:r w:rsidRPr="00EC5FB3">
              <w:rPr>
                <w:rFonts w:cs="Arial"/>
                <w:sz w:val="14"/>
                <w:szCs w:val="14"/>
              </w:rPr>
              <w:t>792</w:t>
            </w:r>
            <w:r>
              <w:rPr>
                <w:rFonts w:cs="Arial"/>
                <w:sz w:val="14"/>
                <w:szCs w:val="14"/>
              </w:rPr>
              <w:t>,</w:t>
            </w:r>
            <w:r w:rsidRPr="00EC5FB3">
              <w:rPr>
                <w:rFonts w:cs="Arial"/>
                <w:sz w:val="14"/>
                <w:szCs w:val="14"/>
              </w:rPr>
              <w:t xml:space="preserve">463 </w:t>
            </w:r>
          </w:p>
        </w:tc>
        <w:tc>
          <w:tcPr>
            <w:tcW w:w="2410" w:type="dxa"/>
            <w:tcBorders>
              <w:top w:val="nil"/>
              <w:left w:val="nil"/>
              <w:bottom w:val="nil"/>
              <w:right w:val="nil"/>
            </w:tcBorders>
            <w:shd w:val="clear" w:color="auto" w:fill="auto"/>
            <w:vAlign w:val="center"/>
          </w:tcPr>
          <w:p w14:paraId="057DC7E8"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2</w:t>
            </w:r>
            <w:r>
              <w:rPr>
                <w:rFonts w:cs="Arial"/>
                <w:sz w:val="14"/>
                <w:szCs w:val="14"/>
              </w:rPr>
              <w:t>,</w:t>
            </w:r>
            <w:r w:rsidRPr="00EC5FB3">
              <w:rPr>
                <w:rFonts w:cs="Arial"/>
                <w:sz w:val="14"/>
                <w:szCs w:val="14"/>
              </w:rPr>
              <w:t>694</w:t>
            </w:r>
            <w:r>
              <w:rPr>
                <w:rFonts w:cs="Arial"/>
                <w:sz w:val="14"/>
                <w:szCs w:val="14"/>
              </w:rPr>
              <w:t>,</w:t>
            </w:r>
            <w:r w:rsidRPr="00EC5FB3">
              <w:rPr>
                <w:rFonts w:cs="Arial"/>
                <w:sz w:val="14"/>
                <w:szCs w:val="14"/>
              </w:rPr>
              <w:t xml:space="preserve">594 </w:t>
            </w:r>
          </w:p>
        </w:tc>
      </w:tr>
      <w:tr w:rsidR="006A362F" w:rsidRPr="00EC5FB3" w14:paraId="0091234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9123CEE" w14:textId="77777777" w:rsidR="006A362F" w:rsidRPr="00EC5FB3" w:rsidRDefault="006A362F" w:rsidP="006928A6">
            <w:pPr>
              <w:keepNext/>
              <w:keepLines/>
              <w:ind w:left="113"/>
              <w:rPr>
                <w:rFonts w:cs="Arial"/>
                <w:color w:val="000000"/>
                <w:sz w:val="14"/>
                <w:szCs w:val="14"/>
                <w:highlight w:val="yellow"/>
              </w:rPr>
            </w:pPr>
            <w:r w:rsidRPr="00875ACA">
              <w:rPr>
                <w:rFonts w:cs="Arial"/>
                <w:b w:val="0"/>
                <w:bCs w:val="0"/>
                <w:color w:val="000000"/>
                <w:sz w:val="14"/>
                <w:szCs w:val="14"/>
              </w:rPr>
              <w:t>Other non-current assets</w:t>
            </w:r>
          </w:p>
        </w:tc>
        <w:tc>
          <w:tcPr>
            <w:tcW w:w="2410" w:type="dxa"/>
            <w:tcBorders>
              <w:top w:val="nil"/>
              <w:left w:val="nil"/>
              <w:bottom w:val="nil"/>
              <w:right w:val="nil"/>
            </w:tcBorders>
            <w:shd w:val="clear" w:color="auto" w:fill="auto"/>
            <w:vAlign w:val="center"/>
          </w:tcPr>
          <w:p w14:paraId="3BB83F38" w14:textId="77777777" w:rsidR="006A362F" w:rsidRPr="00D22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D22E52">
              <w:rPr>
                <w:rFonts w:cs="Arial"/>
                <w:sz w:val="14"/>
                <w:szCs w:val="14"/>
              </w:rPr>
              <w:t xml:space="preserve">  1</w:t>
            </w:r>
            <w:r>
              <w:rPr>
                <w:rFonts w:cs="Arial"/>
                <w:sz w:val="14"/>
                <w:szCs w:val="14"/>
              </w:rPr>
              <w:t>,</w:t>
            </w:r>
            <w:r w:rsidRPr="00D22E52">
              <w:rPr>
                <w:rFonts w:cs="Arial"/>
                <w:sz w:val="14"/>
                <w:szCs w:val="14"/>
              </w:rPr>
              <w:t>409</w:t>
            </w:r>
            <w:r>
              <w:rPr>
                <w:rFonts w:cs="Arial"/>
                <w:sz w:val="14"/>
                <w:szCs w:val="14"/>
              </w:rPr>
              <w:t>,</w:t>
            </w:r>
            <w:r w:rsidRPr="00D22E52">
              <w:rPr>
                <w:rFonts w:cs="Arial"/>
                <w:sz w:val="14"/>
                <w:szCs w:val="14"/>
              </w:rPr>
              <w:t xml:space="preserve">682 </w:t>
            </w:r>
          </w:p>
        </w:tc>
        <w:tc>
          <w:tcPr>
            <w:tcW w:w="2410" w:type="dxa"/>
            <w:tcBorders>
              <w:top w:val="nil"/>
              <w:left w:val="nil"/>
              <w:bottom w:val="nil"/>
              <w:right w:val="nil"/>
            </w:tcBorders>
            <w:shd w:val="clear" w:color="auto" w:fill="auto"/>
            <w:vAlign w:val="center"/>
          </w:tcPr>
          <w:p w14:paraId="265E0922" w14:textId="77777777" w:rsidR="006A362F" w:rsidRPr="00D22E52" w:rsidRDefault="006A362F" w:rsidP="006928A6">
            <w:pPr>
              <w:keepNext/>
              <w:keepLines/>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highlight w:val="yellow"/>
              </w:rPr>
            </w:pPr>
            <w:r w:rsidRPr="00D22E52">
              <w:rPr>
                <w:rFonts w:cs="Arial"/>
                <w:sz w:val="14"/>
                <w:szCs w:val="14"/>
              </w:rPr>
              <w:t xml:space="preserve">  1</w:t>
            </w:r>
            <w:r>
              <w:rPr>
                <w:rFonts w:cs="Arial"/>
                <w:sz w:val="14"/>
                <w:szCs w:val="14"/>
              </w:rPr>
              <w:t>,</w:t>
            </w:r>
            <w:r w:rsidRPr="00D22E52">
              <w:rPr>
                <w:rFonts w:cs="Arial"/>
                <w:sz w:val="14"/>
                <w:szCs w:val="14"/>
              </w:rPr>
              <w:t>384</w:t>
            </w:r>
            <w:r>
              <w:rPr>
                <w:rFonts w:cs="Arial"/>
                <w:sz w:val="14"/>
                <w:szCs w:val="14"/>
              </w:rPr>
              <w:t>,</w:t>
            </w:r>
            <w:r w:rsidRPr="00D22E52">
              <w:rPr>
                <w:rFonts w:cs="Arial"/>
                <w:sz w:val="14"/>
                <w:szCs w:val="14"/>
              </w:rPr>
              <w:t xml:space="preserve">504 </w:t>
            </w:r>
          </w:p>
        </w:tc>
      </w:tr>
      <w:tr w:rsidR="006A362F" w:rsidRPr="00EC5FB3" w14:paraId="394F18C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B0286DF" w14:textId="77777777" w:rsidR="006A362F" w:rsidRPr="00EC5FB3" w:rsidRDefault="006A362F" w:rsidP="006928A6">
            <w:pPr>
              <w:keepNext/>
              <w:keepLines/>
              <w:spacing w:before="40" w:after="40"/>
              <w:rPr>
                <w:rFonts w:cs="Arial"/>
                <w:sz w:val="14"/>
                <w:szCs w:val="14"/>
                <w:highlight w:val="yellow"/>
              </w:rPr>
            </w:pPr>
            <w:r>
              <w:rPr>
                <w:rFonts w:cs="Arial"/>
                <w:sz w:val="14"/>
                <w:szCs w:val="14"/>
              </w:rPr>
              <w:t>Current Liabilities</w:t>
            </w:r>
          </w:p>
        </w:tc>
        <w:tc>
          <w:tcPr>
            <w:tcW w:w="2410" w:type="dxa"/>
            <w:tcBorders>
              <w:top w:val="nil"/>
              <w:left w:val="nil"/>
              <w:bottom w:val="nil"/>
              <w:right w:val="nil"/>
            </w:tcBorders>
            <w:shd w:val="clear" w:color="auto" w:fill="auto"/>
            <w:vAlign w:val="center"/>
          </w:tcPr>
          <w:p w14:paraId="0AFD086F"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C5FB3">
              <w:rPr>
                <w:rFonts w:cs="Arial"/>
                <w:b/>
                <w:bCs/>
                <w:sz w:val="14"/>
                <w:szCs w:val="14"/>
              </w:rPr>
              <w:t xml:space="preserve">  10</w:t>
            </w:r>
            <w:r>
              <w:rPr>
                <w:rFonts w:cs="Arial"/>
                <w:b/>
                <w:bCs/>
                <w:sz w:val="14"/>
                <w:szCs w:val="14"/>
              </w:rPr>
              <w:t>,</w:t>
            </w:r>
            <w:r w:rsidRPr="00EC5FB3">
              <w:rPr>
                <w:rFonts w:cs="Arial"/>
                <w:b/>
                <w:bCs/>
                <w:sz w:val="14"/>
                <w:szCs w:val="14"/>
              </w:rPr>
              <w:t>025</w:t>
            </w:r>
            <w:r>
              <w:rPr>
                <w:rFonts w:cs="Arial"/>
                <w:b/>
                <w:bCs/>
                <w:sz w:val="14"/>
                <w:szCs w:val="14"/>
              </w:rPr>
              <w:t>,</w:t>
            </w:r>
            <w:r w:rsidRPr="00EC5FB3">
              <w:rPr>
                <w:rFonts w:cs="Arial"/>
                <w:b/>
                <w:bCs/>
                <w:sz w:val="14"/>
                <w:szCs w:val="14"/>
              </w:rPr>
              <w:t xml:space="preserve">789 </w:t>
            </w:r>
          </w:p>
        </w:tc>
        <w:tc>
          <w:tcPr>
            <w:tcW w:w="2410" w:type="dxa"/>
            <w:tcBorders>
              <w:top w:val="nil"/>
              <w:left w:val="nil"/>
              <w:bottom w:val="nil"/>
              <w:right w:val="nil"/>
            </w:tcBorders>
            <w:shd w:val="clear" w:color="auto" w:fill="auto"/>
            <w:vAlign w:val="center"/>
          </w:tcPr>
          <w:p w14:paraId="28394D16"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highlight w:val="yellow"/>
              </w:rPr>
            </w:pPr>
            <w:r w:rsidRPr="00EC5FB3">
              <w:rPr>
                <w:rFonts w:cs="Arial"/>
                <w:b/>
                <w:bCs/>
                <w:sz w:val="14"/>
                <w:szCs w:val="14"/>
              </w:rPr>
              <w:t xml:space="preserve">  9</w:t>
            </w:r>
            <w:r>
              <w:rPr>
                <w:rFonts w:cs="Arial"/>
                <w:b/>
                <w:bCs/>
                <w:sz w:val="14"/>
                <w:szCs w:val="14"/>
              </w:rPr>
              <w:t>,</w:t>
            </w:r>
            <w:r w:rsidRPr="00EC5FB3">
              <w:rPr>
                <w:rFonts w:cs="Arial"/>
                <w:b/>
                <w:bCs/>
                <w:sz w:val="14"/>
                <w:szCs w:val="14"/>
              </w:rPr>
              <w:t>698</w:t>
            </w:r>
            <w:r>
              <w:rPr>
                <w:rFonts w:cs="Arial"/>
                <w:b/>
                <w:bCs/>
                <w:sz w:val="14"/>
                <w:szCs w:val="14"/>
              </w:rPr>
              <w:t>,</w:t>
            </w:r>
            <w:r w:rsidRPr="00EC5FB3">
              <w:rPr>
                <w:rFonts w:cs="Arial"/>
                <w:b/>
                <w:bCs/>
                <w:sz w:val="14"/>
                <w:szCs w:val="14"/>
              </w:rPr>
              <w:t xml:space="preserve">777 </w:t>
            </w:r>
          </w:p>
        </w:tc>
      </w:tr>
      <w:tr w:rsidR="006A362F" w:rsidRPr="00EC5FB3" w14:paraId="639008B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A75CD87" w14:textId="77777777" w:rsidR="006A362F" w:rsidRPr="00EC5FB3" w:rsidRDefault="006A362F" w:rsidP="006928A6">
            <w:pPr>
              <w:keepNext/>
              <w:keepLines/>
              <w:spacing w:before="40" w:after="40"/>
              <w:ind w:left="113"/>
              <w:rPr>
                <w:rFonts w:cs="Arial"/>
                <w:b w:val="0"/>
                <w:bCs w:val="0"/>
                <w:sz w:val="14"/>
                <w:szCs w:val="14"/>
                <w:highlight w:val="yellow"/>
              </w:rPr>
            </w:pPr>
            <w:r>
              <w:rPr>
                <w:rFonts w:cs="Arial"/>
                <w:b w:val="0"/>
                <w:bCs w:val="0"/>
                <w:color w:val="000000"/>
                <w:sz w:val="14"/>
                <w:szCs w:val="14"/>
              </w:rPr>
              <w:t>Technical provisions</w:t>
            </w:r>
          </w:p>
        </w:tc>
        <w:tc>
          <w:tcPr>
            <w:tcW w:w="2410" w:type="dxa"/>
            <w:tcBorders>
              <w:top w:val="nil"/>
              <w:left w:val="nil"/>
              <w:bottom w:val="nil"/>
              <w:right w:val="nil"/>
            </w:tcBorders>
            <w:shd w:val="clear" w:color="auto" w:fill="auto"/>
            <w:vAlign w:val="center"/>
          </w:tcPr>
          <w:p w14:paraId="045A81F9"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9</w:t>
            </w:r>
            <w:r>
              <w:rPr>
                <w:rFonts w:cs="Arial"/>
                <w:sz w:val="14"/>
                <w:szCs w:val="14"/>
              </w:rPr>
              <w:t>,</w:t>
            </w:r>
            <w:r w:rsidRPr="00EC5FB3">
              <w:rPr>
                <w:rFonts w:cs="Arial"/>
                <w:sz w:val="14"/>
                <w:szCs w:val="14"/>
              </w:rPr>
              <w:t>945</w:t>
            </w:r>
            <w:r>
              <w:rPr>
                <w:rFonts w:cs="Arial"/>
                <w:sz w:val="14"/>
                <w:szCs w:val="14"/>
              </w:rPr>
              <w:t>,</w:t>
            </w:r>
            <w:r w:rsidRPr="00EC5FB3">
              <w:rPr>
                <w:rFonts w:cs="Arial"/>
                <w:sz w:val="14"/>
                <w:szCs w:val="14"/>
              </w:rPr>
              <w:t xml:space="preserve">688 </w:t>
            </w:r>
          </w:p>
        </w:tc>
        <w:tc>
          <w:tcPr>
            <w:tcW w:w="2410" w:type="dxa"/>
            <w:tcBorders>
              <w:top w:val="nil"/>
              <w:left w:val="nil"/>
              <w:bottom w:val="nil"/>
              <w:right w:val="nil"/>
            </w:tcBorders>
            <w:shd w:val="clear" w:color="auto" w:fill="auto"/>
            <w:vAlign w:val="center"/>
          </w:tcPr>
          <w:p w14:paraId="1F38DD57"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9</w:t>
            </w:r>
            <w:r>
              <w:rPr>
                <w:rFonts w:cs="Arial"/>
                <w:sz w:val="14"/>
                <w:szCs w:val="14"/>
              </w:rPr>
              <w:t>,</w:t>
            </w:r>
            <w:r w:rsidRPr="00EC5FB3">
              <w:rPr>
                <w:rFonts w:cs="Arial"/>
                <w:sz w:val="14"/>
                <w:szCs w:val="14"/>
              </w:rPr>
              <w:t>608</w:t>
            </w:r>
            <w:r>
              <w:rPr>
                <w:rFonts w:cs="Arial"/>
                <w:sz w:val="14"/>
                <w:szCs w:val="14"/>
              </w:rPr>
              <w:t>,</w:t>
            </w:r>
            <w:r w:rsidRPr="00EC5FB3">
              <w:rPr>
                <w:rFonts w:cs="Arial"/>
                <w:sz w:val="14"/>
                <w:szCs w:val="14"/>
              </w:rPr>
              <w:t>35</w:t>
            </w:r>
            <w:r>
              <w:rPr>
                <w:rFonts w:cs="Arial"/>
                <w:sz w:val="14"/>
                <w:szCs w:val="14"/>
              </w:rPr>
              <w:t>1</w:t>
            </w:r>
            <w:r w:rsidRPr="00EC5FB3">
              <w:rPr>
                <w:rFonts w:cs="Arial"/>
                <w:sz w:val="14"/>
                <w:szCs w:val="14"/>
              </w:rPr>
              <w:t xml:space="preserve"> </w:t>
            </w:r>
          </w:p>
        </w:tc>
      </w:tr>
      <w:tr w:rsidR="006A362F" w:rsidRPr="00EC5FB3" w14:paraId="08792AC3"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7AAC0C7" w14:textId="77777777" w:rsidR="006A362F" w:rsidRPr="00EC5FB3" w:rsidRDefault="006A362F" w:rsidP="006928A6">
            <w:pPr>
              <w:keepNext/>
              <w:keepLines/>
              <w:spacing w:before="40" w:after="40"/>
              <w:ind w:left="113"/>
              <w:rPr>
                <w:rFonts w:cs="Arial"/>
                <w:b w:val="0"/>
                <w:bCs w:val="0"/>
                <w:sz w:val="14"/>
                <w:szCs w:val="14"/>
                <w:highlight w:val="yellow"/>
              </w:rPr>
            </w:pPr>
            <w:r>
              <w:rPr>
                <w:rFonts w:cs="Arial"/>
                <w:b w:val="0"/>
                <w:bCs w:val="0"/>
                <w:sz w:val="14"/>
                <w:szCs w:val="14"/>
              </w:rPr>
              <w:t>Dividends payable</w:t>
            </w:r>
          </w:p>
        </w:tc>
        <w:tc>
          <w:tcPr>
            <w:tcW w:w="2410" w:type="dxa"/>
            <w:tcBorders>
              <w:top w:val="nil"/>
              <w:left w:val="nil"/>
              <w:bottom w:val="nil"/>
              <w:right w:val="nil"/>
            </w:tcBorders>
            <w:shd w:val="clear" w:color="auto" w:fill="auto"/>
            <w:vAlign w:val="center"/>
          </w:tcPr>
          <w:p w14:paraId="5CB24E89"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w:t>
            </w:r>
            <w:r>
              <w:rPr>
                <w:rFonts w:cs="Arial"/>
                <w:sz w:val="14"/>
                <w:szCs w:val="14"/>
              </w:rPr>
              <w:t>,</w:t>
            </w:r>
            <w:r w:rsidRPr="00EC5FB3">
              <w:rPr>
                <w:rFonts w:cs="Arial"/>
                <w:sz w:val="14"/>
                <w:szCs w:val="14"/>
              </w:rPr>
              <w:t xml:space="preserve">937 </w:t>
            </w:r>
          </w:p>
        </w:tc>
        <w:tc>
          <w:tcPr>
            <w:tcW w:w="2410" w:type="dxa"/>
            <w:tcBorders>
              <w:top w:val="nil"/>
              <w:left w:val="nil"/>
              <w:bottom w:val="nil"/>
              <w:right w:val="nil"/>
            </w:tcBorders>
            <w:shd w:val="clear" w:color="auto" w:fill="auto"/>
            <w:vAlign w:val="center"/>
          </w:tcPr>
          <w:p w14:paraId="3F7BB91C"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22</w:t>
            </w:r>
            <w:r>
              <w:rPr>
                <w:rFonts w:cs="Arial"/>
                <w:sz w:val="14"/>
                <w:szCs w:val="14"/>
              </w:rPr>
              <w:t>,</w:t>
            </w:r>
            <w:r w:rsidRPr="00EC5FB3">
              <w:rPr>
                <w:rFonts w:cs="Arial"/>
                <w:sz w:val="14"/>
                <w:szCs w:val="14"/>
              </w:rPr>
              <w:t xml:space="preserve">127 </w:t>
            </w:r>
          </w:p>
        </w:tc>
      </w:tr>
      <w:tr w:rsidR="006A362F" w:rsidRPr="00EC5FB3" w14:paraId="0DC0BA8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B6A282C" w14:textId="77777777" w:rsidR="006A362F" w:rsidRPr="00EC5FB3" w:rsidRDefault="006A362F" w:rsidP="006928A6">
            <w:pPr>
              <w:keepNext/>
              <w:keepLines/>
              <w:spacing w:before="40" w:after="40"/>
              <w:ind w:left="113"/>
              <w:rPr>
                <w:rFonts w:cs="Arial"/>
                <w:b w:val="0"/>
                <w:bCs w:val="0"/>
                <w:sz w:val="14"/>
                <w:szCs w:val="14"/>
                <w:highlight w:val="yellow"/>
              </w:rPr>
            </w:pPr>
            <w:r>
              <w:rPr>
                <w:rFonts w:cs="Arial"/>
                <w:b w:val="0"/>
                <w:bCs w:val="0"/>
                <w:sz w:val="14"/>
                <w:szCs w:val="14"/>
              </w:rPr>
              <w:t>Other liabilities</w:t>
            </w:r>
          </w:p>
        </w:tc>
        <w:tc>
          <w:tcPr>
            <w:tcW w:w="2410" w:type="dxa"/>
            <w:tcBorders>
              <w:top w:val="nil"/>
              <w:left w:val="nil"/>
              <w:bottom w:val="nil"/>
              <w:right w:val="nil"/>
            </w:tcBorders>
            <w:shd w:val="clear" w:color="auto" w:fill="auto"/>
            <w:vAlign w:val="center"/>
          </w:tcPr>
          <w:p w14:paraId="2293F5B4"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78</w:t>
            </w:r>
            <w:r>
              <w:rPr>
                <w:rFonts w:cs="Arial"/>
                <w:sz w:val="14"/>
                <w:szCs w:val="14"/>
              </w:rPr>
              <w:t>,</w:t>
            </w:r>
            <w:r w:rsidRPr="00EC5FB3">
              <w:rPr>
                <w:rFonts w:cs="Arial"/>
                <w:sz w:val="14"/>
                <w:szCs w:val="14"/>
              </w:rPr>
              <w:t xml:space="preserve">164 </w:t>
            </w:r>
          </w:p>
        </w:tc>
        <w:tc>
          <w:tcPr>
            <w:tcW w:w="2410" w:type="dxa"/>
            <w:tcBorders>
              <w:top w:val="nil"/>
              <w:left w:val="nil"/>
              <w:bottom w:val="nil"/>
              <w:right w:val="nil"/>
            </w:tcBorders>
            <w:shd w:val="clear" w:color="auto" w:fill="auto"/>
            <w:vAlign w:val="center"/>
          </w:tcPr>
          <w:p w14:paraId="2145CC70"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68</w:t>
            </w:r>
            <w:r>
              <w:rPr>
                <w:rFonts w:cs="Arial"/>
                <w:sz w:val="14"/>
                <w:szCs w:val="14"/>
              </w:rPr>
              <w:t>,</w:t>
            </w:r>
            <w:r w:rsidRPr="00EC5FB3">
              <w:rPr>
                <w:rFonts w:cs="Arial"/>
                <w:sz w:val="14"/>
                <w:szCs w:val="14"/>
              </w:rPr>
              <w:t xml:space="preserve">299 </w:t>
            </w:r>
          </w:p>
        </w:tc>
      </w:tr>
      <w:tr w:rsidR="006A362F" w:rsidRPr="00EC5FB3" w14:paraId="446B955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5C1B992" w14:textId="77777777" w:rsidR="006A362F" w:rsidRPr="00EC5FB3" w:rsidRDefault="006A362F" w:rsidP="006928A6">
            <w:pPr>
              <w:keepNext/>
              <w:keepLines/>
              <w:rPr>
                <w:rFonts w:cs="Arial"/>
                <w:color w:val="000000"/>
                <w:sz w:val="14"/>
                <w:szCs w:val="14"/>
                <w:highlight w:val="yellow"/>
              </w:rPr>
            </w:pPr>
            <w:r>
              <w:rPr>
                <w:rFonts w:cs="Arial"/>
                <w:sz w:val="14"/>
                <w:szCs w:val="14"/>
              </w:rPr>
              <w:t>Non-Current Liabilities</w:t>
            </w:r>
          </w:p>
        </w:tc>
        <w:tc>
          <w:tcPr>
            <w:tcW w:w="2410" w:type="dxa"/>
            <w:tcBorders>
              <w:top w:val="nil"/>
              <w:left w:val="nil"/>
              <w:bottom w:val="nil"/>
              <w:right w:val="nil"/>
            </w:tcBorders>
            <w:shd w:val="clear" w:color="auto" w:fill="auto"/>
            <w:vAlign w:val="center"/>
          </w:tcPr>
          <w:p w14:paraId="63F8E3AA" w14:textId="77777777" w:rsidR="006A362F" w:rsidRPr="00EC5FB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C5FB3">
              <w:rPr>
                <w:rFonts w:cs="Arial"/>
                <w:b/>
                <w:bCs/>
                <w:sz w:val="14"/>
                <w:szCs w:val="14"/>
              </w:rPr>
              <w:t xml:space="preserve">  1</w:t>
            </w:r>
            <w:r>
              <w:rPr>
                <w:rFonts w:cs="Arial"/>
                <w:b/>
                <w:bCs/>
                <w:sz w:val="14"/>
                <w:szCs w:val="14"/>
              </w:rPr>
              <w:t>,</w:t>
            </w:r>
            <w:r w:rsidRPr="00EC5FB3">
              <w:rPr>
                <w:rFonts w:cs="Arial"/>
                <w:b/>
                <w:bCs/>
                <w:sz w:val="14"/>
                <w:szCs w:val="14"/>
              </w:rPr>
              <w:t>172</w:t>
            </w:r>
            <w:r>
              <w:rPr>
                <w:rFonts w:cs="Arial"/>
                <w:b/>
                <w:bCs/>
                <w:sz w:val="14"/>
                <w:szCs w:val="14"/>
              </w:rPr>
              <w:t>,</w:t>
            </w:r>
            <w:r w:rsidRPr="00EC5FB3">
              <w:rPr>
                <w:rFonts w:cs="Arial"/>
                <w:b/>
                <w:bCs/>
                <w:sz w:val="14"/>
                <w:szCs w:val="14"/>
              </w:rPr>
              <w:t xml:space="preserve">796 </w:t>
            </w:r>
          </w:p>
        </w:tc>
        <w:tc>
          <w:tcPr>
            <w:tcW w:w="2410" w:type="dxa"/>
            <w:tcBorders>
              <w:top w:val="nil"/>
              <w:left w:val="nil"/>
              <w:bottom w:val="nil"/>
              <w:right w:val="nil"/>
            </w:tcBorders>
            <w:shd w:val="clear" w:color="auto" w:fill="auto"/>
            <w:vAlign w:val="center"/>
          </w:tcPr>
          <w:p w14:paraId="5E42D17D" w14:textId="77777777" w:rsidR="006A362F" w:rsidRPr="00EC5FB3" w:rsidRDefault="006A362F" w:rsidP="006928A6">
            <w:pPr>
              <w:keepNext/>
              <w:keepLines/>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highlight w:val="yellow"/>
              </w:rPr>
            </w:pPr>
            <w:r w:rsidRPr="00EC5FB3">
              <w:rPr>
                <w:rFonts w:cs="Arial"/>
                <w:b/>
                <w:bCs/>
                <w:sz w:val="14"/>
                <w:szCs w:val="14"/>
              </w:rPr>
              <w:t xml:space="preserve">  1</w:t>
            </w:r>
            <w:r>
              <w:rPr>
                <w:rFonts w:cs="Arial"/>
                <w:b/>
                <w:bCs/>
                <w:sz w:val="14"/>
                <w:szCs w:val="14"/>
              </w:rPr>
              <w:t>,</w:t>
            </w:r>
            <w:r w:rsidRPr="00EC5FB3">
              <w:rPr>
                <w:rFonts w:cs="Arial"/>
                <w:b/>
                <w:bCs/>
                <w:sz w:val="14"/>
                <w:szCs w:val="14"/>
              </w:rPr>
              <w:t>142</w:t>
            </w:r>
            <w:r>
              <w:rPr>
                <w:rFonts w:cs="Arial"/>
                <w:b/>
                <w:bCs/>
                <w:sz w:val="14"/>
                <w:szCs w:val="14"/>
              </w:rPr>
              <w:t>,</w:t>
            </w:r>
            <w:r w:rsidRPr="00EC5FB3">
              <w:rPr>
                <w:rFonts w:cs="Arial"/>
                <w:b/>
                <w:bCs/>
                <w:sz w:val="14"/>
                <w:szCs w:val="14"/>
              </w:rPr>
              <w:t xml:space="preserve">749 </w:t>
            </w:r>
          </w:p>
        </w:tc>
      </w:tr>
      <w:tr w:rsidR="006A362F" w:rsidRPr="00EC5FB3" w14:paraId="3FB7EC0B"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E4DA1F1" w14:textId="77777777" w:rsidR="006A362F" w:rsidRPr="00EC5FB3" w:rsidRDefault="006A362F" w:rsidP="006928A6">
            <w:pPr>
              <w:keepNext/>
              <w:keepLines/>
              <w:spacing w:before="40" w:after="40"/>
              <w:ind w:left="113"/>
              <w:rPr>
                <w:rFonts w:eastAsia="Times New Roman" w:cs="Arial"/>
                <w:b w:val="0"/>
                <w:bCs w:val="0"/>
                <w:spacing w:val="-2"/>
                <w:sz w:val="14"/>
                <w:szCs w:val="14"/>
                <w:highlight w:val="yellow"/>
              </w:rPr>
            </w:pPr>
            <w:r>
              <w:rPr>
                <w:rFonts w:cs="Arial"/>
                <w:b w:val="0"/>
                <w:bCs w:val="0"/>
                <w:sz w:val="14"/>
                <w:szCs w:val="14"/>
              </w:rPr>
              <w:t>Financial liabilities</w:t>
            </w:r>
          </w:p>
        </w:tc>
        <w:tc>
          <w:tcPr>
            <w:tcW w:w="2410" w:type="dxa"/>
            <w:tcBorders>
              <w:top w:val="nil"/>
              <w:left w:val="nil"/>
              <w:bottom w:val="nil"/>
              <w:right w:val="nil"/>
            </w:tcBorders>
            <w:shd w:val="clear" w:color="auto" w:fill="auto"/>
            <w:vAlign w:val="center"/>
          </w:tcPr>
          <w:p w14:paraId="334A8B3E"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11</w:t>
            </w:r>
            <w:r>
              <w:rPr>
                <w:rFonts w:cs="Arial"/>
                <w:sz w:val="14"/>
                <w:szCs w:val="14"/>
              </w:rPr>
              <w:t>,</w:t>
            </w:r>
            <w:r w:rsidRPr="00EC5FB3">
              <w:rPr>
                <w:rFonts w:cs="Arial"/>
                <w:sz w:val="14"/>
                <w:szCs w:val="14"/>
              </w:rPr>
              <w:t xml:space="preserve">071 </w:t>
            </w:r>
          </w:p>
        </w:tc>
        <w:tc>
          <w:tcPr>
            <w:tcW w:w="2410" w:type="dxa"/>
            <w:tcBorders>
              <w:top w:val="nil"/>
              <w:left w:val="nil"/>
              <w:bottom w:val="nil"/>
              <w:right w:val="nil"/>
            </w:tcBorders>
            <w:shd w:val="clear" w:color="auto" w:fill="auto"/>
            <w:vAlign w:val="center"/>
          </w:tcPr>
          <w:p w14:paraId="4DCCAA8E"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highlight w:val="yellow"/>
              </w:rPr>
            </w:pPr>
            <w:r w:rsidRPr="00EC5FB3">
              <w:rPr>
                <w:rFonts w:cs="Arial"/>
                <w:sz w:val="14"/>
                <w:szCs w:val="14"/>
              </w:rPr>
              <w:t xml:space="preserve">  11</w:t>
            </w:r>
            <w:r>
              <w:rPr>
                <w:rFonts w:cs="Arial"/>
                <w:sz w:val="14"/>
                <w:szCs w:val="14"/>
              </w:rPr>
              <w:t>,</w:t>
            </w:r>
            <w:r w:rsidRPr="00EC5FB3">
              <w:rPr>
                <w:rFonts w:cs="Arial"/>
                <w:sz w:val="14"/>
                <w:szCs w:val="14"/>
              </w:rPr>
              <w:t xml:space="preserve">071 </w:t>
            </w:r>
          </w:p>
        </w:tc>
      </w:tr>
      <w:tr w:rsidR="006A362F" w:rsidRPr="00EC5FB3" w14:paraId="78569531"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DE72F67" w14:textId="77777777" w:rsidR="006A362F" w:rsidRPr="00EC5FB3" w:rsidRDefault="006A362F" w:rsidP="006928A6">
            <w:pPr>
              <w:keepNext/>
              <w:keepLines/>
              <w:spacing w:before="40" w:after="40"/>
              <w:ind w:left="113"/>
              <w:rPr>
                <w:rFonts w:eastAsia="Times New Roman" w:cs="Arial"/>
                <w:b w:val="0"/>
                <w:bCs w:val="0"/>
                <w:spacing w:val="-2"/>
                <w:sz w:val="14"/>
                <w:szCs w:val="14"/>
                <w:highlight w:val="yellow"/>
              </w:rPr>
            </w:pPr>
            <w:r>
              <w:rPr>
                <w:rFonts w:cs="Arial"/>
                <w:b w:val="0"/>
                <w:bCs w:val="0"/>
                <w:sz w:val="14"/>
                <w:szCs w:val="14"/>
              </w:rPr>
              <w:t>Other liabilities</w:t>
            </w:r>
          </w:p>
        </w:tc>
        <w:tc>
          <w:tcPr>
            <w:tcW w:w="2410" w:type="dxa"/>
            <w:tcBorders>
              <w:top w:val="nil"/>
              <w:left w:val="nil"/>
              <w:bottom w:val="nil"/>
              <w:right w:val="nil"/>
            </w:tcBorders>
            <w:shd w:val="clear" w:color="auto" w:fill="auto"/>
            <w:vAlign w:val="center"/>
          </w:tcPr>
          <w:p w14:paraId="791227E1"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w:t>
            </w:r>
            <w:r>
              <w:rPr>
                <w:rFonts w:cs="Arial"/>
                <w:sz w:val="14"/>
                <w:szCs w:val="14"/>
              </w:rPr>
              <w:t>,</w:t>
            </w:r>
            <w:r w:rsidRPr="00EC5FB3">
              <w:rPr>
                <w:rFonts w:cs="Arial"/>
                <w:sz w:val="14"/>
                <w:szCs w:val="14"/>
              </w:rPr>
              <w:t>161</w:t>
            </w:r>
            <w:r>
              <w:rPr>
                <w:rFonts w:cs="Arial"/>
                <w:sz w:val="14"/>
                <w:szCs w:val="14"/>
              </w:rPr>
              <w:t>,</w:t>
            </w:r>
            <w:r w:rsidRPr="00EC5FB3">
              <w:rPr>
                <w:rFonts w:cs="Arial"/>
                <w:sz w:val="14"/>
                <w:szCs w:val="14"/>
              </w:rPr>
              <w:t>72</w:t>
            </w:r>
            <w:r>
              <w:rPr>
                <w:rFonts w:cs="Arial"/>
                <w:sz w:val="14"/>
                <w:szCs w:val="14"/>
              </w:rPr>
              <w:t>5</w:t>
            </w:r>
            <w:r w:rsidRPr="00EC5FB3">
              <w:rPr>
                <w:rFonts w:cs="Arial"/>
                <w:sz w:val="14"/>
                <w:szCs w:val="14"/>
              </w:rPr>
              <w:t xml:space="preserve"> </w:t>
            </w:r>
          </w:p>
        </w:tc>
        <w:tc>
          <w:tcPr>
            <w:tcW w:w="2410" w:type="dxa"/>
            <w:tcBorders>
              <w:top w:val="nil"/>
              <w:left w:val="nil"/>
              <w:bottom w:val="nil"/>
              <w:right w:val="nil"/>
            </w:tcBorders>
            <w:shd w:val="clear" w:color="auto" w:fill="auto"/>
            <w:vAlign w:val="center"/>
          </w:tcPr>
          <w:p w14:paraId="4890DC0C" w14:textId="77777777" w:rsidR="006A362F" w:rsidRPr="00EC5FB3"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highlight w:val="yellow"/>
              </w:rPr>
            </w:pPr>
            <w:r w:rsidRPr="00EC5FB3">
              <w:rPr>
                <w:rFonts w:cs="Arial"/>
                <w:sz w:val="14"/>
                <w:szCs w:val="14"/>
              </w:rPr>
              <w:t xml:space="preserve">  1</w:t>
            </w:r>
            <w:r>
              <w:rPr>
                <w:rFonts w:cs="Arial"/>
                <w:sz w:val="14"/>
                <w:szCs w:val="14"/>
              </w:rPr>
              <w:t>,</w:t>
            </w:r>
            <w:r w:rsidRPr="00EC5FB3">
              <w:rPr>
                <w:rFonts w:cs="Arial"/>
                <w:sz w:val="14"/>
                <w:szCs w:val="14"/>
              </w:rPr>
              <w:t>131</w:t>
            </w:r>
            <w:r>
              <w:rPr>
                <w:rFonts w:cs="Arial"/>
                <w:sz w:val="14"/>
                <w:szCs w:val="14"/>
              </w:rPr>
              <w:t>,</w:t>
            </w:r>
            <w:r w:rsidRPr="00EC5FB3">
              <w:rPr>
                <w:rFonts w:cs="Arial"/>
                <w:sz w:val="14"/>
                <w:szCs w:val="14"/>
              </w:rPr>
              <w:t xml:space="preserve">678 </w:t>
            </w:r>
          </w:p>
        </w:tc>
      </w:tr>
      <w:tr w:rsidR="006A362F" w:rsidRPr="00EC5FB3" w14:paraId="4162A9E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2CA67B07" w14:textId="77777777" w:rsidR="006A362F" w:rsidRPr="00EC5FB3" w:rsidRDefault="006A362F" w:rsidP="006928A6">
            <w:pPr>
              <w:keepNext/>
              <w:keepLines/>
              <w:spacing w:before="40" w:after="40"/>
              <w:rPr>
                <w:rFonts w:eastAsia="Times New Roman" w:cs="Arial"/>
                <w:spacing w:val="-2"/>
                <w:sz w:val="14"/>
                <w:szCs w:val="14"/>
                <w:highlight w:val="yellow"/>
              </w:rPr>
            </w:pPr>
            <w:r>
              <w:rPr>
                <w:rFonts w:cs="Arial"/>
                <w:sz w:val="14"/>
                <w:szCs w:val="14"/>
              </w:rPr>
              <w:t>Equity</w:t>
            </w:r>
          </w:p>
        </w:tc>
        <w:tc>
          <w:tcPr>
            <w:tcW w:w="2410" w:type="dxa"/>
            <w:tcBorders>
              <w:top w:val="nil"/>
              <w:left w:val="nil"/>
              <w:bottom w:val="nil"/>
              <w:right w:val="nil"/>
            </w:tcBorders>
            <w:shd w:val="clear" w:color="auto" w:fill="auto"/>
            <w:vAlign w:val="center"/>
          </w:tcPr>
          <w:p w14:paraId="09CA89B2"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682</w:t>
            </w:r>
            <w:r>
              <w:rPr>
                <w:rFonts w:cs="Arial"/>
                <w:b/>
                <w:bCs/>
                <w:sz w:val="14"/>
                <w:szCs w:val="14"/>
              </w:rPr>
              <w:t>,</w:t>
            </w:r>
            <w:r w:rsidRPr="00EC5FB3">
              <w:rPr>
                <w:rFonts w:cs="Arial"/>
                <w:b/>
                <w:bCs/>
                <w:sz w:val="14"/>
                <w:szCs w:val="14"/>
              </w:rPr>
              <w:t xml:space="preserve">326 </w:t>
            </w:r>
          </w:p>
        </w:tc>
        <w:tc>
          <w:tcPr>
            <w:tcW w:w="2410" w:type="dxa"/>
            <w:tcBorders>
              <w:top w:val="nil"/>
              <w:left w:val="nil"/>
              <w:bottom w:val="nil"/>
              <w:right w:val="nil"/>
            </w:tcBorders>
            <w:shd w:val="clear" w:color="auto" w:fill="auto"/>
            <w:vAlign w:val="center"/>
          </w:tcPr>
          <w:p w14:paraId="3A113673" w14:textId="77777777" w:rsidR="006A362F" w:rsidRPr="00EC5FB3"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r w:rsidRPr="00EC5FB3">
              <w:rPr>
                <w:rFonts w:cs="Arial"/>
                <w:b/>
                <w:bCs/>
                <w:sz w:val="14"/>
                <w:szCs w:val="14"/>
              </w:rPr>
              <w:t xml:space="preserve">  649</w:t>
            </w:r>
            <w:r>
              <w:rPr>
                <w:rFonts w:cs="Arial"/>
                <w:b/>
                <w:bCs/>
                <w:sz w:val="14"/>
                <w:szCs w:val="14"/>
              </w:rPr>
              <w:t>,</w:t>
            </w:r>
            <w:r w:rsidRPr="00EC5FB3">
              <w:rPr>
                <w:rFonts w:cs="Arial"/>
                <w:b/>
                <w:bCs/>
                <w:sz w:val="14"/>
                <w:szCs w:val="14"/>
              </w:rPr>
              <w:t xml:space="preserve">780 </w:t>
            </w:r>
          </w:p>
        </w:tc>
      </w:tr>
      <w:tr w:rsidR="006A362F" w:rsidRPr="00961DE4" w14:paraId="6D403238"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011BD6E3" w14:textId="77777777" w:rsidR="006A362F" w:rsidRPr="00961DE4" w:rsidRDefault="006A362F" w:rsidP="006928A6">
            <w:pPr>
              <w:keepNext/>
              <w:keepLines/>
              <w:spacing w:before="40" w:after="40"/>
              <w:rPr>
                <w:rFonts w:cs="Arial"/>
                <w:b w:val="0"/>
                <w:bCs w:val="0"/>
                <w:sz w:val="14"/>
                <w:szCs w:val="14"/>
              </w:rPr>
            </w:pPr>
            <w:r>
              <w:rPr>
                <w:rFonts w:cs="Arial"/>
                <w:sz w:val="14"/>
                <w:szCs w:val="14"/>
              </w:rPr>
              <w:t>Attributable to BB Seguridade</w:t>
            </w:r>
          </w:p>
        </w:tc>
        <w:tc>
          <w:tcPr>
            <w:tcW w:w="2410" w:type="dxa"/>
            <w:tcBorders>
              <w:top w:val="nil"/>
              <w:left w:val="nil"/>
              <w:bottom w:val="nil"/>
              <w:right w:val="nil"/>
            </w:tcBorders>
            <w:shd w:val="clear" w:color="auto" w:fill="auto"/>
            <w:vAlign w:val="center"/>
          </w:tcPr>
          <w:p w14:paraId="240F7425" w14:textId="77777777" w:rsidR="006A362F" w:rsidRPr="00961DE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455</w:t>
            </w:r>
            <w:r>
              <w:rPr>
                <w:rFonts w:cs="Arial"/>
                <w:b/>
                <w:bCs/>
                <w:sz w:val="14"/>
                <w:szCs w:val="14"/>
              </w:rPr>
              <w:t>,</w:t>
            </w:r>
            <w:r w:rsidRPr="00B84F26">
              <w:rPr>
                <w:rFonts w:cs="Arial"/>
                <w:b/>
                <w:bCs/>
                <w:sz w:val="14"/>
                <w:szCs w:val="14"/>
              </w:rPr>
              <w:t>571</w:t>
            </w:r>
          </w:p>
        </w:tc>
        <w:tc>
          <w:tcPr>
            <w:tcW w:w="2410" w:type="dxa"/>
            <w:tcBorders>
              <w:top w:val="nil"/>
              <w:left w:val="nil"/>
              <w:bottom w:val="nil"/>
              <w:right w:val="nil"/>
            </w:tcBorders>
            <w:shd w:val="clear" w:color="auto" w:fill="auto"/>
            <w:vAlign w:val="center"/>
          </w:tcPr>
          <w:p w14:paraId="7FE77353" w14:textId="77777777" w:rsidR="006A362F" w:rsidRPr="00961DE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433</w:t>
            </w:r>
            <w:r>
              <w:rPr>
                <w:rFonts w:cs="Arial"/>
                <w:b/>
                <w:bCs/>
                <w:sz w:val="14"/>
                <w:szCs w:val="14"/>
              </w:rPr>
              <w:t>,</w:t>
            </w:r>
            <w:r w:rsidRPr="00B84F26">
              <w:rPr>
                <w:rFonts w:cs="Arial"/>
                <w:b/>
                <w:bCs/>
                <w:sz w:val="14"/>
                <w:szCs w:val="14"/>
              </w:rPr>
              <w:t>841</w:t>
            </w:r>
          </w:p>
        </w:tc>
      </w:tr>
      <w:tr w:rsidR="006A362F" w:rsidRPr="00B84F26" w14:paraId="36165E6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tcPr>
          <w:p w14:paraId="52D388B3" w14:textId="77777777" w:rsidR="006A362F" w:rsidRPr="00B84F26" w:rsidRDefault="006A362F" w:rsidP="006928A6">
            <w:pPr>
              <w:keepNext/>
              <w:keepLines/>
              <w:spacing w:before="40" w:after="40"/>
              <w:ind w:left="113"/>
              <w:rPr>
                <w:rFonts w:cs="Arial"/>
                <w:b w:val="0"/>
                <w:bCs w:val="0"/>
                <w:sz w:val="14"/>
                <w:szCs w:val="14"/>
              </w:rPr>
            </w:pPr>
            <w:r>
              <w:rPr>
                <w:rFonts w:cs="Arial"/>
                <w:b w:val="0"/>
                <w:bCs w:val="0"/>
                <w:sz w:val="14"/>
                <w:szCs w:val="14"/>
              </w:rPr>
              <w:t xml:space="preserve">Adjustment </w:t>
            </w:r>
            <w:r w:rsidRPr="00B84F26">
              <w:rPr>
                <w:rFonts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18302CB2" w14:textId="77777777" w:rsidR="006A362F" w:rsidRPr="00B84F26"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B84F26">
              <w:rPr>
                <w:rFonts w:cs="Arial"/>
                <w:sz w:val="14"/>
                <w:szCs w:val="14"/>
              </w:rPr>
              <w:t>110</w:t>
            </w:r>
            <w:r>
              <w:rPr>
                <w:rFonts w:cs="Arial"/>
                <w:sz w:val="14"/>
                <w:szCs w:val="14"/>
              </w:rPr>
              <w:t>,</w:t>
            </w:r>
            <w:r w:rsidRPr="00B84F26">
              <w:rPr>
                <w:rFonts w:cs="Arial"/>
                <w:sz w:val="14"/>
                <w:szCs w:val="14"/>
              </w:rPr>
              <w:t>749</w:t>
            </w:r>
          </w:p>
        </w:tc>
        <w:tc>
          <w:tcPr>
            <w:tcW w:w="2410" w:type="dxa"/>
            <w:tcBorders>
              <w:top w:val="nil"/>
              <w:left w:val="nil"/>
              <w:bottom w:val="nil"/>
              <w:right w:val="nil"/>
            </w:tcBorders>
            <w:shd w:val="clear" w:color="auto" w:fill="auto"/>
            <w:vAlign w:val="center"/>
          </w:tcPr>
          <w:p w14:paraId="0B2F7133" w14:textId="77777777" w:rsidR="006A362F" w:rsidRPr="00B84F26" w:rsidRDefault="006A362F" w:rsidP="006928A6">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B84F26">
              <w:rPr>
                <w:rFonts w:cs="Arial"/>
                <w:sz w:val="14"/>
                <w:szCs w:val="14"/>
              </w:rPr>
              <w:t>110</w:t>
            </w:r>
            <w:r>
              <w:rPr>
                <w:rFonts w:cs="Arial"/>
                <w:sz w:val="14"/>
                <w:szCs w:val="14"/>
              </w:rPr>
              <w:t>,</w:t>
            </w:r>
            <w:r w:rsidRPr="00B84F26">
              <w:rPr>
                <w:rFonts w:cs="Arial"/>
                <w:sz w:val="14"/>
                <w:szCs w:val="14"/>
              </w:rPr>
              <w:t>749</w:t>
            </w:r>
          </w:p>
        </w:tc>
      </w:tr>
      <w:tr w:rsidR="006A362F" w:rsidRPr="00961DE4" w14:paraId="3C96230B" w14:textId="77777777" w:rsidTr="006928A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4E79" w:themeColor="accent1" w:themeShade="80"/>
              <w:right w:val="nil"/>
            </w:tcBorders>
            <w:shd w:val="clear" w:color="auto" w:fill="auto"/>
          </w:tcPr>
          <w:p w14:paraId="1330B46B" w14:textId="77777777" w:rsidR="006A362F" w:rsidRPr="00961DE4" w:rsidRDefault="006A362F" w:rsidP="006928A6">
            <w:pPr>
              <w:keepNext/>
              <w:keepLines/>
              <w:spacing w:before="40" w:after="40"/>
              <w:rPr>
                <w:rFonts w:cs="Arial"/>
                <w:b w:val="0"/>
                <w:bCs w:val="0"/>
                <w:sz w:val="14"/>
                <w:szCs w:val="14"/>
              </w:rPr>
            </w:pPr>
            <w:r>
              <w:rPr>
                <w:rFonts w:cs="Arial"/>
                <w:sz w:val="14"/>
                <w:szCs w:val="14"/>
              </w:rPr>
              <w:t>Investment balance</w:t>
            </w:r>
          </w:p>
        </w:tc>
        <w:tc>
          <w:tcPr>
            <w:tcW w:w="2410" w:type="dxa"/>
            <w:tcBorders>
              <w:top w:val="nil"/>
              <w:left w:val="nil"/>
              <w:bottom w:val="single" w:sz="2" w:space="0" w:color="1F4E79" w:themeColor="accent1" w:themeShade="80"/>
              <w:right w:val="nil"/>
            </w:tcBorders>
            <w:shd w:val="clear" w:color="auto" w:fill="auto"/>
            <w:vAlign w:val="center"/>
          </w:tcPr>
          <w:p w14:paraId="4E863148" w14:textId="77777777" w:rsidR="006A362F" w:rsidRPr="00961DE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566</w:t>
            </w:r>
            <w:r>
              <w:rPr>
                <w:rFonts w:cs="Arial"/>
                <w:b/>
                <w:bCs/>
                <w:sz w:val="14"/>
                <w:szCs w:val="14"/>
              </w:rPr>
              <w:t>,</w:t>
            </w:r>
            <w:r w:rsidRPr="00B84F26">
              <w:rPr>
                <w:rFonts w:cs="Arial"/>
                <w:b/>
                <w:bCs/>
                <w:sz w:val="14"/>
                <w:szCs w:val="14"/>
              </w:rPr>
              <w:t>320</w:t>
            </w:r>
          </w:p>
        </w:tc>
        <w:tc>
          <w:tcPr>
            <w:tcW w:w="2410" w:type="dxa"/>
            <w:tcBorders>
              <w:top w:val="nil"/>
              <w:left w:val="nil"/>
              <w:bottom w:val="single" w:sz="2" w:space="0" w:color="1F4E79" w:themeColor="accent1" w:themeShade="80"/>
              <w:right w:val="nil"/>
            </w:tcBorders>
            <w:shd w:val="clear" w:color="auto" w:fill="auto"/>
            <w:vAlign w:val="center"/>
          </w:tcPr>
          <w:p w14:paraId="0D1D6AC8" w14:textId="77777777" w:rsidR="006A362F" w:rsidRPr="00961DE4" w:rsidRDefault="006A362F" w:rsidP="006928A6">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B84F26">
              <w:rPr>
                <w:rFonts w:cs="Arial"/>
                <w:b/>
                <w:bCs/>
                <w:sz w:val="14"/>
                <w:szCs w:val="14"/>
              </w:rPr>
              <w:t>544</w:t>
            </w:r>
            <w:r>
              <w:rPr>
                <w:rFonts w:cs="Arial"/>
                <w:b/>
                <w:bCs/>
                <w:sz w:val="14"/>
                <w:szCs w:val="14"/>
              </w:rPr>
              <w:t>,</w:t>
            </w:r>
            <w:r w:rsidRPr="00B84F26">
              <w:rPr>
                <w:rFonts w:cs="Arial"/>
                <w:b/>
                <w:bCs/>
                <w:sz w:val="14"/>
                <w:szCs w:val="14"/>
              </w:rPr>
              <w:t>590</w:t>
            </w:r>
          </w:p>
        </w:tc>
      </w:tr>
    </w:tbl>
    <w:p w14:paraId="66CB3329" w14:textId="77777777" w:rsidR="006A362F" w:rsidRPr="00662248" w:rsidRDefault="006A362F" w:rsidP="00076945">
      <w:pPr>
        <w:spacing w:after="0" w:line="240" w:lineRule="auto"/>
        <w:rPr>
          <w:rFonts w:eastAsia="Times New Roman" w:cs="Times New Roman"/>
          <w:bCs/>
          <w:color w:val="000000" w:themeColor="text1"/>
          <w:spacing w:val="-2"/>
          <w:sz w:val="14"/>
          <w:szCs w:val="16"/>
          <w:lang w:val="en-US" w:eastAsia="pt-BR"/>
        </w:rPr>
      </w:pPr>
      <w:r w:rsidRPr="00662248">
        <w:rPr>
          <w:rFonts w:eastAsia="Times New Roman" w:cs="Times New Roman"/>
          <w:bCs/>
          <w:color w:val="000000" w:themeColor="text1"/>
          <w:spacing w:val="-2"/>
          <w:sz w:val="14"/>
          <w:szCs w:val="16"/>
          <w:lang w:val="en-US" w:eastAsia="pt-BR"/>
        </w:rPr>
        <w:t>(1) Goodwill on the acquisition of equity interest in the company Sulacap by BB Seguros, which took place on 07.22.2011.</w:t>
      </w:r>
    </w:p>
    <w:p w14:paraId="1C76A7C1" w14:textId="77777777" w:rsidR="006A362F" w:rsidRPr="00662248" w:rsidRDefault="006A362F" w:rsidP="00076945">
      <w:pPr>
        <w:spacing w:after="0" w:line="240" w:lineRule="auto"/>
        <w:rPr>
          <w:rFonts w:eastAsia="Times New Roman" w:cs="Times New Roman"/>
          <w:b/>
          <w:color w:val="1F4E79" w:themeColor="accent1" w:themeShade="80"/>
          <w:spacing w:val="-2"/>
          <w:szCs w:val="20"/>
          <w:lang w:val="en-US" w:eastAsia="pt-BR"/>
        </w:rPr>
      </w:pPr>
    </w:p>
    <w:p w14:paraId="0F0E5442" w14:textId="77777777" w:rsidR="006A362F" w:rsidRPr="0020490A" w:rsidRDefault="006A362F" w:rsidP="00076945">
      <w:pPr>
        <w:keepNext/>
        <w:keepLines/>
        <w:spacing w:after="0" w:line="240" w:lineRule="auto"/>
        <w:rPr>
          <w:rFonts w:eastAsia="Times New Roman" w:cs="Times New Roman"/>
          <w:b/>
          <w:color w:val="1F4E79" w:themeColor="accent1" w:themeShade="80"/>
          <w:spacing w:val="-2"/>
          <w:szCs w:val="20"/>
          <w:lang w:val="en-US" w:eastAsia="pt-BR"/>
        </w:rPr>
      </w:pPr>
      <w:r w:rsidRPr="0020490A">
        <w:rPr>
          <w:rFonts w:eastAsia="Times New Roman" w:cs="Times New Roman"/>
          <w:b/>
          <w:color w:val="1F4E79" w:themeColor="accent1" w:themeShade="80"/>
          <w:spacing w:val="-2"/>
          <w:szCs w:val="20"/>
          <w:lang w:val="en-US" w:eastAsia="pt-BR"/>
        </w:rPr>
        <w:t>c.5) Ciclic</w:t>
      </w:r>
    </w:p>
    <w:p w14:paraId="33C323D8" w14:textId="77777777" w:rsidR="006A362F" w:rsidRPr="0020490A" w:rsidRDefault="006A362F" w:rsidP="00076945">
      <w:pPr>
        <w:spacing w:after="0" w:line="240" w:lineRule="auto"/>
        <w:rPr>
          <w:rFonts w:eastAsia="Times New Roman" w:cs="Times New Roman"/>
          <w:b/>
          <w:color w:val="1F4E79" w:themeColor="accent1" w:themeShade="80"/>
          <w:spacing w:val="-2"/>
          <w:szCs w:val="20"/>
          <w:lang w:val="en-US" w:eastAsia="pt-BR"/>
        </w:rPr>
      </w:pPr>
    </w:p>
    <w:p w14:paraId="6042F454" w14:textId="77777777" w:rsidR="006A362F" w:rsidRPr="0020490A" w:rsidRDefault="006A362F" w:rsidP="00076945">
      <w:pPr>
        <w:spacing w:after="0" w:line="240" w:lineRule="auto"/>
        <w:rPr>
          <w:rFonts w:eastAsia="Times New Roman" w:cs="Times New Roman"/>
          <w:b/>
          <w:color w:val="1F4E79" w:themeColor="accent1" w:themeShade="80"/>
          <w:spacing w:val="-2"/>
          <w:szCs w:val="20"/>
          <w:lang w:val="en-US" w:eastAsia="pt-BR"/>
        </w:rPr>
      </w:pPr>
      <w:r w:rsidRPr="0020490A">
        <w:rPr>
          <w:rFonts w:eastAsia="Times New Roman" w:cs="Times New Roman"/>
          <w:b/>
          <w:color w:val="1F4E79" w:themeColor="accent1" w:themeShade="80"/>
          <w:spacing w:val="-2"/>
          <w:szCs w:val="20"/>
          <w:lang w:val="en-US" w:eastAsia="pt-BR"/>
        </w:rPr>
        <w:t>Income Statement Information</w:t>
      </w:r>
    </w:p>
    <w:p w14:paraId="486E7B93" w14:textId="77777777" w:rsidR="006A362F" w:rsidRPr="0020490A" w:rsidRDefault="006A362F" w:rsidP="00076945">
      <w:pPr>
        <w:pStyle w:val="01-TtulodeNota"/>
        <w:spacing w:before="0" w:after="0"/>
        <w:jc w:val="right"/>
        <w:rPr>
          <w:sz w:val="14"/>
          <w:szCs w:val="14"/>
          <w:lang w:val="en-US"/>
        </w:rPr>
      </w:pPr>
      <w:r w:rsidRPr="0020490A">
        <w:rPr>
          <w:sz w:val="14"/>
          <w:szCs w:val="14"/>
          <w:lang w:val="en-US"/>
        </w:rPr>
        <w:t>R$ thousand</w:t>
      </w:r>
    </w:p>
    <w:tbl>
      <w:tblPr>
        <w:tblStyle w:val="TabeladeLista6Colorida-nfase5"/>
        <w:tblW w:w="9639" w:type="dxa"/>
        <w:jc w:val="center"/>
        <w:tblBorders>
          <w:top w:val="single" w:sz="2" w:space="0" w:color="8EAADB" w:themeColor="accent5" w:themeTint="99"/>
          <w:bottom w:val="single" w:sz="2" w:space="0" w:color="8EAADB" w:themeColor="accent5" w:themeTint="99"/>
        </w:tblBorders>
        <w:shd w:val="clear" w:color="auto" w:fill="FFFFFF" w:themeFill="background1"/>
        <w:tblLook w:val="04A0" w:firstRow="1" w:lastRow="0" w:firstColumn="1" w:lastColumn="0" w:noHBand="0" w:noVBand="1"/>
      </w:tblPr>
      <w:tblGrid>
        <w:gridCol w:w="4820"/>
        <w:gridCol w:w="2409"/>
        <w:gridCol w:w="2410"/>
      </w:tblGrid>
      <w:tr w:rsidR="006A362F" w:rsidRPr="006971BC" w14:paraId="7345E14E"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1879DBA" w14:textId="77777777" w:rsidR="006A362F" w:rsidRPr="0020490A" w:rsidRDefault="006A362F" w:rsidP="00662248">
            <w:pPr>
              <w:pStyle w:val="08-Tabelageral"/>
              <w:jc w:val="left"/>
              <w:rPr>
                <w:rFonts w:cs="Arial"/>
                <w:lang w:val="en-US"/>
              </w:rPr>
            </w:pPr>
          </w:p>
        </w:tc>
        <w:tc>
          <w:tcPr>
            <w:tcW w:w="240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ABAD4EA" w14:textId="77777777" w:rsidR="006A362F" w:rsidRPr="006971BC" w:rsidRDefault="006A362F" w:rsidP="00662248">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1</w:t>
            </w:r>
            <w:r w:rsidRPr="00662248">
              <w:rPr>
                <w:rFonts w:cs="Arial"/>
                <w:szCs w:val="14"/>
                <w:vertAlign w:val="superscript"/>
              </w:rPr>
              <w:t>st</w:t>
            </w:r>
            <w:r>
              <w:rPr>
                <w:rFonts w:cs="Arial"/>
                <w:szCs w:val="14"/>
              </w:rPr>
              <w:t xml:space="preserve"> Quarter 2023</w:t>
            </w:r>
          </w:p>
        </w:tc>
        <w:tc>
          <w:tcPr>
            <w:tcW w:w="2410"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4C8707DF" w14:textId="77777777" w:rsidR="006A362F" w:rsidRPr="006971BC" w:rsidRDefault="006A362F" w:rsidP="00662248">
            <w:pPr>
              <w:pStyle w:val="08-Tabelageral"/>
              <w:cnfStyle w:val="100000000000" w:firstRow="1" w:lastRow="0" w:firstColumn="0" w:lastColumn="0" w:oddVBand="0" w:evenVBand="0" w:oddHBand="0" w:evenHBand="0" w:firstRowFirstColumn="0" w:firstRowLastColumn="0" w:lastRowFirstColumn="0" w:lastRowLastColumn="0"/>
              <w:rPr>
                <w:rFonts w:cs="Arial"/>
              </w:rPr>
            </w:pPr>
            <w:r>
              <w:rPr>
                <w:rFonts w:cs="Arial"/>
                <w:szCs w:val="14"/>
              </w:rPr>
              <w:t>1</w:t>
            </w:r>
            <w:r w:rsidRPr="00662248">
              <w:rPr>
                <w:rFonts w:cs="Arial"/>
                <w:szCs w:val="14"/>
                <w:vertAlign w:val="superscript"/>
              </w:rPr>
              <w:t>st</w:t>
            </w:r>
            <w:r>
              <w:rPr>
                <w:rFonts w:cs="Arial"/>
                <w:szCs w:val="14"/>
              </w:rPr>
              <w:t xml:space="preserve"> Quarter 2022</w:t>
            </w:r>
          </w:p>
        </w:tc>
      </w:tr>
      <w:tr w:rsidR="006A362F" w:rsidRPr="006971BC" w14:paraId="21DE248B"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tcBorders>
            <w:shd w:val="clear" w:color="auto" w:fill="FFFFFF" w:themeFill="background1"/>
          </w:tcPr>
          <w:p w14:paraId="5AE171BC" w14:textId="77777777" w:rsidR="006A362F" w:rsidRPr="006971BC" w:rsidRDefault="006A362F" w:rsidP="006928A6">
            <w:pPr>
              <w:pStyle w:val="08-Tabelageral"/>
              <w:jc w:val="left"/>
              <w:rPr>
                <w:rFonts w:cs="Arial"/>
                <w:b w:val="0"/>
                <w:bCs w:val="0"/>
                <w:szCs w:val="14"/>
                <w:highlight w:val="yellow"/>
              </w:rPr>
            </w:pPr>
            <w:r>
              <w:rPr>
                <w:b w:val="0"/>
                <w:bCs w:val="0"/>
              </w:rPr>
              <w:t>C</w:t>
            </w:r>
            <w:r w:rsidRPr="00E038BB">
              <w:rPr>
                <w:b w:val="0"/>
                <w:bCs w:val="0"/>
              </w:rPr>
              <w:t>ommission income</w:t>
            </w:r>
          </w:p>
        </w:tc>
        <w:tc>
          <w:tcPr>
            <w:tcW w:w="2409" w:type="dxa"/>
            <w:tcBorders>
              <w:top w:val="nil"/>
              <w:left w:val="nil"/>
              <w:bottom w:val="nil"/>
              <w:right w:val="nil"/>
            </w:tcBorders>
            <w:shd w:val="clear" w:color="auto" w:fill="auto"/>
          </w:tcPr>
          <w:p w14:paraId="15D511A4"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10</w:t>
            </w:r>
            <w:r>
              <w:t>,</w:t>
            </w:r>
            <w:r w:rsidRPr="006971BC">
              <w:t xml:space="preserve">554 </w:t>
            </w:r>
          </w:p>
        </w:tc>
        <w:tc>
          <w:tcPr>
            <w:tcW w:w="2410" w:type="dxa"/>
            <w:tcBorders>
              <w:top w:val="single" w:sz="2" w:space="0" w:color="1F4E79" w:themeColor="accent1" w:themeShade="80"/>
            </w:tcBorders>
            <w:shd w:val="clear" w:color="auto" w:fill="FFFFFF" w:themeFill="background1"/>
          </w:tcPr>
          <w:p w14:paraId="2A1279FA"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7</w:t>
            </w:r>
            <w:r>
              <w:t>,</w:t>
            </w:r>
            <w:r w:rsidRPr="006971BC">
              <w:t xml:space="preserve">926 </w:t>
            </w:r>
          </w:p>
        </w:tc>
      </w:tr>
      <w:tr w:rsidR="006A362F" w:rsidRPr="006971BC" w14:paraId="24BE5394"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622CAF3A" w14:textId="77777777" w:rsidR="006A362F" w:rsidRPr="006971BC" w:rsidRDefault="006A362F" w:rsidP="006928A6">
            <w:pPr>
              <w:pStyle w:val="08-Tabelageral"/>
              <w:jc w:val="left"/>
              <w:rPr>
                <w:rFonts w:cs="Arial"/>
                <w:b w:val="0"/>
                <w:bCs w:val="0"/>
                <w:szCs w:val="14"/>
                <w:highlight w:val="yellow"/>
              </w:rPr>
            </w:pPr>
            <w:r>
              <w:rPr>
                <w:b w:val="0"/>
                <w:bCs w:val="0"/>
              </w:rPr>
              <w:t>C</w:t>
            </w:r>
            <w:r w:rsidRPr="00E038BB">
              <w:rPr>
                <w:b w:val="0"/>
                <w:bCs w:val="0"/>
              </w:rPr>
              <w:t>osts</w:t>
            </w:r>
          </w:p>
        </w:tc>
        <w:tc>
          <w:tcPr>
            <w:tcW w:w="2409" w:type="dxa"/>
            <w:tcBorders>
              <w:top w:val="nil"/>
              <w:left w:val="nil"/>
              <w:bottom w:val="nil"/>
              <w:right w:val="nil"/>
            </w:tcBorders>
            <w:shd w:val="clear" w:color="auto" w:fill="auto"/>
          </w:tcPr>
          <w:p w14:paraId="674B2FE4"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(3</w:t>
            </w:r>
            <w:r>
              <w:t>,</w:t>
            </w:r>
            <w:r w:rsidRPr="006971BC">
              <w:t>367)</w:t>
            </w:r>
          </w:p>
        </w:tc>
        <w:tc>
          <w:tcPr>
            <w:tcW w:w="2410" w:type="dxa"/>
            <w:shd w:val="clear" w:color="auto" w:fill="FFFFFF" w:themeFill="background1"/>
          </w:tcPr>
          <w:p w14:paraId="4A792647"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(3</w:t>
            </w:r>
            <w:r>
              <w:t>,</w:t>
            </w:r>
            <w:r w:rsidRPr="006971BC">
              <w:t>314)</w:t>
            </w:r>
          </w:p>
        </w:tc>
      </w:tr>
      <w:tr w:rsidR="006A362F" w:rsidRPr="00C04AB7" w14:paraId="63F7693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349909D1" w14:textId="77777777" w:rsidR="006A362F" w:rsidRPr="00C04AB7" w:rsidRDefault="006A362F" w:rsidP="006928A6">
            <w:pPr>
              <w:pStyle w:val="08-Tabelageral"/>
              <w:jc w:val="left"/>
              <w:rPr>
                <w:rFonts w:cs="Arial"/>
                <w:szCs w:val="14"/>
                <w:highlight w:val="yellow"/>
              </w:rPr>
            </w:pPr>
            <w:r>
              <w:t>Financial result</w:t>
            </w:r>
          </w:p>
        </w:tc>
        <w:tc>
          <w:tcPr>
            <w:tcW w:w="2409" w:type="dxa"/>
            <w:tcBorders>
              <w:top w:val="nil"/>
              <w:left w:val="nil"/>
              <w:bottom w:val="nil"/>
              <w:right w:val="nil"/>
            </w:tcBorders>
            <w:shd w:val="clear" w:color="auto" w:fill="auto"/>
          </w:tcPr>
          <w:p w14:paraId="6E1A617A" w14:textId="77777777" w:rsidR="006A362F" w:rsidRPr="00C04AB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(288)</w:t>
            </w:r>
          </w:p>
        </w:tc>
        <w:tc>
          <w:tcPr>
            <w:tcW w:w="2410" w:type="dxa"/>
            <w:shd w:val="clear" w:color="auto" w:fill="FFFFFF" w:themeFill="background1"/>
          </w:tcPr>
          <w:p w14:paraId="051A7B43" w14:textId="77777777" w:rsidR="006A362F" w:rsidRPr="00C04AB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(201)</w:t>
            </w:r>
          </w:p>
        </w:tc>
      </w:tr>
      <w:tr w:rsidR="006A362F" w:rsidRPr="006971BC" w14:paraId="2693DA9E"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258C65CF" w14:textId="77777777" w:rsidR="006A362F" w:rsidRPr="006971BC" w:rsidRDefault="006A362F" w:rsidP="006928A6">
            <w:pPr>
              <w:pStyle w:val="08-Tabelageral"/>
              <w:ind w:left="113"/>
              <w:jc w:val="left"/>
              <w:rPr>
                <w:rFonts w:cs="Arial"/>
                <w:b w:val="0"/>
                <w:bCs w:val="0"/>
                <w:szCs w:val="14"/>
                <w:highlight w:val="yellow"/>
              </w:rPr>
            </w:pPr>
            <w:r>
              <w:rPr>
                <w:b w:val="0"/>
                <w:bCs w:val="0"/>
              </w:rPr>
              <w:t>I</w:t>
            </w:r>
            <w:r w:rsidRPr="00E038BB">
              <w:rPr>
                <w:b w:val="0"/>
                <w:bCs w:val="0"/>
              </w:rPr>
              <w:t>nterest income</w:t>
            </w:r>
          </w:p>
        </w:tc>
        <w:tc>
          <w:tcPr>
            <w:tcW w:w="2409" w:type="dxa"/>
            <w:tcBorders>
              <w:top w:val="nil"/>
              <w:left w:val="nil"/>
              <w:bottom w:val="nil"/>
              <w:right w:val="nil"/>
            </w:tcBorders>
            <w:shd w:val="clear" w:color="auto" w:fill="auto"/>
          </w:tcPr>
          <w:p w14:paraId="162A6F39"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1 </w:t>
            </w:r>
          </w:p>
        </w:tc>
        <w:tc>
          <w:tcPr>
            <w:tcW w:w="2410" w:type="dxa"/>
            <w:shd w:val="clear" w:color="auto" w:fill="FFFFFF" w:themeFill="background1"/>
          </w:tcPr>
          <w:p w14:paraId="74F999F2"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4 </w:t>
            </w:r>
          </w:p>
        </w:tc>
      </w:tr>
      <w:tr w:rsidR="006A362F" w:rsidRPr="006971BC" w14:paraId="2600C5D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1136A310" w14:textId="77777777" w:rsidR="006A362F" w:rsidRPr="006971BC" w:rsidRDefault="006A362F" w:rsidP="006928A6">
            <w:pPr>
              <w:pStyle w:val="08-Tabelageral"/>
              <w:ind w:left="113"/>
              <w:jc w:val="left"/>
              <w:rPr>
                <w:rFonts w:cs="Arial"/>
                <w:b w:val="0"/>
                <w:bCs w:val="0"/>
                <w:szCs w:val="14"/>
                <w:highlight w:val="yellow"/>
              </w:rPr>
            </w:pPr>
            <w:r w:rsidRPr="00E038BB">
              <w:rPr>
                <w:b w:val="0"/>
                <w:bCs w:val="0"/>
              </w:rPr>
              <w:t>Other financial income</w:t>
            </w:r>
          </w:p>
        </w:tc>
        <w:tc>
          <w:tcPr>
            <w:tcW w:w="2409" w:type="dxa"/>
            <w:tcBorders>
              <w:top w:val="nil"/>
              <w:left w:val="nil"/>
              <w:bottom w:val="nil"/>
              <w:right w:val="nil"/>
            </w:tcBorders>
            <w:shd w:val="clear" w:color="auto" w:fill="auto"/>
          </w:tcPr>
          <w:p w14:paraId="781A511C"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19 </w:t>
            </w:r>
          </w:p>
        </w:tc>
        <w:tc>
          <w:tcPr>
            <w:tcW w:w="2410" w:type="dxa"/>
            <w:shd w:val="clear" w:color="auto" w:fill="FFFFFF" w:themeFill="background1"/>
          </w:tcPr>
          <w:p w14:paraId="24A69722"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47 </w:t>
            </w:r>
          </w:p>
        </w:tc>
      </w:tr>
      <w:tr w:rsidR="006A362F" w:rsidRPr="006971BC" w14:paraId="4698188A"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06B2EF26" w14:textId="77777777" w:rsidR="006A362F" w:rsidRPr="006971BC" w:rsidRDefault="006A362F" w:rsidP="006928A6">
            <w:pPr>
              <w:pStyle w:val="08-Tabelageral"/>
              <w:ind w:left="113"/>
              <w:jc w:val="left"/>
              <w:rPr>
                <w:rFonts w:cs="Arial"/>
                <w:b w:val="0"/>
                <w:bCs w:val="0"/>
                <w:szCs w:val="14"/>
                <w:highlight w:val="yellow"/>
              </w:rPr>
            </w:pPr>
            <w:r>
              <w:rPr>
                <w:b w:val="0"/>
                <w:bCs w:val="0"/>
              </w:rPr>
              <w:t>I</w:t>
            </w:r>
            <w:r w:rsidRPr="00E038BB">
              <w:rPr>
                <w:b w:val="0"/>
                <w:bCs w:val="0"/>
              </w:rPr>
              <w:t>nterest expense</w:t>
            </w:r>
          </w:p>
        </w:tc>
        <w:tc>
          <w:tcPr>
            <w:tcW w:w="2409" w:type="dxa"/>
            <w:tcBorders>
              <w:top w:val="nil"/>
              <w:left w:val="nil"/>
              <w:bottom w:val="nil"/>
              <w:right w:val="nil"/>
            </w:tcBorders>
            <w:shd w:val="clear" w:color="auto" w:fill="auto"/>
          </w:tcPr>
          <w:p w14:paraId="198D4C10"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(8)</w:t>
            </w:r>
          </w:p>
        </w:tc>
        <w:tc>
          <w:tcPr>
            <w:tcW w:w="2410" w:type="dxa"/>
            <w:shd w:val="clear" w:color="auto" w:fill="FFFFFF" w:themeFill="background1"/>
          </w:tcPr>
          <w:p w14:paraId="5CABD1AF"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t>--</w:t>
            </w:r>
          </w:p>
        </w:tc>
      </w:tr>
      <w:tr w:rsidR="006A362F" w:rsidRPr="006971BC" w14:paraId="7326300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53F24A89" w14:textId="77777777" w:rsidR="006A362F" w:rsidRPr="006971BC" w:rsidRDefault="006A362F" w:rsidP="006928A6">
            <w:pPr>
              <w:pStyle w:val="08-Tabelageral"/>
              <w:ind w:left="113"/>
              <w:jc w:val="left"/>
              <w:rPr>
                <w:rFonts w:cs="Arial"/>
                <w:b w:val="0"/>
                <w:bCs w:val="0"/>
                <w:szCs w:val="14"/>
                <w:highlight w:val="yellow"/>
              </w:rPr>
            </w:pPr>
            <w:r>
              <w:rPr>
                <w:b w:val="0"/>
                <w:bCs w:val="0"/>
              </w:rPr>
              <w:t>Other financial expenses</w:t>
            </w:r>
          </w:p>
        </w:tc>
        <w:tc>
          <w:tcPr>
            <w:tcW w:w="2409" w:type="dxa"/>
            <w:tcBorders>
              <w:top w:val="nil"/>
              <w:left w:val="nil"/>
              <w:bottom w:val="nil"/>
              <w:right w:val="nil"/>
            </w:tcBorders>
            <w:shd w:val="clear" w:color="auto" w:fill="auto"/>
          </w:tcPr>
          <w:p w14:paraId="112252E6"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w:t>
            </w:r>
            <w:r>
              <w:t>300</w:t>
            </w:r>
            <w:r w:rsidRPr="006971BC">
              <w:t>)</w:t>
            </w:r>
          </w:p>
        </w:tc>
        <w:tc>
          <w:tcPr>
            <w:tcW w:w="2410" w:type="dxa"/>
            <w:shd w:val="clear" w:color="auto" w:fill="FFFFFF" w:themeFill="background1"/>
          </w:tcPr>
          <w:p w14:paraId="6CD2EEF5"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(252)</w:t>
            </w:r>
          </w:p>
        </w:tc>
      </w:tr>
      <w:tr w:rsidR="006A362F" w:rsidRPr="00811575" w14:paraId="25423C16"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1B0E5717" w14:textId="77777777" w:rsidR="006A362F" w:rsidRPr="00811575" w:rsidRDefault="006A362F" w:rsidP="006928A6">
            <w:pPr>
              <w:pStyle w:val="08-Tabelageral"/>
              <w:jc w:val="left"/>
              <w:rPr>
                <w:rFonts w:cs="Arial"/>
                <w:szCs w:val="14"/>
                <w:highlight w:val="yellow"/>
              </w:rPr>
            </w:pPr>
            <w:r w:rsidRPr="00811575">
              <w:t>Resultado patrimonial</w:t>
            </w:r>
          </w:p>
        </w:tc>
        <w:tc>
          <w:tcPr>
            <w:tcW w:w="2409" w:type="dxa"/>
            <w:tcBorders>
              <w:top w:val="nil"/>
              <w:left w:val="nil"/>
              <w:bottom w:val="nil"/>
              <w:right w:val="nil"/>
            </w:tcBorders>
            <w:shd w:val="clear" w:color="auto" w:fill="auto"/>
          </w:tcPr>
          <w:p w14:paraId="102FC448" w14:textId="77777777" w:rsidR="006A362F" w:rsidRPr="0081157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(6</w:t>
            </w:r>
            <w:r>
              <w:rPr>
                <w:b/>
                <w:bCs/>
              </w:rPr>
              <w:t>,</w:t>
            </w:r>
            <w:r w:rsidRPr="00811575">
              <w:rPr>
                <w:b/>
                <w:bCs/>
              </w:rPr>
              <w:t>820)</w:t>
            </w:r>
          </w:p>
        </w:tc>
        <w:tc>
          <w:tcPr>
            <w:tcW w:w="2410" w:type="dxa"/>
            <w:shd w:val="clear" w:color="auto" w:fill="FFFFFF" w:themeFill="background1"/>
          </w:tcPr>
          <w:p w14:paraId="1389B71B" w14:textId="77777777" w:rsidR="006A362F" w:rsidRPr="0081157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(6</w:t>
            </w:r>
            <w:r>
              <w:rPr>
                <w:b/>
                <w:bCs/>
              </w:rPr>
              <w:t>,</w:t>
            </w:r>
            <w:r w:rsidRPr="00811575">
              <w:rPr>
                <w:b/>
                <w:bCs/>
              </w:rPr>
              <w:t>117)</w:t>
            </w:r>
          </w:p>
        </w:tc>
      </w:tr>
      <w:tr w:rsidR="006A362F" w:rsidRPr="006971BC" w14:paraId="1590540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7907D116" w14:textId="77777777" w:rsidR="006A362F" w:rsidRPr="006971BC" w:rsidRDefault="006A362F" w:rsidP="006928A6">
            <w:pPr>
              <w:pStyle w:val="08-Tabelageral"/>
              <w:ind w:left="113"/>
              <w:jc w:val="left"/>
              <w:rPr>
                <w:rFonts w:cs="Arial"/>
                <w:b w:val="0"/>
                <w:bCs w:val="0"/>
                <w:szCs w:val="14"/>
                <w:highlight w:val="yellow"/>
              </w:rPr>
            </w:pPr>
            <w:r>
              <w:rPr>
                <w:b w:val="0"/>
                <w:bCs w:val="0"/>
              </w:rPr>
              <w:t>Depreciation and amortization</w:t>
            </w:r>
          </w:p>
        </w:tc>
        <w:tc>
          <w:tcPr>
            <w:tcW w:w="2409" w:type="dxa"/>
            <w:shd w:val="clear" w:color="auto" w:fill="FFFFFF" w:themeFill="background1"/>
          </w:tcPr>
          <w:p w14:paraId="3BED2291"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(574)</w:t>
            </w:r>
          </w:p>
        </w:tc>
        <w:tc>
          <w:tcPr>
            <w:tcW w:w="2410" w:type="dxa"/>
            <w:shd w:val="clear" w:color="auto" w:fill="FFFFFF" w:themeFill="background1"/>
          </w:tcPr>
          <w:p w14:paraId="1353EBF8"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(289)</w:t>
            </w:r>
          </w:p>
        </w:tc>
      </w:tr>
      <w:tr w:rsidR="006A362F" w:rsidRPr="006971BC" w14:paraId="695BD263"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5CF4363B" w14:textId="77777777" w:rsidR="006A362F" w:rsidRPr="006971BC" w:rsidRDefault="006A362F" w:rsidP="006928A6">
            <w:pPr>
              <w:pStyle w:val="08-Tabelageral"/>
              <w:ind w:left="113"/>
              <w:jc w:val="left"/>
              <w:rPr>
                <w:rFonts w:cs="Arial"/>
                <w:b w:val="0"/>
                <w:bCs w:val="0"/>
                <w:szCs w:val="14"/>
                <w:highlight w:val="yellow"/>
              </w:rPr>
            </w:pPr>
            <w:r w:rsidRPr="00E038BB">
              <w:rPr>
                <w:b w:val="0"/>
                <w:bCs w:val="0"/>
              </w:rPr>
              <w:t>Other equity income/expenses</w:t>
            </w:r>
          </w:p>
        </w:tc>
        <w:tc>
          <w:tcPr>
            <w:tcW w:w="2409" w:type="dxa"/>
            <w:shd w:val="clear" w:color="auto" w:fill="FFFFFF" w:themeFill="background1"/>
          </w:tcPr>
          <w:p w14:paraId="1FD15D49"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(6</w:t>
            </w:r>
            <w:r>
              <w:t>,</w:t>
            </w:r>
            <w:r w:rsidRPr="006971BC">
              <w:t>246)</w:t>
            </w:r>
          </w:p>
        </w:tc>
        <w:tc>
          <w:tcPr>
            <w:tcW w:w="2410" w:type="dxa"/>
            <w:shd w:val="clear" w:color="auto" w:fill="FFFFFF" w:themeFill="background1"/>
          </w:tcPr>
          <w:p w14:paraId="3DF489EB"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(5</w:t>
            </w:r>
            <w:r>
              <w:t>,</w:t>
            </w:r>
            <w:r w:rsidRPr="006971BC">
              <w:t>828)</w:t>
            </w:r>
          </w:p>
        </w:tc>
      </w:tr>
      <w:tr w:rsidR="006A362F" w:rsidRPr="00C04AB7" w14:paraId="373319F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02A30DE4" w14:textId="77777777" w:rsidR="006A362F" w:rsidRPr="00C04AB7" w:rsidRDefault="006A362F" w:rsidP="006928A6">
            <w:pPr>
              <w:pStyle w:val="08-Tabelageral"/>
              <w:jc w:val="left"/>
              <w:rPr>
                <w:rFonts w:cs="Arial"/>
                <w:szCs w:val="14"/>
                <w:highlight w:val="yellow"/>
              </w:rPr>
            </w:pPr>
            <w:r>
              <w:t>Other income and expenses</w:t>
            </w:r>
          </w:p>
        </w:tc>
        <w:tc>
          <w:tcPr>
            <w:tcW w:w="2409" w:type="dxa"/>
            <w:shd w:val="clear" w:color="auto" w:fill="FFFFFF" w:themeFill="background1"/>
          </w:tcPr>
          <w:p w14:paraId="445882D9" w14:textId="77777777" w:rsidR="006A362F" w:rsidRPr="00C04AB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(29)</w:t>
            </w:r>
          </w:p>
        </w:tc>
        <w:tc>
          <w:tcPr>
            <w:tcW w:w="2410" w:type="dxa"/>
            <w:shd w:val="clear" w:color="auto" w:fill="FFFFFF" w:themeFill="background1"/>
          </w:tcPr>
          <w:p w14:paraId="12A0A052" w14:textId="77777777" w:rsidR="006A362F" w:rsidRPr="00C04AB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587 </w:t>
            </w:r>
          </w:p>
        </w:tc>
      </w:tr>
      <w:tr w:rsidR="006A362F" w:rsidRPr="006971BC" w14:paraId="48B08AFA"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3E781111" w14:textId="77777777" w:rsidR="006A362F" w:rsidRPr="006971BC" w:rsidRDefault="006A362F" w:rsidP="006928A6">
            <w:pPr>
              <w:pStyle w:val="08-Tabelageral"/>
              <w:ind w:left="113"/>
              <w:jc w:val="left"/>
              <w:rPr>
                <w:rFonts w:cs="Arial"/>
                <w:b w:val="0"/>
                <w:bCs w:val="0"/>
                <w:szCs w:val="14"/>
                <w:highlight w:val="yellow"/>
              </w:rPr>
            </w:pPr>
            <w:r>
              <w:rPr>
                <w:b w:val="0"/>
                <w:bCs w:val="0"/>
              </w:rPr>
              <w:t>Other income</w:t>
            </w:r>
          </w:p>
        </w:tc>
        <w:tc>
          <w:tcPr>
            <w:tcW w:w="2409" w:type="dxa"/>
            <w:shd w:val="clear" w:color="auto" w:fill="FFFFFF" w:themeFill="background1"/>
          </w:tcPr>
          <w:p w14:paraId="1F338814"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   </w:t>
            </w:r>
          </w:p>
        </w:tc>
        <w:tc>
          <w:tcPr>
            <w:tcW w:w="2410" w:type="dxa"/>
            <w:shd w:val="clear" w:color="auto" w:fill="FFFFFF" w:themeFill="background1"/>
          </w:tcPr>
          <w:p w14:paraId="16F82502" w14:textId="77777777" w:rsidR="006A362F" w:rsidRPr="006971BC"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highlight w:val="yellow"/>
              </w:rPr>
            </w:pPr>
            <w:r w:rsidRPr="006971BC">
              <w:t xml:space="preserve"> 587 </w:t>
            </w:r>
          </w:p>
        </w:tc>
      </w:tr>
      <w:tr w:rsidR="006A362F" w:rsidRPr="006971BC" w14:paraId="7E8E0D1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37D07D13" w14:textId="77777777" w:rsidR="006A362F" w:rsidRPr="006971BC" w:rsidRDefault="006A362F" w:rsidP="006928A6">
            <w:pPr>
              <w:pStyle w:val="08-Tabelageral"/>
              <w:ind w:left="113"/>
              <w:jc w:val="left"/>
              <w:rPr>
                <w:rFonts w:cs="Arial"/>
                <w:b w:val="0"/>
                <w:bCs w:val="0"/>
                <w:szCs w:val="14"/>
                <w:highlight w:val="yellow"/>
              </w:rPr>
            </w:pPr>
            <w:r>
              <w:rPr>
                <w:b w:val="0"/>
                <w:bCs w:val="0"/>
              </w:rPr>
              <w:t>Other expenses</w:t>
            </w:r>
          </w:p>
        </w:tc>
        <w:tc>
          <w:tcPr>
            <w:tcW w:w="2409" w:type="dxa"/>
            <w:shd w:val="clear" w:color="auto" w:fill="FFFFFF" w:themeFill="background1"/>
          </w:tcPr>
          <w:p w14:paraId="545B1D17"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(29)</w:t>
            </w:r>
          </w:p>
        </w:tc>
        <w:tc>
          <w:tcPr>
            <w:tcW w:w="2410" w:type="dxa"/>
            <w:shd w:val="clear" w:color="auto" w:fill="FFFFFF" w:themeFill="background1"/>
          </w:tcPr>
          <w:p w14:paraId="4677D75E" w14:textId="77777777" w:rsidR="006A362F" w:rsidRPr="006971BC"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highlight w:val="yellow"/>
              </w:rPr>
            </w:pPr>
            <w:r w:rsidRPr="006971BC">
              <w:t xml:space="preserve"> -   </w:t>
            </w:r>
          </w:p>
        </w:tc>
      </w:tr>
      <w:tr w:rsidR="006A362F" w:rsidRPr="00811575" w14:paraId="44FB745D"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2A98D9F6" w14:textId="77777777" w:rsidR="006A362F" w:rsidRPr="00811575" w:rsidRDefault="006A362F" w:rsidP="006928A6">
            <w:pPr>
              <w:pStyle w:val="08-Tabelageral"/>
              <w:jc w:val="left"/>
              <w:rPr>
                <w:rFonts w:cs="Arial"/>
                <w:szCs w:val="14"/>
                <w:highlight w:val="yellow"/>
              </w:rPr>
            </w:pPr>
            <w:r w:rsidRPr="00E038BB">
              <w:t>Operational result</w:t>
            </w:r>
          </w:p>
        </w:tc>
        <w:tc>
          <w:tcPr>
            <w:tcW w:w="2409" w:type="dxa"/>
            <w:shd w:val="clear" w:color="auto" w:fill="FFFFFF" w:themeFill="background1"/>
          </w:tcPr>
          <w:p w14:paraId="44EE8B9B" w14:textId="77777777" w:rsidR="006A362F" w:rsidRPr="0081157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50 </w:t>
            </w:r>
          </w:p>
        </w:tc>
        <w:tc>
          <w:tcPr>
            <w:tcW w:w="2410" w:type="dxa"/>
            <w:shd w:val="clear" w:color="auto" w:fill="FFFFFF" w:themeFill="background1"/>
          </w:tcPr>
          <w:p w14:paraId="0E6E9FF7" w14:textId="77777777" w:rsidR="006A362F" w:rsidRPr="0081157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811575">
              <w:rPr>
                <w:b/>
                <w:bCs/>
              </w:rPr>
              <w:t xml:space="preserve"> (1</w:t>
            </w:r>
            <w:r>
              <w:rPr>
                <w:b/>
                <w:bCs/>
              </w:rPr>
              <w:t>,</w:t>
            </w:r>
            <w:r w:rsidRPr="00811575">
              <w:rPr>
                <w:b/>
                <w:bCs/>
              </w:rPr>
              <w:t>119)</w:t>
            </w:r>
          </w:p>
        </w:tc>
      </w:tr>
      <w:tr w:rsidR="006A362F" w:rsidRPr="00C04AB7" w14:paraId="73EFA80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7DABDF02" w14:textId="77777777" w:rsidR="006A362F" w:rsidRPr="00C04AB7" w:rsidRDefault="006A362F" w:rsidP="006928A6">
            <w:pPr>
              <w:pStyle w:val="08-Tabelageral"/>
              <w:jc w:val="left"/>
              <w:rPr>
                <w:rFonts w:cs="Arial"/>
                <w:szCs w:val="14"/>
                <w:highlight w:val="yellow"/>
              </w:rPr>
            </w:pPr>
            <w:r w:rsidRPr="00E038BB">
              <w:t>Income before taxes</w:t>
            </w:r>
          </w:p>
        </w:tc>
        <w:tc>
          <w:tcPr>
            <w:tcW w:w="2409" w:type="dxa"/>
            <w:tcBorders>
              <w:top w:val="nil"/>
              <w:left w:val="nil"/>
              <w:bottom w:val="nil"/>
              <w:right w:val="nil"/>
            </w:tcBorders>
            <w:shd w:val="clear" w:color="auto" w:fill="auto"/>
          </w:tcPr>
          <w:p w14:paraId="45975E04" w14:textId="77777777" w:rsidR="006A362F" w:rsidRPr="00C04AB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50 </w:t>
            </w:r>
          </w:p>
        </w:tc>
        <w:tc>
          <w:tcPr>
            <w:tcW w:w="2410" w:type="dxa"/>
            <w:shd w:val="clear" w:color="auto" w:fill="FFFFFF" w:themeFill="background1"/>
          </w:tcPr>
          <w:p w14:paraId="5AFE96E5" w14:textId="77777777" w:rsidR="006A362F" w:rsidRPr="00C04AB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C04AB7">
              <w:rPr>
                <w:b/>
                <w:bCs/>
              </w:rPr>
              <w:t xml:space="preserve"> (1</w:t>
            </w:r>
            <w:r>
              <w:rPr>
                <w:b/>
                <w:bCs/>
              </w:rPr>
              <w:t>,</w:t>
            </w:r>
            <w:r w:rsidRPr="00C04AB7">
              <w:rPr>
                <w:b/>
                <w:bCs/>
              </w:rPr>
              <w:t>119)</w:t>
            </w:r>
          </w:p>
        </w:tc>
      </w:tr>
      <w:tr w:rsidR="006A362F" w:rsidRPr="00C04AB7" w14:paraId="311B0053"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shd w:val="clear" w:color="auto" w:fill="FFFFFF" w:themeFill="background1"/>
          </w:tcPr>
          <w:p w14:paraId="4C0F0B42" w14:textId="77777777" w:rsidR="006A362F" w:rsidRPr="00C04AB7" w:rsidRDefault="006A362F" w:rsidP="006928A6">
            <w:pPr>
              <w:pStyle w:val="08-Tabelageral"/>
              <w:jc w:val="left"/>
              <w:rPr>
                <w:rFonts w:cs="Arial"/>
                <w:szCs w:val="14"/>
                <w:highlight w:val="yellow"/>
              </w:rPr>
            </w:pPr>
            <w:r>
              <w:t>Net income</w:t>
            </w:r>
          </w:p>
        </w:tc>
        <w:tc>
          <w:tcPr>
            <w:tcW w:w="2409" w:type="dxa"/>
            <w:tcBorders>
              <w:top w:val="nil"/>
              <w:left w:val="nil"/>
              <w:bottom w:val="nil"/>
              <w:right w:val="nil"/>
            </w:tcBorders>
            <w:shd w:val="clear" w:color="auto" w:fill="auto"/>
          </w:tcPr>
          <w:p w14:paraId="782FCBA6" w14:textId="77777777" w:rsidR="006A362F" w:rsidRPr="00C04AB7"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C04AB7">
              <w:rPr>
                <w:b/>
                <w:bCs/>
              </w:rPr>
              <w:t xml:space="preserve"> 50 </w:t>
            </w:r>
          </w:p>
        </w:tc>
        <w:tc>
          <w:tcPr>
            <w:tcW w:w="2410" w:type="dxa"/>
            <w:shd w:val="clear" w:color="auto" w:fill="FFFFFF" w:themeFill="background1"/>
          </w:tcPr>
          <w:p w14:paraId="5CA495FD" w14:textId="77777777" w:rsidR="006A362F" w:rsidRPr="00C04AB7"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highlight w:val="yellow"/>
              </w:rPr>
            </w:pPr>
            <w:r w:rsidRPr="00C04AB7">
              <w:rPr>
                <w:b/>
                <w:bCs/>
              </w:rPr>
              <w:t xml:space="preserve"> (1</w:t>
            </w:r>
            <w:r>
              <w:rPr>
                <w:b/>
                <w:bCs/>
              </w:rPr>
              <w:t>,</w:t>
            </w:r>
            <w:r w:rsidRPr="00C04AB7">
              <w:rPr>
                <w:b/>
                <w:bCs/>
              </w:rPr>
              <w:t>119)</w:t>
            </w:r>
          </w:p>
        </w:tc>
      </w:tr>
      <w:tr w:rsidR="006A362F" w:rsidRPr="00811575" w14:paraId="088AC71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shd w:val="clear" w:color="auto" w:fill="FFFFFF" w:themeFill="background1"/>
          </w:tcPr>
          <w:p w14:paraId="73E83BD4" w14:textId="77777777" w:rsidR="006A362F" w:rsidRPr="00811575" w:rsidRDefault="006A362F" w:rsidP="006928A6">
            <w:pPr>
              <w:pStyle w:val="08-Tabelageral"/>
              <w:jc w:val="left"/>
              <w:rPr>
                <w:rFonts w:cs="Arial"/>
                <w:szCs w:val="14"/>
                <w:highlight w:val="yellow"/>
              </w:rPr>
            </w:pPr>
            <w:r>
              <w:t>C</w:t>
            </w:r>
            <w:r w:rsidRPr="00E038BB">
              <w:t>omprehensive income</w:t>
            </w:r>
          </w:p>
        </w:tc>
        <w:tc>
          <w:tcPr>
            <w:tcW w:w="2409" w:type="dxa"/>
            <w:tcBorders>
              <w:bottom w:val="nil"/>
            </w:tcBorders>
            <w:shd w:val="clear" w:color="auto" w:fill="FFFFFF" w:themeFill="background1"/>
          </w:tcPr>
          <w:p w14:paraId="2F4C1F64" w14:textId="77777777" w:rsidR="006A362F" w:rsidRPr="0081157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811575">
              <w:rPr>
                <w:b/>
                <w:bCs/>
              </w:rPr>
              <w:t xml:space="preserve"> 50 </w:t>
            </w:r>
          </w:p>
        </w:tc>
        <w:tc>
          <w:tcPr>
            <w:tcW w:w="2410" w:type="dxa"/>
            <w:tcBorders>
              <w:bottom w:val="nil"/>
            </w:tcBorders>
            <w:shd w:val="clear" w:color="auto" w:fill="FFFFFF" w:themeFill="background1"/>
          </w:tcPr>
          <w:p w14:paraId="165CFE0C" w14:textId="77777777" w:rsidR="006A362F" w:rsidRPr="0081157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highlight w:val="yellow"/>
              </w:rPr>
            </w:pPr>
            <w:r w:rsidRPr="00811575">
              <w:rPr>
                <w:b/>
                <w:bCs/>
              </w:rPr>
              <w:t xml:space="preserve"> (1</w:t>
            </w:r>
            <w:r>
              <w:rPr>
                <w:b/>
                <w:bCs/>
              </w:rPr>
              <w:t>,</w:t>
            </w:r>
            <w:r w:rsidRPr="00811575">
              <w:rPr>
                <w:b/>
                <w:bCs/>
              </w:rPr>
              <w:t>119)</w:t>
            </w:r>
          </w:p>
        </w:tc>
      </w:tr>
      <w:tr w:rsidR="006A362F" w:rsidRPr="00811575" w14:paraId="15A739AF"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FFFFFF" w:themeFill="background1"/>
            <w:vAlign w:val="center"/>
          </w:tcPr>
          <w:p w14:paraId="4F055237" w14:textId="77777777" w:rsidR="006A362F" w:rsidRPr="00811575" w:rsidRDefault="006A362F" w:rsidP="006928A6">
            <w:pPr>
              <w:pStyle w:val="08-Tabelageral"/>
              <w:jc w:val="left"/>
              <w:rPr>
                <w:rFonts w:cs="Arial"/>
                <w:szCs w:val="14"/>
              </w:rPr>
            </w:pPr>
            <w:r>
              <w:rPr>
                <w:rFonts w:cs="Arial"/>
                <w:color w:val="000000"/>
                <w:szCs w:val="14"/>
              </w:rPr>
              <w:t>Attributable to BB Seguridade</w:t>
            </w:r>
          </w:p>
        </w:tc>
        <w:tc>
          <w:tcPr>
            <w:tcW w:w="2409" w:type="dxa"/>
            <w:tcBorders>
              <w:top w:val="nil"/>
              <w:bottom w:val="nil"/>
            </w:tcBorders>
            <w:shd w:val="clear" w:color="auto" w:fill="FFFFFF" w:themeFill="background1"/>
          </w:tcPr>
          <w:p w14:paraId="1A2FE80B" w14:textId="77777777" w:rsidR="006A362F" w:rsidRPr="0081157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811575">
              <w:rPr>
                <w:rFonts w:cs="Arial"/>
                <w:b/>
                <w:bCs/>
              </w:rPr>
              <w:t>38</w:t>
            </w:r>
          </w:p>
        </w:tc>
        <w:tc>
          <w:tcPr>
            <w:tcW w:w="2410" w:type="dxa"/>
            <w:tcBorders>
              <w:top w:val="nil"/>
              <w:bottom w:val="nil"/>
            </w:tcBorders>
            <w:shd w:val="clear" w:color="auto" w:fill="FFFFFF" w:themeFill="background1"/>
          </w:tcPr>
          <w:p w14:paraId="3AE59C3A" w14:textId="77777777" w:rsidR="006A362F" w:rsidRPr="0081157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811575">
              <w:rPr>
                <w:rFonts w:cs="Arial"/>
                <w:b/>
                <w:bCs/>
              </w:rPr>
              <w:t>(839)</w:t>
            </w:r>
          </w:p>
        </w:tc>
      </w:tr>
      <w:tr w:rsidR="006A362F" w:rsidRPr="00811575" w14:paraId="33CF029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4E79" w:themeColor="accent1" w:themeShade="80"/>
            </w:tcBorders>
            <w:shd w:val="clear" w:color="auto" w:fill="FFFFFF" w:themeFill="background1"/>
            <w:vAlign w:val="center"/>
          </w:tcPr>
          <w:p w14:paraId="4B5CB588" w14:textId="77777777" w:rsidR="006A362F" w:rsidRPr="00811575" w:rsidRDefault="006A362F" w:rsidP="006928A6">
            <w:pPr>
              <w:pStyle w:val="08-Tabelageral"/>
              <w:jc w:val="left"/>
              <w:rPr>
                <w:rFonts w:cs="Arial"/>
                <w:szCs w:val="14"/>
              </w:rPr>
            </w:pPr>
            <w:r>
              <w:rPr>
                <w:rFonts w:cs="Arial"/>
                <w:color w:val="000000"/>
                <w:szCs w:val="14"/>
              </w:rPr>
              <w:t>Equity income</w:t>
            </w:r>
          </w:p>
        </w:tc>
        <w:tc>
          <w:tcPr>
            <w:tcW w:w="2409" w:type="dxa"/>
            <w:tcBorders>
              <w:top w:val="nil"/>
              <w:bottom w:val="single" w:sz="2" w:space="0" w:color="1F4E79" w:themeColor="accent1" w:themeShade="80"/>
            </w:tcBorders>
            <w:shd w:val="clear" w:color="auto" w:fill="FFFFFF" w:themeFill="background1"/>
          </w:tcPr>
          <w:p w14:paraId="3EACFCC5" w14:textId="77777777" w:rsidR="006A362F" w:rsidRPr="0081157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11575">
              <w:rPr>
                <w:rFonts w:cs="Arial"/>
                <w:b/>
                <w:bCs/>
                <w:szCs w:val="14"/>
              </w:rPr>
              <w:t>38</w:t>
            </w:r>
          </w:p>
        </w:tc>
        <w:tc>
          <w:tcPr>
            <w:tcW w:w="2410" w:type="dxa"/>
            <w:tcBorders>
              <w:top w:val="nil"/>
              <w:bottom w:val="single" w:sz="2" w:space="0" w:color="1F4E79" w:themeColor="accent1" w:themeShade="80"/>
            </w:tcBorders>
            <w:shd w:val="clear" w:color="auto" w:fill="FFFFFF" w:themeFill="background1"/>
          </w:tcPr>
          <w:p w14:paraId="0D69EDA8" w14:textId="77777777" w:rsidR="006A362F" w:rsidRPr="0081157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11575">
              <w:rPr>
                <w:rFonts w:cs="Arial"/>
                <w:b/>
                <w:bCs/>
              </w:rPr>
              <w:t>(839)</w:t>
            </w:r>
          </w:p>
        </w:tc>
      </w:tr>
    </w:tbl>
    <w:p w14:paraId="27A29240"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22D17AB7" w14:textId="77777777" w:rsidR="006A362F"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Balance Sheet Information</w:t>
      </w:r>
    </w:p>
    <w:p w14:paraId="595D93AC" w14:textId="77777777" w:rsidR="006A362F" w:rsidRPr="00C91A1E" w:rsidRDefault="006A362F" w:rsidP="00076945">
      <w:pPr>
        <w:pStyle w:val="01-TtulodeNota"/>
        <w:spacing w:before="0" w:after="0"/>
        <w:jc w:val="right"/>
        <w:rPr>
          <w:sz w:val="14"/>
          <w:szCs w:val="14"/>
        </w:rPr>
      </w:pPr>
      <w:r w:rsidRPr="00C91A1E">
        <w:rPr>
          <w:sz w:val="14"/>
          <w:szCs w:val="14"/>
        </w:rPr>
        <w:t xml:space="preserve">R$ </w:t>
      </w:r>
      <w:r>
        <w:rPr>
          <w:sz w:val="14"/>
          <w:szCs w:val="14"/>
        </w:rPr>
        <w:t>thousand</w:t>
      </w:r>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6A362F" w:rsidRPr="00805B55" w14:paraId="06555EA4" w14:textId="77777777" w:rsidTr="006928A6">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single" w:sz="2" w:space="0" w:color="1F4E79" w:themeColor="accent1" w:themeShade="80"/>
            </w:tcBorders>
            <w:shd w:val="clear" w:color="auto" w:fill="auto"/>
            <w:vAlign w:val="center"/>
          </w:tcPr>
          <w:p w14:paraId="75F71B7A" w14:textId="77777777" w:rsidR="006A362F" w:rsidRPr="00D318F3" w:rsidRDefault="006A362F" w:rsidP="006928A6">
            <w:pPr>
              <w:pStyle w:val="08-Tabelageral"/>
              <w:jc w:val="left"/>
              <w:rPr>
                <w:rFonts w:cs="Arial"/>
                <w:b w:val="0"/>
                <w:bCs w:val="0"/>
                <w:highlight w:val="yellow"/>
              </w:rPr>
            </w:pPr>
          </w:p>
        </w:tc>
        <w:tc>
          <w:tcPr>
            <w:tcW w:w="2409" w:type="dxa"/>
            <w:tcBorders>
              <w:top w:val="single" w:sz="2" w:space="0" w:color="1F4E79" w:themeColor="accent1" w:themeShade="80"/>
              <w:bottom w:val="single" w:sz="2" w:space="0" w:color="1F4E79" w:themeColor="accent1" w:themeShade="80"/>
            </w:tcBorders>
            <w:shd w:val="clear" w:color="auto" w:fill="auto"/>
            <w:vAlign w:val="center"/>
          </w:tcPr>
          <w:p w14:paraId="23E60A0A" w14:textId="77777777" w:rsidR="006A362F" w:rsidRPr="00D318F3" w:rsidRDefault="006A362F" w:rsidP="006928A6">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Mar 31, 2023</w:t>
            </w:r>
          </w:p>
        </w:tc>
        <w:tc>
          <w:tcPr>
            <w:tcW w:w="2410" w:type="dxa"/>
            <w:tcBorders>
              <w:top w:val="single" w:sz="2" w:space="0" w:color="1F4E79" w:themeColor="accent1" w:themeShade="80"/>
              <w:bottom w:val="single" w:sz="2" w:space="0" w:color="1F4E79" w:themeColor="accent1" w:themeShade="80"/>
            </w:tcBorders>
            <w:shd w:val="clear" w:color="auto" w:fill="auto"/>
            <w:vAlign w:val="center"/>
          </w:tcPr>
          <w:p w14:paraId="4B1BD8B4" w14:textId="77777777" w:rsidR="006A362F" w:rsidRPr="00D318F3" w:rsidRDefault="006A362F" w:rsidP="006928A6">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Dez 31, 2022</w:t>
            </w:r>
          </w:p>
        </w:tc>
      </w:tr>
      <w:tr w:rsidR="006A362F" w:rsidRPr="00D318F3" w14:paraId="5ED55B6F" w14:textId="77777777" w:rsidTr="006928A6">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4E79" w:themeColor="accent1" w:themeShade="80"/>
              <w:bottom w:val="nil"/>
            </w:tcBorders>
            <w:shd w:val="clear" w:color="auto" w:fill="auto"/>
          </w:tcPr>
          <w:p w14:paraId="141C669D" w14:textId="77777777" w:rsidR="006A362F" w:rsidRPr="00D318F3" w:rsidRDefault="006A362F" w:rsidP="006928A6">
            <w:pPr>
              <w:pStyle w:val="08-Tabelageral"/>
              <w:jc w:val="left"/>
              <w:rPr>
                <w:rFonts w:cs="Arial"/>
                <w:szCs w:val="14"/>
                <w:highlight w:val="yellow"/>
              </w:rPr>
            </w:pPr>
            <w:r>
              <w:t>Current Assets</w:t>
            </w:r>
            <w:r w:rsidRPr="00D318F3">
              <w:t xml:space="preserve"> </w:t>
            </w:r>
          </w:p>
        </w:tc>
        <w:tc>
          <w:tcPr>
            <w:tcW w:w="2409" w:type="dxa"/>
            <w:tcBorders>
              <w:top w:val="single" w:sz="2" w:space="0" w:color="1F4E79" w:themeColor="accent1" w:themeShade="80"/>
              <w:left w:val="nil"/>
              <w:bottom w:val="nil"/>
              <w:right w:val="nil"/>
            </w:tcBorders>
            <w:shd w:val="clear" w:color="auto" w:fill="auto"/>
          </w:tcPr>
          <w:p w14:paraId="20994EE2"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11</w:t>
            </w:r>
            <w:r>
              <w:rPr>
                <w:b/>
                <w:bCs/>
              </w:rPr>
              <w:t>,</w:t>
            </w:r>
            <w:r w:rsidRPr="00D318F3">
              <w:rPr>
                <w:b/>
                <w:bCs/>
              </w:rPr>
              <w:t xml:space="preserve">533 </w:t>
            </w:r>
          </w:p>
        </w:tc>
        <w:tc>
          <w:tcPr>
            <w:tcW w:w="2410" w:type="dxa"/>
            <w:tcBorders>
              <w:top w:val="single" w:sz="2" w:space="0" w:color="1F4E79" w:themeColor="accent1" w:themeShade="80"/>
              <w:left w:val="nil"/>
              <w:bottom w:val="nil"/>
              <w:right w:val="nil"/>
            </w:tcBorders>
            <w:shd w:val="clear" w:color="auto" w:fill="auto"/>
          </w:tcPr>
          <w:p w14:paraId="3473F045" w14:textId="77777777" w:rsidR="006A362F" w:rsidRPr="00D318F3" w:rsidRDefault="006A362F" w:rsidP="006928A6">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highlight w:val="yellow"/>
              </w:rPr>
            </w:pPr>
            <w:r w:rsidRPr="00D318F3">
              <w:rPr>
                <w:b/>
                <w:bCs/>
              </w:rPr>
              <w:t xml:space="preserve"> 12</w:t>
            </w:r>
            <w:r>
              <w:rPr>
                <w:b/>
                <w:bCs/>
              </w:rPr>
              <w:t>,</w:t>
            </w:r>
            <w:r w:rsidRPr="00D318F3">
              <w:rPr>
                <w:b/>
                <w:bCs/>
              </w:rPr>
              <w:t xml:space="preserve">898 </w:t>
            </w:r>
          </w:p>
        </w:tc>
      </w:tr>
      <w:tr w:rsidR="006A362F" w:rsidRPr="00CD78B9" w14:paraId="53A85A2B"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3A219F65" w14:textId="77777777" w:rsidR="006A362F" w:rsidRPr="00D318F3" w:rsidRDefault="006A362F" w:rsidP="006928A6">
            <w:pPr>
              <w:pStyle w:val="08-Tabelageral"/>
              <w:ind w:left="113"/>
              <w:jc w:val="left"/>
              <w:rPr>
                <w:rFonts w:cs="Arial"/>
                <w:b w:val="0"/>
                <w:bCs w:val="0"/>
                <w:szCs w:val="14"/>
                <w:highlight w:val="yellow"/>
              </w:rPr>
            </w:pPr>
            <w:r>
              <w:rPr>
                <w:b w:val="0"/>
                <w:bCs w:val="0"/>
              </w:rPr>
              <w:t>Cash and cash equivalents</w:t>
            </w:r>
          </w:p>
        </w:tc>
        <w:tc>
          <w:tcPr>
            <w:tcW w:w="2409" w:type="dxa"/>
            <w:tcBorders>
              <w:top w:val="nil"/>
              <w:left w:val="nil"/>
              <w:bottom w:val="nil"/>
              <w:right w:val="nil"/>
            </w:tcBorders>
            <w:shd w:val="clear" w:color="auto" w:fill="auto"/>
          </w:tcPr>
          <w:p w14:paraId="36ECB903"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324 </w:t>
            </w:r>
          </w:p>
        </w:tc>
        <w:tc>
          <w:tcPr>
            <w:tcW w:w="2410" w:type="dxa"/>
            <w:tcBorders>
              <w:top w:val="nil"/>
              <w:left w:val="nil"/>
              <w:bottom w:val="nil"/>
              <w:right w:val="nil"/>
            </w:tcBorders>
            <w:shd w:val="clear" w:color="auto" w:fill="auto"/>
          </w:tcPr>
          <w:p w14:paraId="32828155"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w:t>
            </w:r>
            <w:r>
              <w:t>,</w:t>
            </w:r>
            <w:r w:rsidRPr="007D0406">
              <w:t xml:space="preserve">487 </w:t>
            </w:r>
          </w:p>
        </w:tc>
      </w:tr>
      <w:tr w:rsidR="006A362F" w:rsidRPr="001D6BE8" w14:paraId="722AEF2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C97F79D" w14:textId="77777777" w:rsidR="006A362F" w:rsidRPr="00D318F3" w:rsidRDefault="006A362F" w:rsidP="006928A6">
            <w:pPr>
              <w:pStyle w:val="08-Tabelageral"/>
              <w:ind w:left="113"/>
              <w:jc w:val="left"/>
              <w:rPr>
                <w:rFonts w:cs="Arial"/>
                <w:b w:val="0"/>
                <w:bCs w:val="0"/>
                <w:szCs w:val="14"/>
                <w:highlight w:val="yellow"/>
              </w:rPr>
            </w:pPr>
            <w:r>
              <w:rPr>
                <w:b w:val="0"/>
                <w:bCs w:val="0"/>
              </w:rPr>
              <w:t>Financial instruments</w:t>
            </w:r>
          </w:p>
        </w:tc>
        <w:tc>
          <w:tcPr>
            <w:tcW w:w="2409" w:type="dxa"/>
            <w:tcBorders>
              <w:top w:val="nil"/>
              <w:left w:val="nil"/>
              <w:bottom w:val="nil"/>
              <w:right w:val="nil"/>
            </w:tcBorders>
            <w:shd w:val="clear" w:color="auto" w:fill="auto"/>
          </w:tcPr>
          <w:p w14:paraId="6D0333A0" w14:textId="77777777" w:rsidR="006A362F" w:rsidRPr="0095285B"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7D0406">
              <w:t xml:space="preserve"> </w:t>
            </w:r>
            <w:r>
              <w:t>--</w:t>
            </w:r>
            <w:r w:rsidRPr="007D0406">
              <w:t xml:space="preserve"> </w:t>
            </w:r>
          </w:p>
        </w:tc>
        <w:tc>
          <w:tcPr>
            <w:tcW w:w="2410" w:type="dxa"/>
            <w:tcBorders>
              <w:top w:val="nil"/>
              <w:left w:val="nil"/>
              <w:bottom w:val="nil"/>
              <w:right w:val="nil"/>
            </w:tcBorders>
            <w:shd w:val="clear" w:color="auto" w:fill="auto"/>
          </w:tcPr>
          <w:p w14:paraId="2EE0690D" w14:textId="77777777" w:rsidR="006A362F" w:rsidRPr="0095285B"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7D0406">
              <w:t xml:space="preserve"> 1 </w:t>
            </w:r>
          </w:p>
        </w:tc>
      </w:tr>
      <w:tr w:rsidR="006A362F" w:rsidRPr="001D6BE8" w14:paraId="1F093D2F"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7425F71F" w14:textId="77777777" w:rsidR="006A362F" w:rsidRPr="00D318F3" w:rsidRDefault="006A362F" w:rsidP="006928A6">
            <w:pPr>
              <w:pStyle w:val="08-Tabelageral"/>
              <w:ind w:left="113"/>
              <w:jc w:val="left"/>
              <w:rPr>
                <w:rFonts w:cs="Arial"/>
                <w:b w:val="0"/>
                <w:bCs w:val="0"/>
                <w:szCs w:val="14"/>
                <w:highlight w:val="yellow"/>
              </w:rPr>
            </w:pPr>
            <w:r>
              <w:rPr>
                <w:b w:val="0"/>
                <w:bCs w:val="0"/>
              </w:rPr>
              <w:t>Other assets</w:t>
            </w:r>
          </w:p>
        </w:tc>
        <w:tc>
          <w:tcPr>
            <w:tcW w:w="2409" w:type="dxa"/>
            <w:tcBorders>
              <w:top w:val="nil"/>
              <w:left w:val="nil"/>
              <w:bottom w:val="nil"/>
              <w:right w:val="nil"/>
            </w:tcBorders>
            <w:shd w:val="clear" w:color="auto" w:fill="auto"/>
          </w:tcPr>
          <w:p w14:paraId="6F864A95"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11</w:t>
            </w:r>
            <w:r>
              <w:t>,</w:t>
            </w:r>
            <w:r w:rsidRPr="007D0406">
              <w:t xml:space="preserve">209 </w:t>
            </w:r>
          </w:p>
        </w:tc>
        <w:tc>
          <w:tcPr>
            <w:tcW w:w="2410" w:type="dxa"/>
            <w:tcBorders>
              <w:top w:val="nil"/>
              <w:left w:val="nil"/>
              <w:bottom w:val="nil"/>
              <w:right w:val="nil"/>
            </w:tcBorders>
            <w:shd w:val="clear" w:color="auto" w:fill="auto"/>
          </w:tcPr>
          <w:p w14:paraId="0DE82CBE"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11</w:t>
            </w:r>
            <w:r>
              <w:t>,</w:t>
            </w:r>
            <w:r w:rsidRPr="007D0406">
              <w:t>41</w:t>
            </w:r>
            <w:r>
              <w:t>0</w:t>
            </w:r>
            <w:r w:rsidRPr="007D0406">
              <w:t xml:space="preserve"> </w:t>
            </w:r>
          </w:p>
        </w:tc>
      </w:tr>
      <w:tr w:rsidR="006A362F" w:rsidRPr="00D318F3" w14:paraId="1B82110B"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07CE47A" w14:textId="77777777" w:rsidR="006A362F" w:rsidRPr="00D318F3" w:rsidRDefault="006A362F" w:rsidP="006928A6">
            <w:pPr>
              <w:pStyle w:val="08-Tabelageral"/>
              <w:jc w:val="left"/>
              <w:rPr>
                <w:rFonts w:cs="Arial"/>
                <w:szCs w:val="14"/>
                <w:highlight w:val="yellow"/>
              </w:rPr>
            </w:pPr>
            <w:r>
              <w:t>Non-Current Assets</w:t>
            </w:r>
            <w:r w:rsidRPr="00D318F3">
              <w:t xml:space="preserve"> </w:t>
            </w:r>
          </w:p>
        </w:tc>
        <w:tc>
          <w:tcPr>
            <w:tcW w:w="2409" w:type="dxa"/>
            <w:tcBorders>
              <w:top w:val="nil"/>
              <w:left w:val="nil"/>
              <w:bottom w:val="nil"/>
              <w:right w:val="nil"/>
            </w:tcBorders>
            <w:shd w:val="clear" w:color="auto" w:fill="auto"/>
          </w:tcPr>
          <w:p w14:paraId="12560333"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318F3">
              <w:rPr>
                <w:b/>
                <w:bCs/>
              </w:rPr>
              <w:t xml:space="preserve"> 8</w:t>
            </w:r>
            <w:r>
              <w:rPr>
                <w:b/>
                <w:bCs/>
              </w:rPr>
              <w:t>,</w:t>
            </w:r>
            <w:r w:rsidRPr="00D318F3">
              <w:rPr>
                <w:b/>
                <w:bCs/>
              </w:rPr>
              <w:t xml:space="preserve">532 </w:t>
            </w:r>
          </w:p>
        </w:tc>
        <w:tc>
          <w:tcPr>
            <w:tcW w:w="2410" w:type="dxa"/>
            <w:tcBorders>
              <w:top w:val="nil"/>
              <w:bottom w:val="nil"/>
            </w:tcBorders>
            <w:shd w:val="clear" w:color="auto" w:fill="auto"/>
          </w:tcPr>
          <w:p w14:paraId="08C57E11"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7</w:t>
            </w:r>
            <w:r>
              <w:rPr>
                <w:b/>
                <w:bCs/>
              </w:rPr>
              <w:t>,</w:t>
            </w:r>
            <w:r w:rsidRPr="00D318F3">
              <w:rPr>
                <w:b/>
                <w:bCs/>
              </w:rPr>
              <w:t xml:space="preserve">677 </w:t>
            </w:r>
          </w:p>
        </w:tc>
      </w:tr>
      <w:tr w:rsidR="006A362F" w:rsidRPr="009A4C3D" w14:paraId="05A0FD21"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67D495AE" w14:textId="77777777" w:rsidR="006A362F" w:rsidRPr="00D318F3" w:rsidRDefault="006A362F" w:rsidP="006928A6">
            <w:pPr>
              <w:pStyle w:val="08-Tabelageral"/>
              <w:ind w:left="113"/>
              <w:jc w:val="left"/>
              <w:rPr>
                <w:rFonts w:cs="Arial"/>
                <w:b w:val="0"/>
                <w:bCs w:val="0"/>
                <w:szCs w:val="14"/>
                <w:highlight w:val="yellow"/>
              </w:rPr>
            </w:pPr>
            <w:r>
              <w:rPr>
                <w:b w:val="0"/>
                <w:bCs w:val="0"/>
              </w:rPr>
              <w:t>Other assets</w:t>
            </w:r>
            <w:r w:rsidRPr="00D318F3">
              <w:rPr>
                <w:b w:val="0"/>
                <w:bCs w:val="0"/>
              </w:rPr>
              <w:t xml:space="preserve"> </w:t>
            </w:r>
          </w:p>
        </w:tc>
        <w:tc>
          <w:tcPr>
            <w:tcW w:w="2409" w:type="dxa"/>
            <w:tcBorders>
              <w:top w:val="nil"/>
              <w:left w:val="nil"/>
              <w:bottom w:val="nil"/>
              <w:right w:val="nil"/>
            </w:tcBorders>
            <w:shd w:val="clear" w:color="auto" w:fill="auto"/>
          </w:tcPr>
          <w:p w14:paraId="617F2760"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7D0406">
              <w:t xml:space="preserve"> 8</w:t>
            </w:r>
            <w:r>
              <w:t>,</w:t>
            </w:r>
            <w:r w:rsidRPr="007D0406">
              <w:t xml:space="preserve">532 </w:t>
            </w:r>
          </w:p>
        </w:tc>
        <w:tc>
          <w:tcPr>
            <w:tcW w:w="2410" w:type="dxa"/>
            <w:tcBorders>
              <w:top w:val="nil"/>
              <w:left w:val="nil"/>
              <w:bottom w:val="nil"/>
              <w:right w:val="nil"/>
            </w:tcBorders>
            <w:shd w:val="clear" w:color="auto" w:fill="auto"/>
          </w:tcPr>
          <w:p w14:paraId="66166EAE"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7</w:t>
            </w:r>
            <w:r>
              <w:t>,</w:t>
            </w:r>
            <w:r w:rsidRPr="007D0406">
              <w:t xml:space="preserve">677 </w:t>
            </w:r>
          </w:p>
        </w:tc>
      </w:tr>
      <w:tr w:rsidR="006A362F" w:rsidRPr="00D318F3" w14:paraId="16CCABB9"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C1B8E65" w14:textId="77777777" w:rsidR="006A362F" w:rsidRPr="00D318F3" w:rsidRDefault="006A362F" w:rsidP="006928A6">
            <w:pPr>
              <w:pStyle w:val="08-Tabelageral"/>
              <w:jc w:val="left"/>
              <w:rPr>
                <w:rFonts w:cs="Arial"/>
                <w:szCs w:val="14"/>
                <w:highlight w:val="yellow"/>
              </w:rPr>
            </w:pPr>
            <w:r>
              <w:t>Current Liabilities</w:t>
            </w:r>
          </w:p>
        </w:tc>
        <w:tc>
          <w:tcPr>
            <w:tcW w:w="2409" w:type="dxa"/>
            <w:tcBorders>
              <w:top w:val="nil"/>
              <w:bottom w:val="nil"/>
            </w:tcBorders>
            <w:shd w:val="clear" w:color="auto" w:fill="auto"/>
          </w:tcPr>
          <w:p w14:paraId="18325D09"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318F3">
              <w:rPr>
                <w:b/>
                <w:bCs/>
              </w:rPr>
              <w:t xml:space="preserve"> 18</w:t>
            </w:r>
            <w:r>
              <w:rPr>
                <w:b/>
                <w:bCs/>
              </w:rPr>
              <w:t>,</w:t>
            </w:r>
            <w:r w:rsidRPr="00D318F3">
              <w:rPr>
                <w:b/>
                <w:bCs/>
              </w:rPr>
              <w:t xml:space="preserve">009 </w:t>
            </w:r>
          </w:p>
        </w:tc>
        <w:tc>
          <w:tcPr>
            <w:tcW w:w="2410" w:type="dxa"/>
            <w:tcBorders>
              <w:top w:val="nil"/>
              <w:bottom w:val="nil"/>
            </w:tcBorders>
            <w:shd w:val="clear" w:color="auto" w:fill="auto"/>
          </w:tcPr>
          <w:p w14:paraId="5F27D96A"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18</w:t>
            </w:r>
            <w:r>
              <w:rPr>
                <w:b/>
                <w:bCs/>
              </w:rPr>
              <w:t>,</w:t>
            </w:r>
            <w:r w:rsidRPr="00D318F3">
              <w:rPr>
                <w:b/>
                <w:bCs/>
              </w:rPr>
              <w:t xml:space="preserve">567 </w:t>
            </w:r>
          </w:p>
        </w:tc>
      </w:tr>
      <w:tr w:rsidR="006A362F" w:rsidRPr="001D6BE8" w14:paraId="5899E93E"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44E4A77B" w14:textId="77777777" w:rsidR="006A362F" w:rsidRPr="00D318F3" w:rsidRDefault="006A362F" w:rsidP="006928A6">
            <w:pPr>
              <w:pStyle w:val="08-Tabelageral"/>
              <w:ind w:left="113"/>
              <w:jc w:val="left"/>
              <w:rPr>
                <w:rFonts w:cs="Arial"/>
                <w:b w:val="0"/>
                <w:bCs w:val="0"/>
                <w:szCs w:val="14"/>
                <w:highlight w:val="yellow"/>
              </w:rPr>
            </w:pPr>
            <w:r>
              <w:rPr>
                <w:b w:val="0"/>
                <w:bCs w:val="0"/>
              </w:rPr>
              <w:t>Financial liabilities</w:t>
            </w:r>
          </w:p>
        </w:tc>
        <w:tc>
          <w:tcPr>
            <w:tcW w:w="2409" w:type="dxa"/>
            <w:tcBorders>
              <w:top w:val="nil"/>
              <w:bottom w:val="nil"/>
            </w:tcBorders>
            <w:shd w:val="clear" w:color="auto" w:fill="auto"/>
          </w:tcPr>
          <w:p w14:paraId="12F9FA45"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szCs w:val="14"/>
                <w:highlight w:val="yellow"/>
              </w:rPr>
            </w:pPr>
            <w:r w:rsidRPr="007D0406">
              <w:t xml:space="preserve"> 1</w:t>
            </w:r>
            <w:r>
              <w:t>,</w:t>
            </w:r>
            <w:r w:rsidRPr="007D0406">
              <w:t xml:space="preserve">307 </w:t>
            </w:r>
          </w:p>
        </w:tc>
        <w:tc>
          <w:tcPr>
            <w:tcW w:w="2410" w:type="dxa"/>
            <w:tcBorders>
              <w:top w:val="nil"/>
              <w:bottom w:val="nil"/>
            </w:tcBorders>
            <w:shd w:val="clear" w:color="auto" w:fill="auto"/>
          </w:tcPr>
          <w:p w14:paraId="1B02E1B7"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7D0406">
              <w:t xml:space="preserve"> 1</w:t>
            </w:r>
            <w:r>
              <w:t>,</w:t>
            </w:r>
            <w:r w:rsidRPr="007D0406">
              <w:t xml:space="preserve">683 </w:t>
            </w:r>
          </w:p>
        </w:tc>
      </w:tr>
      <w:tr w:rsidR="006A362F" w:rsidRPr="001D6BE8" w14:paraId="2E023E3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2395DF78" w14:textId="77777777" w:rsidR="006A362F" w:rsidRPr="00D318F3" w:rsidRDefault="006A362F" w:rsidP="006928A6">
            <w:pPr>
              <w:pStyle w:val="08-Tabelageral"/>
              <w:ind w:left="113"/>
              <w:jc w:val="left"/>
              <w:rPr>
                <w:rFonts w:cs="Arial"/>
                <w:b w:val="0"/>
                <w:bCs w:val="0"/>
                <w:color w:val="FF0000"/>
                <w:szCs w:val="14"/>
                <w:highlight w:val="yellow"/>
              </w:rPr>
            </w:pPr>
            <w:r>
              <w:rPr>
                <w:b w:val="0"/>
                <w:bCs w:val="0"/>
              </w:rPr>
              <w:t>Technical provisions</w:t>
            </w:r>
          </w:p>
        </w:tc>
        <w:tc>
          <w:tcPr>
            <w:tcW w:w="2409" w:type="dxa"/>
            <w:tcBorders>
              <w:top w:val="nil"/>
              <w:bottom w:val="nil"/>
            </w:tcBorders>
            <w:shd w:val="clear" w:color="auto" w:fill="auto"/>
          </w:tcPr>
          <w:p w14:paraId="47AAC04E" w14:textId="77777777" w:rsidR="006A362F" w:rsidRPr="0095285B"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7D0406">
              <w:t xml:space="preserve"> 2</w:t>
            </w:r>
            <w:r>
              <w:t>,</w:t>
            </w:r>
            <w:r w:rsidRPr="007D0406">
              <w:t xml:space="preserve">938 </w:t>
            </w:r>
          </w:p>
        </w:tc>
        <w:tc>
          <w:tcPr>
            <w:tcW w:w="2410" w:type="dxa"/>
            <w:tcBorders>
              <w:top w:val="nil"/>
              <w:bottom w:val="nil"/>
            </w:tcBorders>
            <w:shd w:val="clear" w:color="auto" w:fill="auto"/>
          </w:tcPr>
          <w:p w14:paraId="7CA055A3" w14:textId="77777777" w:rsidR="006A362F" w:rsidRPr="0095285B"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7D0406">
              <w:t xml:space="preserve"> 3</w:t>
            </w:r>
            <w:r>
              <w:t>,</w:t>
            </w:r>
            <w:r w:rsidRPr="007D0406">
              <w:t xml:space="preserve">017 </w:t>
            </w:r>
          </w:p>
        </w:tc>
      </w:tr>
      <w:tr w:rsidR="006A362F" w:rsidRPr="001D6BE8" w14:paraId="1439F98E"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271A4C8E" w14:textId="77777777" w:rsidR="006A362F" w:rsidRPr="00D318F3" w:rsidRDefault="006A362F" w:rsidP="006928A6">
            <w:pPr>
              <w:pStyle w:val="08-Tabelageral"/>
              <w:ind w:left="113"/>
              <w:jc w:val="left"/>
              <w:rPr>
                <w:b w:val="0"/>
                <w:bCs w:val="0"/>
                <w:highlight w:val="yellow"/>
              </w:rPr>
            </w:pPr>
            <w:r>
              <w:rPr>
                <w:b w:val="0"/>
                <w:bCs w:val="0"/>
              </w:rPr>
              <w:t>Other liabilities</w:t>
            </w:r>
          </w:p>
        </w:tc>
        <w:tc>
          <w:tcPr>
            <w:tcW w:w="2409" w:type="dxa"/>
            <w:tcBorders>
              <w:top w:val="nil"/>
              <w:left w:val="nil"/>
              <w:bottom w:val="nil"/>
              <w:right w:val="nil"/>
            </w:tcBorders>
            <w:shd w:val="clear" w:color="auto" w:fill="auto"/>
          </w:tcPr>
          <w:p w14:paraId="36F7A560"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szCs w:val="14"/>
                <w:highlight w:val="yellow"/>
              </w:rPr>
            </w:pPr>
            <w:r w:rsidRPr="007D0406">
              <w:t xml:space="preserve"> 13</w:t>
            </w:r>
            <w:r>
              <w:t>,</w:t>
            </w:r>
            <w:r w:rsidRPr="007D0406">
              <w:t xml:space="preserve">764 </w:t>
            </w:r>
          </w:p>
        </w:tc>
        <w:tc>
          <w:tcPr>
            <w:tcW w:w="2410" w:type="dxa"/>
            <w:tcBorders>
              <w:top w:val="nil"/>
              <w:left w:val="nil"/>
              <w:bottom w:val="nil"/>
              <w:right w:val="nil"/>
            </w:tcBorders>
            <w:shd w:val="clear" w:color="auto" w:fill="auto"/>
          </w:tcPr>
          <w:p w14:paraId="559019C8" w14:textId="77777777" w:rsidR="006A362F" w:rsidRPr="0095285B"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7D0406">
              <w:t xml:space="preserve"> 13</w:t>
            </w:r>
            <w:r>
              <w:t>,</w:t>
            </w:r>
            <w:r w:rsidRPr="007D0406">
              <w:t>86</w:t>
            </w:r>
            <w:r>
              <w:t>7</w:t>
            </w:r>
            <w:r w:rsidRPr="007D0406">
              <w:t xml:space="preserve"> </w:t>
            </w:r>
          </w:p>
        </w:tc>
      </w:tr>
      <w:tr w:rsidR="006A362F" w:rsidRPr="00D318F3" w14:paraId="4489266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0F2785A5" w14:textId="77777777" w:rsidR="006A362F" w:rsidRPr="00D318F3" w:rsidRDefault="006A362F" w:rsidP="006928A6">
            <w:pPr>
              <w:pStyle w:val="08-Tabelageral"/>
              <w:jc w:val="left"/>
              <w:rPr>
                <w:highlight w:val="yellow"/>
              </w:rPr>
            </w:pPr>
            <w:r>
              <w:t>Equity</w:t>
            </w:r>
          </w:p>
        </w:tc>
        <w:tc>
          <w:tcPr>
            <w:tcW w:w="2409" w:type="dxa"/>
            <w:tcBorders>
              <w:top w:val="nil"/>
              <w:bottom w:val="nil"/>
            </w:tcBorders>
            <w:shd w:val="clear" w:color="auto" w:fill="auto"/>
          </w:tcPr>
          <w:p w14:paraId="7A3EC23C"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D318F3">
              <w:rPr>
                <w:b/>
                <w:bCs/>
              </w:rPr>
              <w:t xml:space="preserve"> 2</w:t>
            </w:r>
            <w:r>
              <w:rPr>
                <w:b/>
                <w:bCs/>
              </w:rPr>
              <w:t>,</w:t>
            </w:r>
            <w:r w:rsidRPr="00D318F3">
              <w:rPr>
                <w:b/>
                <w:bCs/>
              </w:rPr>
              <w:t xml:space="preserve">056 </w:t>
            </w:r>
          </w:p>
        </w:tc>
        <w:tc>
          <w:tcPr>
            <w:tcW w:w="2410" w:type="dxa"/>
            <w:tcBorders>
              <w:top w:val="nil"/>
              <w:bottom w:val="nil"/>
            </w:tcBorders>
            <w:shd w:val="clear" w:color="auto" w:fill="auto"/>
          </w:tcPr>
          <w:p w14:paraId="54AE79F2" w14:textId="77777777" w:rsidR="006A362F" w:rsidRPr="00D318F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318F3">
              <w:rPr>
                <w:b/>
                <w:bCs/>
              </w:rPr>
              <w:t xml:space="preserve"> 2</w:t>
            </w:r>
            <w:r>
              <w:rPr>
                <w:b/>
                <w:bCs/>
              </w:rPr>
              <w:t>,</w:t>
            </w:r>
            <w:r w:rsidRPr="00D318F3">
              <w:rPr>
                <w:b/>
                <w:bCs/>
              </w:rPr>
              <w:t xml:space="preserve">008 </w:t>
            </w:r>
          </w:p>
        </w:tc>
      </w:tr>
      <w:tr w:rsidR="006A362F" w:rsidRPr="00D318F3" w14:paraId="5404B017"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5C9265E6" w14:textId="77777777" w:rsidR="006A362F" w:rsidRPr="00D318F3" w:rsidRDefault="006A362F" w:rsidP="006928A6">
            <w:pPr>
              <w:pStyle w:val="08-Tabelageral"/>
              <w:jc w:val="left"/>
              <w:rPr>
                <w:highlight w:val="yellow"/>
              </w:rPr>
            </w:pPr>
            <w:r>
              <w:t>Attributable to BB Seguridade</w:t>
            </w:r>
          </w:p>
        </w:tc>
        <w:tc>
          <w:tcPr>
            <w:tcW w:w="2409" w:type="dxa"/>
            <w:tcBorders>
              <w:top w:val="nil"/>
              <w:bottom w:val="nil"/>
            </w:tcBorders>
            <w:shd w:val="clear" w:color="auto" w:fill="auto"/>
          </w:tcPr>
          <w:p w14:paraId="775C22C2" w14:textId="77777777" w:rsidR="006A362F" w:rsidRPr="00D318F3"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highlight w:val="yellow"/>
              </w:rPr>
            </w:pPr>
            <w:r w:rsidRPr="00D318F3">
              <w:rPr>
                <w:b/>
                <w:bCs/>
              </w:rPr>
              <w:t xml:space="preserve"> 1</w:t>
            </w:r>
            <w:r>
              <w:rPr>
                <w:b/>
                <w:bCs/>
              </w:rPr>
              <w:t>,</w:t>
            </w:r>
            <w:r w:rsidRPr="00D318F3">
              <w:rPr>
                <w:b/>
                <w:bCs/>
              </w:rPr>
              <w:t xml:space="preserve">542 </w:t>
            </w:r>
          </w:p>
        </w:tc>
        <w:tc>
          <w:tcPr>
            <w:tcW w:w="2410" w:type="dxa"/>
            <w:tcBorders>
              <w:top w:val="nil"/>
              <w:bottom w:val="nil"/>
            </w:tcBorders>
            <w:shd w:val="clear" w:color="auto" w:fill="auto"/>
          </w:tcPr>
          <w:p w14:paraId="24AE767F" w14:textId="77777777" w:rsidR="006A362F" w:rsidRPr="00D318F3"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D318F3">
              <w:rPr>
                <w:b/>
                <w:bCs/>
              </w:rPr>
              <w:t xml:space="preserve"> 1</w:t>
            </w:r>
            <w:r>
              <w:rPr>
                <w:b/>
                <w:bCs/>
              </w:rPr>
              <w:t>,</w:t>
            </w:r>
            <w:r w:rsidRPr="00D318F3">
              <w:rPr>
                <w:b/>
                <w:bCs/>
              </w:rPr>
              <w:t xml:space="preserve">506 </w:t>
            </w:r>
          </w:p>
        </w:tc>
      </w:tr>
      <w:tr w:rsidR="006A362F" w:rsidRPr="00B84F26" w14:paraId="1080459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tcPr>
          <w:p w14:paraId="52E446E9" w14:textId="77777777" w:rsidR="006A362F" w:rsidRPr="00B84F26" w:rsidRDefault="006A362F" w:rsidP="006928A6">
            <w:pPr>
              <w:pStyle w:val="08-Tabelageral"/>
              <w:ind w:left="113"/>
              <w:jc w:val="left"/>
              <w:rPr>
                <w:b w:val="0"/>
                <w:bCs w:val="0"/>
              </w:rPr>
            </w:pPr>
            <w:r w:rsidRPr="00E038BB">
              <w:rPr>
                <w:b w:val="0"/>
                <w:bCs w:val="0"/>
              </w:rPr>
              <w:t>Adjustments from previous periods</w:t>
            </w:r>
          </w:p>
        </w:tc>
        <w:tc>
          <w:tcPr>
            <w:tcW w:w="2409" w:type="dxa"/>
            <w:tcBorders>
              <w:top w:val="nil"/>
              <w:bottom w:val="nil"/>
            </w:tcBorders>
            <w:shd w:val="clear" w:color="auto" w:fill="auto"/>
          </w:tcPr>
          <w:p w14:paraId="1A812958" w14:textId="77777777" w:rsidR="006A362F" w:rsidRPr="00B84F26"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sidRPr="00B84F26">
              <w:t>55</w:t>
            </w:r>
          </w:p>
        </w:tc>
        <w:tc>
          <w:tcPr>
            <w:tcW w:w="2410" w:type="dxa"/>
            <w:tcBorders>
              <w:top w:val="nil"/>
              <w:bottom w:val="nil"/>
            </w:tcBorders>
            <w:shd w:val="clear" w:color="auto" w:fill="auto"/>
          </w:tcPr>
          <w:p w14:paraId="681BE07F" w14:textId="77777777" w:rsidR="006A362F" w:rsidRPr="00B84F26"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sidRPr="00B84F26">
              <w:t>--</w:t>
            </w:r>
          </w:p>
        </w:tc>
      </w:tr>
      <w:tr w:rsidR="006A362F" w:rsidRPr="00D318F3" w14:paraId="1DFE2383"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4E79" w:themeColor="accent1" w:themeShade="80"/>
            </w:tcBorders>
            <w:shd w:val="clear" w:color="auto" w:fill="auto"/>
          </w:tcPr>
          <w:p w14:paraId="23F9DF49" w14:textId="77777777" w:rsidR="006A362F" w:rsidRPr="00D318F3" w:rsidRDefault="006A362F" w:rsidP="006928A6">
            <w:pPr>
              <w:pStyle w:val="08-Tabelageral"/>
              <w:jc w:val="left"/>
              <w:rPr>
                <w:highlight w:val="yellow"/>
              </w:rPr>
            </w:pPr>
            <w:r>
              <w:t>Investment balance</w:t>
            </w:r>
          </w:p>
        </w:tc>
        <w:tc>
          <w:tcPr>
            <w:tcW w:w="2409" w:type="dxa"/>
            <w:tcBorders>
              <w:top w:val="nil"/>
              <w:left w:val="nil"/>
              <w:bottom w:val="single" w:sz="2" w:space="0" w:color="1F4E79" w:themeColor="accent1" w:themeShade="80"/>
              <w:right w:val="nil"/>
            </w:tcBorders>
            <w:shd w:val="clear" w:color="auto" w:fill="auto"/>
          </w:tcPr>
          <w:p w14:paraId="43F7C6EA" w14:textId="77777777" w:rsidR="006A362F" w:rsidRPr="00D318F3"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B84F26">
              <w:rPr>
                <w:b/>
                <w:bCs/>
              </w:rPr>
              <w:t>1</w:t>
            </w:r>
            <w:r>
              <w:rPr>
                <w:b/>
                <w:bCs/>
              </w:rPr>
              <w:t>,</w:t>
            </w:r>
            <w:r w:rsidRPr="00B84F26">
              <w:rPr>
                <w:b/>
                <w:bCs/>
              </w:rPr>
              <w:t>597</w:t>
            </w:r>
          </w:p>
        </w:tc>
        <w:tc>
          <w:tcPr>
            <w:tcW w:w="2410" w:type="dxa"/>
            <w:tcBorders>
              <w:top w:val="nil"/>
              <w:bottom w:val="single" w:sz="2" w:space="0" w:color="1F4E79" w:themeColor="accent1" w:themeShade="80"/>
            </w:tcBorders>
            <w:shd w:val="clear" w:color="auto" w:fill="auto"/>
          </w:tcPr>
          <w:p w14:paraId="1396DF38" w14:textId="77777777" w:rsidR="006A362F" w:rsidRPr="00D318F3"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highlight w:val="yellow"/>
              </w:rPr>
            </w:pPr>
            <w:r w:rsidRPr="00D318F3">
              <w:rPr>
                <w:b/>
                <w:bCs/>
              </w:rPr>
              <w:t>1</w:t>
            </w:r>
            <w:r>
              <w:rPr>
                <w:b/>
                <w:bCs/>
              </w:rPr>
              <w:t>,</w:t>
            </w:r>
            <w:r w:rsidRPr="00D318F3">
              <w:rPr>
                <w:b/>
                <w:bCs/>
              </w:rPr>
              <w:t>506</w:t>
            </w:r>
          </w:p>
        </w:tc>
      </w:tr>
    </w:tbl>
    <w:p w14:paraId="39A52CF6" w14:textId="77777777" w:rsidR="006A362F" w:rsidRDefault="006A362F" w:rsidP="00076945">
      <w:pPr>
        <w:keepNext/>
        <w:keepLines/>
        <w:spacing w:after="0" w:line="240" w:lineRule="auto"/>
        <w:rPr>
          <w:rFonts w:eastAsia="Times New Roman" w:cs="Arial"/>
          <w:spacing w:val="-2"/>
          <w:szCs w:val="20"/>
          <w:lang w:eastAsia="zh-CN"/>
        </w:rPr>
      </w:pPr>
    </w:p>
    <w:p w14:paraId="10BAA114" w14:textId="77777777" w:rsidR="006A362F" w:rsidRPr="00C83A83" w:rsidRDefault="006A362F" w:rsidP="00076945">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c</w:t>
      </w:r>
      <w:r w:rsidRPr="006F152E">
        <w:rPr>
          <w:rFonts w:eastAsia="Times New Roman" w:cs="Times New Roman"/>
          <w:b/>
          <w:color w:val="1F4E79" w:themeColor="accent1" w:themeShade="80"/>
          <w:spacing w:val="-2"/>
          <w:szCs w:val="20"/>
          <w:lang w:eastAsia="pt-BR"/>
        </w:rPr>
        <w:t>.</w:t>
      </w:r>
      <w:r>
        <w:rPr>
          <w:rFonts w:eastAsia="Times New Roman" w:cs="Times New Roman"/>
          <w:b/>
          <w:color w:val="1F4E79" w:themeColor="accent1" w:themeShade="80"/>
          <w:spacing w:val="-2"/>
          <w:szCs w:val="20"/>
          <w:lang w:eastAsia="pt-BR"/>
        </w:rPr>
        <w:t>6</w:t>
      </w:r>
      <w:r w:rsidRPr="006F152E">
        <w:rPr>
          <w:rFonts w:eastAsia="Times New Roman" w:cs="Times New Roman"/>
          <w:b/>
          <w:color w:val="1F4E79" w:themeColor="accent1" w:themeShade="80"/>
          <w:spacing w:val="-2"/>
          <w:szCs w:val="20"/>
          <w:lang w:eastAsia="pt-BR"/>
        </w:rPr>
        <w:t xml:space="preserve">) </w:t>
      </w:r>
      <w:r>
        <w:rPr>
          <w:rFonts w:eastAsia="Times New Roman" w:cs="Times New Roman"/>
          <w:b/>
          <w:color w:val="1F4E79" w:themeColor="accent1" w:themeShade="80"/>
          <w:spacing w:val="-2"/>
          <w:szCs w:val="20"/>
          <w:lang w:eastAsia="pt-BR"/>
        </w:rPr>
        <w:t>BB Corretora</w:t>
      </w:r>
    </w:p>
    <w:p w14:paraId="62C22939"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4DB448F2"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t>Income Statement Information</w:t>
      </w:r>
    </w:p>
    <w:p w14:paraId="1BEF58AC" w14:textId="77777777" w:rsidR="006A362F" w:rsidRPr="00C91A1E" w:rsidRDefault="006A362F" w:rsidP="00076945">
      <w:pPr>
        <w:pStyle w:val="01-TtulodeNota"/>
        <w:spacing w:before="0" w:after="0"/>
        <w:jc w:val="right"/>
        <w:rPr>
          <w:sz w:val="14"/>
          <w:szCs w:val="14"/>
        </w:rPr>
      </w:pPr>
      <w:r w:rsidRPr="00C91A1E">
        <w:rPr>
          <w:sz w:val="14"/>
          <w:szCs w:val="14"/>
        </w:rPr>
        <w:t xml:space="preserve">R$ </w:t>
      </w:r>
      <w:r>
        <w:rPr>
          <w:sz w:val="14"/>
          <w:szCs w:val="14"/>
        </w:rPr>
        <w:t>thousand</w:t>
      </w:r>
    </w:p>
    <w:tbl>
      <w:tblPr>
        <w:tblStyle w:val="TabeladeLista6Colorida-nfase5"/>
        <w:tblW w:w="9639" w:type="dxa"/>
        <w:jc w:val="center"/>
        <w:tblBorders>
          <w:top w:val="single" w:sz="2" w:space="0" w:color="8EAADB" w:themeColor="accent5" w:themeTint="99"/>
          <w:bottom w:val="single" w:sz="2" w:space="0" w:color="8EAADB" w:themeColor="accent5" w:themeTint="99"/>
        </w:tblBorders>
        <w:shd w:val="clear" w:color="auto" w:fill="FFFFFF" w:themeFill="background1"/>
        <w:tblLook w:val="04A0" w:firstRow="1" w:lastRow="0" w:firstColumn="1" w:lastColumn="0" w:noHBand="0" w:noVBand="1"/>
      </w:tblPr>
      <w:tblGrid>
        <w:gridCol w:w="6096"/>
        <w:gridCol w:w="1771"/>
        <w:gridCol w:w="1772"/>
      </w:tblGrid>
      <w:tr w:rsidR="006A362F" w:rsidRPr="00201B3F" w14:paraId="2B45F5D5" w14:textId="77777777" w:rsidTr="006928A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482989B6" w14:textId="77777777" w:rsidR="006A362F" w:rsidRPr="00201B3F" w:rsidRDefault="006A362F" w:rsidP="00662248">
            <w:pPr>
              <w:pStyle w:val="08-Tabelageral"/>
              <w:jc w:val="left"/>
              <w:rPr>
                <w:rFonts w:cs="Arial"/>
              </w:rPr>
            </w:pPr>
          </w:p>
        </w:tc>
        <w:tc>
          <w:tcPr>
            <w:tcW w:w="177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C94F30A" w14:textId="77777777" w:rsidR="006A362F" w:rsidRPr="00921638" w:rsidRDefault="006A362F" w:rsidP="00662248">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szCs w:val="14"/>
              </w:rPr>
              <w:t>1</w:t>
            </w:r>
            <w:r w:rsidRPr="00662248">
              <w:rPr>
                <w:rFonts w:cs="Arial"/>
                <w:szCs w:val="14"/>
                <w:vertAlign w:val="superscript"/>
              </w:rPr>
              <w:t>st</w:t>
            </w:r>
            <w:r>
              <w:rPr>
                <w:rFonts w:cs="Arial"/>
                <w:szCs w:val="14"/>
              </w:rPr>
              <w:t xml:space="preserve"> Quarter 2023</w:t>
            </w:r>
          </w:p>
        </w:tc>
        <w:tc>
          <w:tcPr>
            <w:tcW w:w="1772"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93CC45C" w14:textId="77777777" w:rsidR="006A362F" w:rsidRPr="00921638" w:rsidRDefault="006A362F" w:rsidP="00662248">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Pr>
                <w:rFonts w:cs="Arial"/>
                <w:szCs w:val="14"/>
              </w:rPr>
              <w:t>1</w:t>
            </w:r>
            <w:r w:rsidRPr="00662248">
              <w:rPr>
                <w:rFonts w:cs="Arial"/>
                <w:szCs w:val="14"/>
                <w:vertAlign w:val="superscript"/>
              </w:rPr>
              <w:t>st</w:t>
            </w:r>
            <w:r>
              <w:rPr>
                <w:rFonts w:cs="Arial"/>
                <w:szCs w:val="14"/>
              </w:rPr>
              <w:t xml:space="preserve"> Quarter 2022</w:t>
            </w:r>
          </w:p>
        </w:tc>
      </w:tr>
      <w:tr w:rsidR="006A362F" w:rsidRPr="00C256A0" w14:paraId="7378902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single" w:sz="2" w:space="0" w:color="1F4E79" w:themeColor="accent1" w:themeShade="80"/>
            </w:tcBorders>
            <w:shd w:val="clear" w:color="auto" w:fill="FFFFFF" w:themeFill="background1"/>
            <w:vAlign w:val="center"/>
          </w:tcPr>
          <w:p w14:paraId="35F4C253" w14:textId="77777777" w:rsidR="006A362F" w:rsidRPr="00EE1B0E" w:rsidRDefault="006A362F" w:rsidP="006928A6">
            <w:pPr>
              <w:pStyle w:val="08-Tabelageral"/>
              <w:jc w:val="left"/>
              <w:rPr>
                <w:rFonts w:cs="Arial"/>
                <w:bCs w:val="0"/>
                <w:szCs w:val="14"/>
              </w:rPr>
            </w:pPr>
            <w:r w:rsidRPr="00D078AA">
              <w:rPr>
                <w:rFonts w:cs="Arial"/>
                <w:szCs w:val="14"/>
              </w:rPr>
              <w:t>Operating income</w:t>
            </w:r>
          </w:p>
        </w:tc>
        <w:tc>
          <w:tcPr>
            <w:tcW w:w="1771" w:type="dxa"/>
            <w:tcBorders>
              <w:top w:val="nil"/>
              <w:left w:val="nil"/>
              <w:bottom w:val="nil"/>
              <w:right w:val="nil"/>
            </w:tcBorders>
            <w:shd w:val="clear" w:color="auto" w:fill="auto"/>
            <w:vAlign w:val="center"/>
          </w:tcPr>
          <w:p w14:paraId="09CFAABF"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1,068,267</w:t>
            </w:r>
          </w:p>
        </w:tc>
        <w:tc>
          <w:tcPr>
            <w:tcW w:w="1772" w:type="dxa"/>
            <w:tcBorders>
              <w:top w:val="single" w:sz="2" w:space="0" w:color="1F4E79" w:themeColor="accent1" w:themeShade="80"/>
            </w:tcBorders>
            <w:shd w:val="clear" w:color="auto" w:fill="FFFFFF" w:themeFill="background1"/>
          </w:tcPr>
          <w:p w14:paraId="7ED60486"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906</w:t>
            </w:r>
            <w:r>
              <w:rPr>
                <w:b/>
                <w:bCs/>
              </w:rPr>
              <w:t>,</w:t>
            </w:r>
            <w:r w:rsidRPr="00D32895">
              <w:rPr>
                <w:b/>
                <w:bCs/>
              </w:rPr>
              <w:t>025</w:t>
            </w:r>
          </w:p>
        </w:tc>
      </w:tr>
      <w:tr w:rsidR="006A362F" w:rsidRPr="00387989" w14:paraId="1349E1C3"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733EEB3A" w14:textId="77777777" w:rsidR="006A362F" w:rsidRPr="00387989" w:rsidRDefault="006A362F" w:rsidP="006928A6">
            <w:pPr>
              <w:pStyle w:val="08-Tabelageral"/>
              <w:ind w:left="113"/>
              <w:jc w:val="left"/>
              <w:rPr>
                <w:rFonts w:cs="Arial"/>
                <w:b w:val="0"/>
                <w:szCs w:val="14"/>
              </w:rPr>
            </w:pPr>
            <w:r w:rsidRPr="00D078AA">
              <w:rPr>
                <w:rFonts w:cs="Arial"/>
                <w:b w:val="0"/>
                <w:szCs w:val="14"/>
              </w:rPr>
              <w:t>Commission income, net</w:t>
            </w:r>
          </w:p>
        </w:tc>
        <w:tc>
          <w:tcPr>
            <w:tcW w:w="1771" w:type="dxa"/>
            <w:tcBorders>
              <w:top w:val="nil"/>
              <w:left w:val="nil"/>
              <w:bottom w:val="nil"/>
              <w:right w:val="nil"/>
            </w:tcBorders>
            <w:shd w:val="clear" w:color="auto" w:fill="auto"/>
            <w:vAlign w:val="center"/>
          </w:tcPr>
          <w:p w14:paraId="4FD2FFCA"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1,068,267</w:t>
            </w:r>
          </w:p>
        </w:tc>
        <w:tc>
          <w:tcPr>
            <w:tcW w:w="1772" w:type="dxa"/>
            <w:shd w:val="clear" w:color="auto" w:fill="FFFFFF" w:themeFill="background1"/>
          </w:tcPr>
          <w:p w14:paraId="6CABBBA0"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906</w:t>
            </w:r>
            <w:r>
              <w:t>,</w:t>
            </w:r>
            <w:r w:rsidRPr="001323E4">
              <w:t>025</w:t>
            </w:r>
          </w:p>
        </w:tc>
      </w:tr>
      <w:tr w:rsidR="006A362F" w:rsidRPr="00387989" w14:paraId="3A30406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1466BA67" w14:textId="77777777" w:rsidR="006A362F" w:rsidRPr="00BA5893" w:rsidRDefault="006A362F" w:rsidP="006928A6">
            <w:pPr>
              <w:pStyle w:val="08-Tabelageral"/>
              <w:jc w:val="left"/>
              <w:rPr>
                <w:rFonts w:cs="Arial"/>
                <w:bCs w:val="0"/>
                <w:szCs w:val="14"/>
              </w:rPr>
            </w:pPr>
            <w:r w:rsidRPr="00D078AA">
              <w:rPr>
                <w:rFonts w:cs="Arial"/>
                <w:bCs w:val="0"/>
                <w:szCs w:val="14"/>
              </w:rPr>
              <w:t>Cost of Services Provided</w:t>
            </w:r>
          </w:p>
        </w:tc>
        <w:tc>
          <w:tcPr>
            <w:tcW w:w="1771" w:type="dxa"/>
            <w:tcBorders>
              <w:top w:val="nil"/>
              <w:left w:val="nil"/>
              <w:bottom w:val="nil"/>
              <w:right w:val="nil"/>
            </w:tcBorders>
            <w:shd w:val="clear" w:color="auto" w:fill="auto"/>
            <w:vAlign w:val="center"/>
          </w:tcPr>
          <w:p w14:paraId="4409BC9D"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(50,722)</w:t>
            </w:r>
          </w:p>
        </w:tc>
        <w:tc>
          <w:tcPr>
            <w:tcW w:w="1772" w:type="dxa"/>
            <w:shd w:val="clear" w:color="auto" w:fill="FFFFFF" w:themeFill="background1"/>
          </w:tcPr>
          <w:p w14:paraId="4495998B"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(48</w:t>
            </w:r>
            <w:r>
              <w:rPr>
                <w:b/>
                <w:bCs/>
              </w:rPr>
              <w:t>,</w:t>
            </w:r>
            <w:r w:rsidRPr="00D32895">
              <w:rPr>
                <w:b/>
                <w:bCs/>
              </w:rPr>
              <w:t>037)</w:t>
            </w:r>
          </w:p>
        </w:tc>
      </w:tr>
      <w:tr w:rsidR="006A362F" w:rsidRPr="001D6BE8" w14:paraId="30121285"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6823F0F5" w14:textId="77777777" w:rsidR="006A362F" w:rsidRPr="00EE1B0E" w:rsidRDefault="006A362F" w:rsidP="006928A6">
            <w:pPr>
              <w:pStyle w:val="08-Tabelageral"/>
              <w:jc w:val="left"/>
              <w:rPr>
                <w:rFonts w:cs="Arial"/>
                <w:szCs w:val="14"/>
              </w:rPr>
            </w:pPr>
            <w:r w:rsidRPr="00D078AA">
              <w:rPr>
                <w:rFonts w:cs="Arial"/>
                <w:szCs w:val="14"/>
              </w:rPr>
              <w:t>Gross Profit</w:t>
            </w:r>
          </w:p>
        </w:tc>
        <w:tc>
          <w:tcPr>
            <w:tcW w:w="1771" w:type="dxa"/>
            <w:tcBorders>
              <w:top w:val="nil"/>
              <w:left w:val="nil"/>
              <w:bottom w:val="nil"/>
              <w:right w:val="nil"/>
            </w:tcBorders>
            <w:shd w:val="clear" w:color="auto" w:fill="auto"/>
            <w:vAlign w:val="center"/>
          </w:tcPr>
          <w:p w14:paraId="45DFC7A9" w14:textId="77777777" w:rsidR="006A362F" w:rsidRPr="00D3289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1,017,545</w:t>
            </w:r>
          </w:p>
        </w:tc>
        <w:tc>
          <w:tcPr>
            <w:tcW w:w="1772" w:type="dxa"/>
            <w:shd w:val="clear" w:color="auto" w:fill="FFFFFF" w:themeFill="background1"/>
          </w:tcPr>
          <w:p w14:paraId="34FB845F" w14:textId="77777777" w:rsidR="006A362F" w:rsidRPr="00D3289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b/>
                <w:bCs/>
              </w:rPr>
              <w:t>857</w:t>
            </w:r>
            <w:r>
              <w:rPr>
                <w:b/>
                <w:bCs/>
              </w:rPr>
              <w:t>,</w:t>
            </w:r>
            <w:r w:rsidRPr="00D32895">
              <w:rPr>
                <w:b/>
                <w:bCs/>
              </w:rPr>
              <w:t>988</w:t>
            </w:r>
          </w:p>
        </w:tc>
      </w:tr>
      <w:tr w:rsidR="006A362F" w:rsidRPr="001D6BE8" w14:paraId="5BF4AB6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405D4245" w14:textId="77777777" w:rsidR="006A362F" w:rsidRPr="00EE1B0E" w:rsidRDefault="006A362F" w:rsidP="006928A6">
            <w:pPr>
              <w:pStyle w:val="08-Tabelageral"/>
              <w:jc w:val="left"/>
              <w:rPr>
                <w:rFonts w:cs="Arial"/>
                <w:bCs w:val="0"/>
                <w:szCs w:val="14"/>
              </w:rPr>
            </w:pPr>
            <w:r>
              <w:rPr>
                <w:rFonts w:cs="Arial"/>
                <w:szCs w:val="14"/>
              </w:rPr>
              <w:t>Other income and expenses</w:t>
            </w:r>
          </w:p>
        </w:tc>
        <w:tc>
          <w:tcPr>
            <w:tcW w:w="1771" w:type="dxa"/>
            <w:tcBorders>
              <w:top w:val="nil"/>
              <w:left w:val="nil"/>
              <w:bottom w:val="nil"/>
              <w:right w:val="nil"/>
            </w:tcBorders>
            <w:shd w:val="clear" w:color="auto" w:fill="auto"/>
            <w:vAlign w:val="center"/>
          </w:tcPr>
          <w:p w14:paraId="54C4359F"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(28,617)</w:t>
            </w:r>
          </w:p>
        </w:tc>
        <w:tc>
          <w:tcPr>
            <w:tcW w:w="1772" w:type="dxa"/>
            <w:shd w:val="clear" w:color="auto" w:fill="FFFFFF" w:themeFill="background1"/>
          </w:tcPr>
          <w:p w14:paraId="0649E577"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(29</w:t>
            </w:r>
            <w:r>
              <w:rPr>
                <w:b/>
                <w:bCs/>
              </w:rPr>
              <w:t>,</w:t>
            </w:r>
            <w:r w:rsidRPr="00D32895">
              <w:rPr>
                <w:b/>
                <w:bCs/>
              </w:rPr>
              <w:t>742)</w:t>
            </w:r>
          </w:p>
        </w:tc>
      </w:tr>
      <w:tr w:rsidR="006A362F" w:rsidRPr="001D6BE8" w14:paraId="40F70EFD"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54601F20" w14:textId="77777777" w:rsidR="006A362F" w:rsidRPr="00E038BB" w:rsidRDefault="006A362F" w:rsidP="006928A6">
            <w:pPr>
              <w:pStyle w:val="08-Tabelageral"/>
              <w:ind w:left="113"/>
              <w:jc w:val="left"/>
              <w:rPr>
                <w:rFonts w:cs="Arial"/>
                <w:b w:val="0"/>
                <w:szCs w:val="14"/>
                <w:lang w:val="en-US"/>
              </w:rPr>
            </w:pPr>
            <w:r w:rsidRPr="00E038BB">
              <w:rPr>
                <w:rFonts w:cs="Arial"/>
                <w:b w:val="0"/>
                <w:szCs w:val="14"/>
                <w:lang w:val="en-US"/>
              </w:rPr>
              <w:t>Income from investments in equity interests</w:t>
            </w:r>
          </w:p>
        </w:tc>
        <w:tc>
          <w:tcPr>
            <w:tcW w:w="1771" w:type="dxa"/>
            <w:tcBorders>
              <w:top w:val="nil"/>
              <w:left w:val="nil"/>
              <w:bottom w:val="nil"/>
              <w:right w:val="nil"/>
            </w:tcBorders>
            <w:shd w:val="clear" w:color="auto" w:fill="auto"/>
            <w:vAlign w:val="center"/>
          </w:tcPr>
          <w:p w14:paraId="0696FBE0"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38</w:t>
            </w:r>
          </w:p>
        </w:tc>
        <w:tc>
          <w:tcPr>
            <w:tcW w:w="1772" w:type="dxa"/>
            <w:shd w:val="clear" w:color="auto" w:fill="FFFFFF" w:themeFill="background1"/>
          </w:tcPr>
          <w:p w14:paraId="69496D68"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(839)</w:t>
            </w:r>
          </w:p>
        </w:tc>
      </w:tr>
      <w:tr w:rsidR="006A362F" w:rsidRPr="001D6BE8" w14:paraId="0D41D3E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6106E270" w14:textId="77777777" w:rsidR="006A362F" w:rsidRPr="00C806B0" w:rsidRDefault="006A362F" w:rsidP="006928A6">
            <w:pPr>
              <w:pStyle w:val="08-Tabelageral"/>
              <w:ind w:left="113"/>
              <w:jc w:val="left"/>
              <w:rPr>
                <w:rFonts w:cs="Arial"/>
                <w:b w:val="0"/>
                <w:szCs w:val="14"/>
              </w:rPr>
            </w:pPr>
            <w:r w:rsidRPr="00E038BB">
              <w:rPr>
                <w:rFonts w:cs="Arial"/>
                <w:b w:val="0"/>
                <w:szCs w:val="14"/>
              </w:rPr>
              <w:t>Personnel expenses</w:t>
            </w:r>
          </w:p>
        </w:tc>
        <w:tc>
          <w:tcPr>
            <w:tcW w:w="1771" w:type="dxa"/>
            <w:tcBorders>
              <w:top w:val="nil"/>
              <w:left w:val="nil"/>
              <w:bottom w:val="nil"/>
              <w:right w:val="nil"/>
            </w:tcBorders>
            <w:shd w:val="clear" w:color="auto" w:fill="auto"/>
            <w:vAlign w:val="center"/>
          </w:tcPr>
          <w:p w14:paraId="6029DD6B" w14:textId="77777777" w:rsidR="006A362F" w:rsidRPr="00EB002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(13,669)</w:t>
            </w:r>
          </w:p>
        </w:tc>
        <w:tc>
          <w:tcPr>
            <w:tcW w:w="1772" w:type="dxa"/>
            <w:shd w:val="clear" w:color="auto" w:fill="FFFFFF" w:themeFill="background1"/>
          </w:tcPr>
          <w:p w14:paraId="41203FF1" w14:textId="77777777" w:rsidR="006A362F" w:rsidRPr="00EB002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323E4">
              <w:t>(10</w:t>
            </w:r>
            <w:r>
              <w:t>,</w:t>
            </w:r>
            <w:r w:rsidRPr="001323E4">
              <w:t>972)</w:t>
            </w:r>
          </w:p>
        </w:tc>
      </w:tr>
      <w:tr w:rsidR="006A362F" w:rsidRPr="001D6BE8" w14:paraId="0FCCA53D"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3169EB41" w14:textId="77777777" w:rsidR="006A362F" w:rsidRPr="00C806B0" w:rsidRDefault="006A362F" w:rsidP="006928A6">
            <w:pPr>
              <w:pStyle w:val="08-Tabelageral"/>
              <w:ind w:left="113"/>
              <w:jc w:val="left"/>
              <w:rPr>
                <w:rFonts w:cs="Arial"/>
                <w:b w:val="0"/>
                <w:szCs w:val="14"/>
              </w:rPr>
            </w:pPr>
            <w:r w:rsidRPr="00E038BB">
              <w:rPr>
                <w:rFonts w:cs="Arial"/>
                <w:b w:val="0"/>
                <w:szCs w:val="14"/>
              </w:rPr>
              <w:t>Administrative and selling expenses</w:t>
            </w:r>
          </w:p>
        </w:tc>
        <w:tc>
          <w:tcPr>
            <w:tcW w:w="1771" w:type="dxa"/>
            <w:tcBorders>
              <w:top w:val="nil"/>
              <w:left w:val="nil"/>
              <w:bottom w:val="nil"/>
              <w:right w:val="nil"/>
            </w:tcBorders>
            <w:shd w:val="clear" w:color="auto" w:fill="auto"/>
            <w:vAlign w:val="center"/>
          </w:tcPr>
          <w:p w14:paraId="4772DCE7"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(7,807)</w:t>
            </w:r>
          </w:p>
        </w:tc>
        <w:tc>
          <w:tcPr>
            <w:tcW w:w="1772" w:type="dxa"/>
            <w:shd w:val="clear" w:color="auto" w:fill="FFFFFF" w:themeFill="background1"/>
          </w:tcPr>
          <w:p w14:paraId="1C915DEA"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(4</w:t>
            </w:r>
            <w:r>
              <w:t>,</w:t>
            </w:r>
            <w:r w:rsidRPr="001323E4">
              <w:t>747)</w:t>
            </w:r>
          </w:p>
        </w:tc>
      </w:tr>
      <w:tr w:rsidR="006A362F" w:rsidRPr="001D6BE8" w14:paraId="15EB64E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38EBD6B9" w14:textId="77777777" w:rsidR="006A362F" w:rsidRPr="00C806B0" w:rsidRDefault="006A362F" w:rsidP="006928A6">
            <w:pPr>
              <w:pStyle w:val="08-Tabelageral"/>
              <w:ind w:left="113"/>
              <w:jc w:val="left"/>
              <w:rPr>
                <w:rFonts w:cs="Arial"/>
                <w:b w:val="0"/>
                <w:szCs w:val="14"/>
              </w:rPr>
            </w:pPr>
            <w:r>
              <w:rPr>
                <w:rFonts w:cs="Arial"/>
                <w:b w:val="0"/>
                <w:szCs w:val="14"/>
              </w:rPr>
              <w:t>T</w:t>
            </w:r>
            <w:r w:rsidRPr="00C453A1">
              <w:rPr>
                <w:rFonts w:cs="Arial"/>
                <w:b w:val="0"/>
                <w:szCs w:val="14"/>
              </w:rPr>
              <w:t>ax expenses</w:t>
            </w:r>
          </w:p>
        </w:tc>
        <w:tc>
          <w:tcPr>
            <w:tcW w:w="1771" w:type="dxa"/>
            <w:tcBorders>
              <w:top w:val="nil"/>
              <w:left w:val="nil"/>
              <w:bottom w:val="nil"/>
              <w:right w:val="nil"/>
            </w:tcBorders>
            <w:shd w:val="clear" w:color="auto" w:fill="auto"/>
            <w:vAlign w:val="center"/>
          </w:tcPr>
          <w:p w14:paraId="4A994E93" w14:textId="77777777" w:rsidR="006A362F" w:rsidRPr="00EB002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(5,435)</w:t>
            </w:r>
          </w:p>
        </w:tc>
        <w:tc>
          <w:tcPr>
            <w:tcW w:w="1772" w:type="dxa"/>
            <w:shd w:val="clear" w:color="auto" w:fill="FFFFFF" w:themeFill="background1"/>
          </w:tcPr>
          <w:p w14:paraId="76682F4C" w14:textId="77777777" w:rsidR="006A362F" w:rsidRPr="00EB002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323E4">
              <w:t>(3</w:t>
            </w:r>
            <w:r>
              <w:t>,</w:t>
            </w:r>
            <w:r w:rsidRPr="001323E4">
              <w:t>027)</w:t>
            </w:r>
          </w:p>
        </w:tc>
      </w:tr>
      <w:tr w:rsidR="006A362F" w:rsidRPr="003E4D11" w14:paraId="54350453"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028ADA26" w14:textId="77777777" w:rsidR="006A362F" w:rsidRPr="00C453A1" w:rsidRDefault="006A362F" w:rsidP="006928A6">
            <w:pPr>
              <w:pStyle w:val="08-Tabelageral"/>
              <w:ind w:left="113"/>
              <w:jc w:val="left"/>
              <w:rPr>
                <w:rFonts w:cs="Arial"/>
                <w:b w:val="0"/>
                <w:bCs w:val="0"/>
                <w:szCs w:val="14"/>
                <w:lang w:val="en-US"/>
              </w:rPr>
            </w:pPr>
            <w:r w:rsidRPr="00C453A1">
              <w:rPr>
                <w:rFonts w:cs="Arial"/>
                <w:b w:val="0"/>
                <w:bCs w:val="0"/>
                <w:szCs w:val="14"/>
                <w:lang w:val="en-US"/>
              </w:rPr>
              <w:t>Provision for brokerage to return</w:t>
            </w:r>
          </w:p>
        </w:tc>
        <w:tc>
          <w:tcPr>
            <w:tcW w:w="1771" w:type="dxa"/>
            <w:tcBorders>
              <w:top w:val="nil"/>
              <w:left w:val="nil"/>
              <w:bottom w:val="nil"/>
              <w:right w:val="nil"/>
            </w:tcBorders>
            <w:shd w:val="clear" w:color="auto" w:fill="auto"/>
            <w:vAlign w:val="center"/>
          </w:tcPr>
          <w:p w14:paraId="23DF8A52" w14:textId="77777777" w:rsidR="006A362F" w:rsidRPr="0062679E"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62679E">
              <w:rPr>
                <w:rFonts w:cs="Arial"/>
              </w:rPr>
              <w:t>--</w:t>
            </w:r>
          </w:p>
        </w:tc>
        <w:tc>
          <w:tcPr>
            <w:tcW w:w="1772" w:type="dxa"/>
            <w:shd w:val="clear" w:color="auto" w:fill="FFFFFF" w:themeFill="background1"/>
          </w:tcPr>
          <w:p w14:paraId="51CA2D34" w14:textId="77777777" w:rsidR="006A362F" w:rsidRPr="00507512"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sidRPr="00507512">
              <w:t>(9</w:t>
            </w:r>
            <w:r>
              <w:t>,</w:t>
            </w:r>
            <w:r w:rsidRPr="00507512">
              <w:t>824)</w:t>
            </w:r>
          </w:p>
        </w:tc>
      </w:tr>
      <w:tr w:rsidR="006A362F" w:rsidRPr="001D6BE8" w14:paraId="15D7B9D7"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10F3B53A" w14:textId="77777777" w:rsidR="006A362F" w:rsidRPr="00507512" w:rsidRDefault="006A362F" w:rsidP="006928A6">
            <w:pPr>
              <w:pStyle w:val="08-Tabelageral"/>
              <w:ind w:left="113"/>
              <w:jc w:val="left"/>
              <w:rPr>
                <w:rFonts w:cs="Arial"/>
                <w:b w:val="0"/>
                <w:szCs w:val="14"/>
              </w:rPr>
            </w:pPr>
            <w:r w:rsidRPr="00C453A1">
              <w:rPr>
                <w:rFonts w:cs="Arial"/>
                <w:b w:val="0"/>
                <w:szCs w:val="14"/>
              </w:rPr>
              <w:t>Others</w:t>
            </w:r>
          </w:p>
        </w:tc>
        <w:tc>
          <w:tcPr>
            <w:tcW w:w="1771" w:type="dxa"/>
            <w:shd w:val="clear" w:color="auto" w:fill="FFFFFF" w:themeFill="background1"/>
          </w:tcPr>
          <w:p w14:paraId="707C3A13" w14:textId="77777777" w:rsidR="006A362F" w:rsidRPr="0062679E"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62679E">
              <w:rPr>
                <w:rFonts w:cs="Arial"/>
              </w:rPr>
              <w:t>(1</w:t>
            </w:r>
            <w:r>
              <w:rPr>
                <w:rFonts w:cs="Arial"/>
              </w:rPr>
              <w:t>,</w:t>
            </w:r>
            <w:r w:rsidRPr="0062679E">
              <w:rPr>
                <w:rFonts w:cs="Arial"/>
              </w:rPr>
              <w:t>744)</w:t>
            </w:r>
          </w:p>
        </w:tc>
        <w:tc>
          <w:tcPr>
            <w:tcW w:w="1772" w:type="dxa"/>
            <w:shd w:val="clear" w:color="auto" w:fill="FFFFFF" w:themeFill="background1"/>
          </w:tcPr>
          <w:p w14:paraId="68CCDA18" w14:textId="77777777" w:rsidR="006A362F" w:rsidRPr="00507512"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507512">
              <w:t>(333)</w:t>
            </w:r>
          </w:p>
        </w:tc>
      </w:tr>
      <w:tr w:rsidR="006A362F" w:rsidRPr="00E54B4C" w14:paraId="54661D3D"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10012EE5" w14:textId="77777777" w:rsidR="006A362F" w:rsidRPr="00C453A1" w:rsidRDefault="006A362F" w:rsidP="006928A6">
            <w:pPr>
              <w:pStyle w:val="08-Tabelageral"/>
              <w:jc w:val="left"/>
              <w:rPr>
                <w:rFonts w:cs="Arial"/>
                <w:szCs w:val="14"/>
                <w:lang w:val="en-US"/>
              </w:rPr>
            </w:pPr>
            <w:r w:rsidRPr="00C453A1">
              <w:rPr>
                <w:rFonts w:cs="Arial"/>
                <w:szCs w:val="14"/>
                <w:lang w:val="en-US"/>
              </w:rPr>
              <w:t>Income Before Financial Income and Expenses</w:t>
            </w:r>
          </w:p>
        </w:tc>
        <w:tc>
          <w:tcPr>
            <w:tcW w:w="1771" w:type="dxa"/>
            <w:tcBorders>
              <w:top w:val="nil"/>
              <w:left w:val="nil"/>
              <w:bottom w:val="nil"/>
              <w:right w:val="nil"/>
            </w:tcBorders>
            <w:shd w:val="clear" w:color="auto" w:fill="auto"/>
            <w:vAlign w:val="center"/>
          </w:tcPr>
          <w:p w14:paraId="1870CD1A" w14:textId="77777777" w:rsidR="006A362F" w:rsidRPr="00D3289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988,928</w:t>
            </w:r>
          </w:p>
        </w:tc>
        <w:tc>
          <w:tcPr>
            <w:tcW w:w="1772" w:type="dxa"/>
            <w:shd w:val="clear" w:color="auto" w:fill="FFFFFF" w:themeFill="background1"/>
          </w:tcPr>
          <w:p w14:paraId="3A7923FB" w14:textId="77777777" w:rsidR="006A362F" w:rsidRPr="00D3289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b/>
                <w:bCs/>
              </w:rPr>
              <w:t>828</w:t>
            </w:r>
            <w:r>
              <w:rPr>
                <w:b/>
                <w:bCs/>
              </w:rPr>
              <w:t>,</w:t>
            </w:r>
            <w:r w:rsidRPr="00D32895">
              <w:rPr>
                <w:b/>
                <w:bCs/>
              </w:rPr>
              <w:t>246</w:t>
            </w:r>
          </w:p>
        </w:tc>
      </w:tr>
      <w:tr w:rsidR="006A362F" w:rsidRPr="00E54B4C" w14:paraId="2B4AB8D1"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6C7C8AD1" w14:textId="77777777" w:rsidR="006A362F" w:rsidRPr="00E54B4C" w:rsidRDefault="006A362F" w:rsidP="006928A6">
            <w:pPr>
              <w:pStyle w:val="08-Tabelageral"/>
              <w:jc w:val="left"/>
              <w:rPr>
                <w:rFonts w:cs="Arial"/>
                <w:szCs w:val="14"/>
              </w:rPr>
            </w:pPr>
            <w:r>
              <w:rPr>
                <w:rFonts w:cs="Arial"/>
                <w:szCs w:val="14"/>
              </w:rPr>
              <w:t>Financial result</w:t>
            </w:r>
          </w:p>
        </w:tc>
        <w:tc>
          <w:tcPr>
            <w:tcW w:w="1771" w:type="dxa"/>
            <w:tcBorders>
              <w:top w:val="nil"/>
              <w:left w:val="nil"/>
              <w:bottom w:val="nil"/>
              <w:right w:val="nil"/>
            </w:tcBorders>
            <w:shd w:val="clear" w:color="auto" w:fill="auto"/>
            <w:vAlign w:val="center"/>
          </w:tcPr>
          <w:p w14:paraId="00E67615"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color w:val="000000"/>
                <w:szCs w:val="14"/>
              </w:rPr>
              <w:t>83,337</w:t>
            </w:r>
          </w:p>
        </w:tc>
        <w:tc>
          <w:tcPr>
            <w:tcW w:w="1772" w:type="dxa"/>
            <w:shd w:val="clear" w:color="auto" w:fill="FFFFFF" w:themeFill="background1"/>
          </w:tcPr>
          <w:p w14:paraId="244CA460" w14:textId="77777777" w:rsidR="006A362F" w:rsidRPr="00D32895"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D32895">
              <w:rPr>
                <w:b/>
                <w:bCs/>
              </w:rPr>
              <w:t>46</w:t>
            </w:r>
            <w:r>
              <w:rPr>
                <w:b/>
                <w:bCs/>
              </w:rPr>
              <w:t>,</w:t>
            </w:r>
            <w:r w:rsidRPr="00D32895">
              <w:rPr>
                <w:b/>
                <w:bCs/>
              </w:rPr>
              <w:t>196</w:t>
            </w:r>
          </w:p>
        </w:tc>
      </w:tr>
      <w:tr w:rsidR="006A362F" w:rsidRPr="001D6BE8" w14:paraId="24997D87"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6CA0E2E8" w14:textId="77777777" w:rsidR="006A362F" w:rsidRPr="00C806B0" w:rsidRDefault="006A362F" w:rsidP="006928A6">
            <w:pPr>
              <w:pStyle w:val="08-Tabelageral"/>
              <w:ind w:left="113"/>
              <w:jc w:val="left"/>
              <w:rPr>
                <w:rFonts w:cs="Arial"/>
                <w:b w:val="0"/>
                <w:szCs w:val="14"/>
              </w:rPr>
            </w:pPr>
            <w:r>
              <w:rPr>
                <w:rFonts w:cs="Arial"/>
                <w:b w:val="0"/>
                <w:szCs w:val="14"/>
              </w:rPr>
              <w:t>Financial income</w:t>
            </w:r>
          </w:p>
        </w:tc>
        <w:tc>
          <w:tcPr>
            <w:tcW w:w="1771" w:type="dxa"/>
            <w:tcBorders>
              <w:top w:val="nil"/>
              <w:left w:val="nil"/>
              <w:bottom w:val="nil"/>
              <w:right w:val="nil"/>
            </w:tcBorders>
            <w:shd w:val="clear" w:color="auto" w:fill="auto"/>
            <w:vAlign w:val="center"/>
          </w:tcPr>
          <w:p w14:paraId="732DD095"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4"/>
              </w:rPr>
              <w:t>115,425</w:t>
            </w:r>
          </w:p>
        </w:tc>
        <w:tc>
          <w:tcPr>
            <w:tcW w:w="1772" w:type="dxa"/>
            <w:shd w:val="clear" w:color="auto" w:fill="FFFFFF" w:themeFill="background1"/>
          </w:tcPr>
          <w:p w14:paraId="3FA7D4BF" w14:textId="77777777" w:rsidR="006A362F" w:rsidRPr="00EB00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rPr>
            </w:pPr>
            <w:r w:rsidRPr="001323E4">
              <w:t>63</w:t>
            </w:r>
            <w:r>
              <w:t>,</w:t>
            </w:r>
            <w:r w:rsidRPr="001323E4">
              <w:t>329</w:t>
            </w:r>
          </w:p>
        </w:tc>
      </w:tr>
      <w:tr w:rsidR="006A362F" w:rsidRPr="001D6BE8" w14:paraId="11C93E87"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2F716B3A" w14:textId="77777777" w:rsidR="006A362F" w:rsidRPr="00C806B0" w:rsidRDefault="006A362F" w:rsidP="006928A6">
            <w:pPr>
              <w:pStyle w:val="08-Tabelageral"/>
              <w:ind w:left="113"/>
              <w:jc w:val="left"/>
              <w:rPr>
                <w:rFonts w:cs="Arial"/>
                <w:b w:val="0"/>
                <w:szCs w:val="14"/>
              </w:rPr>
            </w:pPr>
            <w:r>
              <w:rPr>
                <w:rFonts w:cs="Arial"/>
                <w:b w:val="0"/>
                <w:szCs w:val="14"/>
              </w:rPr>
              <w:t>Financial expenses</w:t>
            </w:r>
            <w:r w:rsidRPr="00C806B0">
              <w:rPr>
                <w:rFonts w:cs="Arial"/>
                <w:b w:val="0"/>
                <w:szCs w:val="14"/>
              </w:rPr>
              <w:t xml:space="preserve"> </w:t>
            </w:r>
          </w:p>
        </w:tc>
        <w:tc>
          <w:tcPr>
            <w:tcW w:w="1771" w:type="dxa"/>
            <w:tcBorders>
              <w:top w:val="nil"/>
              <w:left w:val="nil"/>
              <w:bottom w:val="nil"/>
              <w:right w:val="nil"/>
            </w:tcBorders>
            <w:shd w:val="clear" w:color="auto" w:fill="auto"/>
            <w:vAlign w:val="center"/>
          </w:tcPr>
          <w:p w14:paraId="2D2B58FA" w14:textId="77777777" w:rsidR="006A362F" w:rsidRPr="00EB002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color w:val="000000"/>
                <w:szCs w:val="14"/>
              </w:rPr>
              <w:t>(32,088)</w:t>
            </w:r>
          </w:p>
        </w:tc>
        <w:tc>
          <w:tcPr>
            <w:tcW w:w="1772" w:type="dxa"/>
            <w:shd w:val="clear" w:color="auto" w:fill="FFFFFF" w:themeFill="background1"/>
          </w:tcPr>
          <w:p w14:paraId="73013E8B" w14:textId="77777777" w:rsidR="006A362F" w:rsidRPr="00EB002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323E4">
              <w:t>(17</w:t>
            </w:r>
            <w:r>
              <w:t>,</w:t>
            </w:r>
            <w:r w:rsidRPr="001323E4">
              <w:t>133)</w:t>
            </w:r>
          </w:p>
        </w:tc>
      </w:tr>
      <w:tr w:rsidR="006A362F" w:rsidRPr="00E54B4C" w14:paraId="682B1D09"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70708766" w14:textId="77777777" w:rsidR="006A362F" w:rsidRPr="00E54B4C" w:rsidRDefault="006A362F" w:rsidP="006928A6">
            <w:pPr>
              <w:pStyle w:val="08-Tabelageral"/>
              <w:jc w:val="left"/>
              <w:rPr>
                <w:rFonts w:cs="Arial"/>
                <w:bCs w:val="0"/>
                <w:szCs w:val="14"/>
              </w:rPr>
            </w:pPr>
            <w:r w:rsidRPr="00C453A1">
              <w:rPr>
                <w:rFonts w:cs="Arial"/>
                <w:szCs w:val="14"/>
              </w:rPr>
              <w:t>Income before taxes</w:t>
            </w:r>
          </w:p>
        </w:tc>
        <w:tc>
          <w:tcPr>
            <w:tcW w:w="1771" w:type="dxa"/>
            <w:tcBorders>
              <w:top w:val="nil"/>
              <w:left w:val="nil"/>
              <w:bottom w:val="nil"/>
              <w:right w:val="nil"/>
            </w:tcBorders>
            <w:shd w:val="clear" w:color="auto" w:fill="auto"/>
            <w:vAlign w:val="center"/>
          </w:tcPr>
          <w:p w14:paraId="28074366" w14:textId="77777777" w:rsidR="006A362F" w:rsidRPr="00D3289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color w:val="000000"/>
                <w:szCs w:val="14"/>
              </w:rPr>
              <w:t>1,072,265</w:t>
            </w:r>
          </w:p>
        </w:tc>
        <w:tc>
          <w:tcPr>
            <w:tcW w:w="1772" w:type="dxa"/>
            <w:shd w:val="clear" w:color="auto" w:fill="FFFFFF" w:themeFill="background1"/>
          </w:tcPr>
          <w:p w14:paraId="39B176E6" w14:textId="77777777" w:rsidR="006A362F" w:rsidRPr="00D3289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b/>
                <w:bCs/>
              </w:rPr>
              <w:t>874</w:t>
            </w:r>
            <w:r>
              <w:rPr>
                <w:b/>
                <w:bCs/>
              </w:rPr>
              <w:t>,</w:t>
            </w:r>
            <w:r w:rsidRPr="00D32895">
              <w:rPr>
                <w:b/>
                <w:bCs/>
              </w:rPr>
              <w:t>442</w:t>
            </w:r>
          </w:p>
        </w:tc>
      </w:tr>
      <w:tr w:rsidR="006A362F" w:rsidRPr="009365D0" w14:paraId="4AD985C0"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shd w:val="clear" w:color="auto" w:fill="FFFFFF" w:themeFill="background1"/>
            <w:vAlign w:val="center"/>
          </w:tcPr>
          <w:p w14:paraId="5905C70C" w14:textId="77777777" w:rsidR="006A362F" w:rsidRPr="009365D0" w:rsidRDefault="006A362F" w:rsidP="006928A6">
            <w:pPr>
              <w:pStyle w:val="08-Tabelageral"/>
              <w:jc w:val="left"/>
              <w:rPr>
                <w:rFonts w:cs="Arial"/>
                <w:szCs w:val="14"/>
              </w:rPr>
            </w:pPr>
            <w:r>
              <w:rPr>
                <w:rFonts w:cs="Arial"/>
                <w:szCs w:val="14"/>
              </w:rPr>
              <w:t>Taxes</w:t>
            </w:r>
          </w:p>
        </w:tc>
        <w:tc>
          <w:tcPr>
            <w:tcW w:w="1771" w:type="dxa"/>
            <w:tcBorders>
              <w:top w:val="nil"/>
              <w:left w:val="nil"/>
              <w:bottom w:val="nil"/>
              <w:right w:val="nil"/>
            </w:tcBorders>
            <w:shd w:val="clear" w:color="auto" w:fill="auto"/>
            <w:vAlign w:val="center"/>
          </w:tcPr>
          <w:p w14:paraId="4DB1FCF6" w14:textId="77777777" w:rsidR="006A362F" w:rsidRPr="0001062D"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1062D">
              <w:rPr>
                <w:rFonts w:cs="Arial"/>
                <w:b/>
                <w:bCs/>
                <w:color w:val="000000"/>
                <w:szCs w:val="14"/>
              </w:rPr>
              <w:t>(364</w:t>
            </w:r>
            <w:r>
              <w:rPr>
                <w:rFonts w:cs="Arial"/>
                <w:b/>
                <w:bCs/>
                <w:color w:val="000000"/>
                <w:szCs w:val="14"/>
              </w:rPr>
              <w:t>,</w:t>
            </w:r>
            <w:r w:rsidRPr="0001062D">
              <w:rPr>
                <w:rFonts w:cs="Arial"/>
                <w:b/>
                <w:bCs/>
                <w:color w:val="000000"/>
                <w:szCs w:val="14"/>
              </w:rPr>
              <w:t>554)</w:t>
            </w:r>
          </w:p>
        </w:tc>
        <w:tc>
          <w:tcPr>
            <w:tcW w:w="1772" w:type="dxa"/>
            <w:shd w:val="clear" w:color="auto" w:fill="FFFFFF" w:themeFill="background1"/>
          </w:tcPr>
          <w:p w14:paraId="40424EE5" w14:textId="77777777" w:rsidR="006A362F" w:rsidRPr="0001062D"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1062D">
              <w:rPr>
                <w:rFonts w:cs="Arial"/>
                <w:b/>
                <w:bCs/>
              </w:rPr>
              <w:t>(299</w:t>
            </w:r>
            <w:r>
              <w:rPr>
                <w:rFonts w:cs="Arial"/>
                <w:b/>
                <w:bCs/>
              </w:rPr>
              <w:t>,</w:t>
            </w:r>
            <w:r w:rsidRPr="0001062D">
              <w:rPr>
                <w:rFonts w:cs="Arial"/>
                <w:b/>
                <w:bCs/>
              </w:rPr>
              <w:t>138)</w:t>
            </w:r>
          </w:p>
        </w:tc>
      </w:tr>
      <w:tr w:rsidR="006A362F" w:rsidRPr="00BB480E" w14:paraId="4565DE7A"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bottom w:val="nil"/>
            </w:tcBorders>
            <w:shd w:val="clear" w:color="auto" w:fill="FFFFFF" w:themeFill="background1"/>
            <w:vAlign w:val="center"/>
          </w:tcPr>
          <w:p w14:paraId="15ECF96F" w14:textId="77777777" w:rsidR="006A362F" w:rsidRPr="00E54B4C" w:rsidRDefault="006A362F" w:rsidP="006928A6">
            <w:pPr>
              <w:pStyle w:val="08-Tabelageral"/>
              <w:jc w:val="left"/>
              <w:rPr>
                <w:rFonts w:cs="Arial"/>
                <w:bCs w:val="0"/>
                <w:szCs w:val="14"/>
              </w:rPr>
            </w:pPr>
            <w:r>
              <w:rPr>
                <w:rFonts w:cs="Arial"/>
                <w:szCs w:val="14"/>
              </w:rPr>
              <w:t xml:space="preserve">Net income </w:t>
            </w:r>
          </w:p>
        </w:tc>
        <w:tc>
          <w:tcPr>
            <w:tcW w:w="1771" w:type="dxa"/>
            <w:tcBorders>
              <w:bottom w:val="nil"/>
            </w:tcBorders>
            <w:shd w:val="clear" w:color="auto" w:fill="FFFFFF" w:themeFill="background1"/>
          </w:tcPr>
          <w:p w14:paraId="3F29D344" w14:textId="77777777" w:rsidR="006A362F" w:rsidRPr="00042919"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01062D">
              <w:rPr>
                <w:rFonts w:cs="Arial"/>
                <w:b/>
                <w:bCs/>
              </w:rPr>
              <w:t>707</w:t>
            </w:r>
            <w:r>
              <w:rPr>
                <w:rFonts w:cs="Arial"/>
                <w:b/>
                <w:bCs/>
              </w:rPr>
              <w:t>,</w:t>
            </w:r>
            <w:r w:rsidRPr="0001062D">
              <w:rPr>
                <w:rFonts w:cs="Arial"/>
                <w:b/>
                <w:bCs/>
              </w:rPr>
              <w:t>711</w:t>
            </w:r>
          </w:p>
        </w:tc>
        <w:tc>
          <w:tcPr>
            <w:tcW w:w="1772" w:type="dxa"/>
            <w:tcBorders>
              <w:bottom w:val="nil"/>
            </w:tcBorders>
            <w:shd w:val="clear" w:color="auto" w:fill="FFFFFF" w:themeFill="background1"/>
          </w:tcPr>
          <w:p w14:paraId="429ABD88" w14:textId="77777777" w:rsidR="006A362F" w:rsidRPr="00042919"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D32895">
              <w:rPr>
                <w:rFonts w:cs="Arial"/>
                <w:b/>
                <w:bCs/>
              </w:rPr>
              <w:t>575</w:t>
            </w:r>
            <w:r>
              <w:rPr>
                <w:rFonts w:cs="Arial"/>
                <w:b/>
                <w:bCs/>
              </w:rPr>
              <w:t>,</w:t>
            </w:r>
            <w:r w:rsidRPr="00D32895">
              <w:rPr>
                <w:rFonts w:cs="Arial"/>
                <w:b/>
                <w:bCs/>
              </w:rPr>
              <w:t>304</w:t>
            </w:r>
          </w:p>
        </w:tc>
      </w:tr>
      <w:tr w:rsidR="006A362F" w:rsidRPr="00BB480E" w14:paraId="585837B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shd w:val="clear" w:color="auto" w:fill="FFFFFF" w:themeFill="background1"/>
            <w:vAlign w:val="center"/>
          </w:tcPr>
          <w:p w14:paraId="7014C084" w14:textId="77777777" w:rsidR="006A362F" w:rsidRDefault="006A362F" w:rsidP="006928A6">
            <w:pPr>
              <w:pStyle w:val="08-Tabelageral"/>
              <w:ind w:left="113"/>
              <w:jc w:val="left"/>
              <w:rPr>
                <w:rFonts w:cs="Arial"/>
                <w:szCs w:val="14"/>
              </w:rPr>
            </w:pPr>
            <w:r>
              <w:rPr>
                <w:rFonts w:cs="Arial"/>
                <w:b w:val="0"/>
                <w:szCs w:val="14"/>
              </w:rPr>
              <w:t>Other comprehensive results</w:t>
            </w:r>
          </w:p>
        </w:tc>
        <w:tc>
          <w:tcPr>
            <w:tcW w:w="1771" w:type="dxa"/>
            <w:tcBorders>
              <w:top w:val="nil"/>
              <w:bottom w:val="nil"/>
            </w:tcBorders>
            <w:shd w:val="clear" w:color="auto" w:fill="FFFFFF" w:themeFill="background1"/>
          </w:tcPr>
          <w:p w14:paraId="672A6BC1" w14:textId="77777777" w:rsidR="006A362F" w:rsidRPr="002029FD"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2029FD">
              <w:rPr>
                <w:rFonts w:cs="Arial"/>
                <w:szCs w:val="14"/>
              </w:rPr>
              <w:t>53</w:t>
            </w:r>
          </w:p>
        </w:tc>
        <w:tc>
          <w:tcPr>
            <w:tcW w:w="1772" w:type="dxa"/>
            <w:tcBorders>
              <w:top w:val="nil"/>
              <w:bottom w:val="nil"/>
            </w:tcBorders>
            <w:shd w:val="clear" w:color="auto" w:fill="FFFFFF" w:themeFill="background1"/>
          </w:tcPr>
          <w:p w14:paraId="6174C937" w14:textId="77777777" w:rsidR="006A362F" w:rsidRPr="002029FD"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2029FD">
              <w:rPr>
                <w:rFonts w:cs="Arial"/>
                <w:szCs w:val="14"/>
              </w:rPr>
              <w:t>--</w:t>
            </w:r>
          </w:p>
        </w:tc>
      </w:tr>
      <w:tr w:rsidR="006A362F" w:rsidRPr="00BB480E" w14:paraId="32AA59B0"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shd w:val="clear" w:color="auto" w:fill="FFFFFF" w:themeFill="background1"/>
            <w:vAlign w:val="center"/>
          </w:tcPr>
          <w:p w14:paraId="4B5E6788" w14:textId="77777777" w:rsidR="006A362F" w:rsidRDefault="006A362F" w:rsidP="006928A6">
            <w:pPr>
              <w:pStyle w:val="08-Tabelageral"/>
              <w:jc w:val="left"/>
              <w:rPr>
                <w:rFonts w:cs="Arial"/>
                <w:szCs w:val="14"/>
              </w:rPr>
            </w:pPr>
            <w:r w:rsidRPr="00E038BB">
              <w:rPr>
                <w:rFonts w:cs="Arial"/>
                <w:szCs w:val="14"/>
              </w:rPr>
              <w:t>Comprehensive Income</w:t>
            </w:r>
          </w:p>
        </w:tc>
        <w:tc>
          <w:tcPr>
            <w:tcW w:w="1771" w:type="dxa"/>
            <w:tcBorders>
              <w:top w:val="nil"/>
              <w:bottom w:val="nil"/>
            </w:tcBorders>
            <w:shd w:val="clear" w:color="auto" w:fill="FFFFFF" w:themeFill="background1"/>
          </w:tcPr>
          <w:p w14:paraId="7FB6B680" w14:textId="77777777" w:rsidR="006A36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E07D27">
              <w:rPr>
                <w:rFonts w:cs="Arial"/>
                <w:b/>
                <w:bCs/>
              </w:rPr>
              <w:t>707</w:t>
            </w:r>
            <w:r>
              <w:rPr>
                <w:rFonts w:cs="Arial"/>
                <w:b/>
                <w:bCs/>
              </w:rPr>
              <w:t>,</w:t>
            </w:r>
            <w:r w:rsidRPr="00E07D27">
              <w:rPr>
                <w:rFonts w:cs="Arial"/>
                <w:b/>
                <w:bCs/>
              </w:rPr>
              <w:t>764</w:t>
            </w:r>
          </w:p>
        </w:tc>
        <w:tc>
          <w:tcPr>
            <w:tcW w:w="1772" w:type="dxa"/>
            <w:tcBorders>
              <w:top w:val="nil"/>
              <w:bottom w:val="nil"/>
            </w:tcBorders>
            <w:shd w:val="clear" w:color="auto" w:fill="FFFFFF" w:themeFill="background1"/>
          </w:tcPr>
          <w:p w14:paraId="1F84547F" w14:textId="77777777" w:rsidR="006A362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604BA">
              <w:rPr>
                <w:rFonts w:cs="Arial"/>
                <w:b/>
                <w:bCs/>
              </w:rPr>
              <w:t>575</w:t>
            </w:r>
            <w:r>
              <w:rPr>
                <w:rFonts w:cs="Arial"/>
                <w:b/>
                <w:bCs/>
              </w:rPr>
              <w:t>,</w:t>
            </w:r>
            <w:r w:rsidRPr="001604BA">
              <w:rPr>
                <w:rFonts w:cs="Arial"/>
                <w:b/>
                <w:bCs/>
              </w:rPr>
              <w:t>304</w:t>
            </w:r>
          </w:p>
        </w:tc>
      </w:tr>
      <w:tr w:rsidR="006A362F" w:rsidRPr="00BB480E" w14:paraId="79AF2D4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nil"/>
            </w:tcBorders>
            <w:shd w:val="clear" w:color="auto" w:fill="FFFFFF" w:themeFill="background1"/>
            <w:vAlign w:val="center"/>
          </w:tcPr>
          <w:p w14:paraId="4C3F8EB4" w14:textId="77777777" w:rsidR="006A362F" w:rsidRDefault="006A362F" w:rsidP="006928A6">
            <w:pPr>
              <w:pStyle w:val="08-Tabelageral"/>
              <w:jc w:val="left"/>
              <w:rPr>
                <w:rFonts w:cs="Arial"/>
                <w:szCs w:val="14"/>
              </w:rPr>
            </w:pPr>
            <w:r>
              <w:rPr>
                <w:rFonts w:cs="Arial"/>
                <w:szCs w:val="14"/>
              </w:rPr>
              <w:t>Attributable to BB Seguridade</w:t>
            </w:r>
          </w:p>
        </w:tc>
        <w:tc>
          <w:tcPr>
            <w:tcW w:w="1771" w:type="dxa"/>
            <w:tcBorders>
              <w:top w:val="nil"/>
              <w:bottom w:val="nil"/>
            </w:tcBorders>
            <w:shd w:val="clear" w:color="auto" w:fill="FFFFFF" w:themeFill="background1"/>
          </w:tcPr>
          <w:p w14:paraId="3D525A18" w14:textId="77777777" w:rsidR="006A362F" w:rsidRPr="00E07D2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E07D27">
              <w:rPr>
                <w:rFonts w:cs="Arial"/>
                <w:b/>
                <w:bCs/>
              </w:rPr>
              <w:t>707</w:t>
            </w:r>
            <w:r>
              <w:rPr>
                <w:rFonts w:cs="Arial"/>
                <w:b/>
                <w:bCs/>
              </w:rPr>
              <w:t>,</w:t>
            </w:r>
            <w:r w:rsidRPr="00E07D27">
              <w:rPr>
                <w:rFonts w:cs="Arial"/>
                <w:b/>
                <w:bCs/>
              </w:rPr>
              <w:t>764</w:t>
            </w:r>
          </w:p>
        </w:tc>
        <w:tc>
          <w:tcPr>
            <w:tcW w:w="1772" w:type="dxa"/>
            <w:tcBorders>
              <w:top w:val="nil"/>
              <w:bottom w:val="nil"/>
            </w:tcBorders>
            <w:shd w:val="clear" w:color="auto" w:fill="FFFFFF" w:themeFill="background1"/>
          </w:tcPr>
          <w:p w14:paraId="1B57283B" w14:textId="77777777" w:rsidR="006A362F" w:rsidRPr="001604BA"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1604BA">
              <w:rPr>
                <w:rFonts w:cs="Arial"/>
                <w:b/>
                <w:bCs/>
              </w:rPr>
              <w:t>575</w:t>
            </w:r>
            <w:r>
              <w:rPr>
                <w:rFonts w:cs="Arial"/>
                <w:b/>
                <w:bCs/>
              </w:rPr>
              <w:t>,</w:t>
            </w:r>
            <w:r w:rsidRPr="001604BA">
              <w:rPr>
                <w:rFonts w:cs="Arial"/>
                <w:b/>
                <w:bCs/>
              </w:rPr>
              <w:t>304</w:t>
            </w:r>
          </w:p>
        </w:tc>
      </w:tr>
      <w:tr w:rsidR="006A362F" w:rsidRPr="00BB480E" w14:paraId="0C3373BE"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6096" w:type="dxa"/>
            <w:tcBorders>
              <w:top w:val="nil"/>
              <w:bottom w:val="single" w:sz="2" w:space="0" w:color="1F4E79" w:themeColor="accent1" w:themeShade="80"/>
            </w:tcBorders>
            <w:shd w:val="clear" w:color="auto" w:fill="FFFFFF" w:themeFill="background1"/>
            <w:vAlign w:val="center"/>
          </w:tcPr>
          <w:p w14:paraId="506918CB" w14:textId="77777777" w:rsidR="006A362F" w:rsidRDefault="006A362F" w:rsidP="006928A6">
            <w:pPr>
              <w:pStyle w:val="08-Tabelageral"/>
              <w:jc w:val="left"/>
              <w:rPr>
                <w:rFonts w:cs="Arial"/>
                <w:szCs w:val="14"/>
              </w:rPr>
            </w:pPr>
            <w:r>
              <w:rPr>
                <w:rFonts w:cs="Arial"/>
                <w:szCs w:val="14"/>
              </w:rPr>
              <w:t>Equity income</w:t>
            </w:r>
          </w:p>
        </w:tc>
        <w:tc>
          <w:tcPr>
            <w:tcW w:w="1771" w:type="dxa"/>
            <w:tcBorders>
              <w:top w:val="nil"/>
              <w:bottom w:val="single" w:sz="2" w:space="0" w:color="1F4E79" w:themeColor="accent1" w:themeShade="80"/>
            </w:tcBorders>
            <w:shd w:val="clear" w:color="auto" w:fill="FFFFFF" w:themeFill="background1"/>
          </w:tcPr>
          <w:p w14:paraId="6AE9047A" w14:textId="77777777" w:rsidR="006A362F" w:rsidRPr="00E07D27"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E07D27">
              <w:rPr>
                <w:rFonts w:cs="Arial"/>
                <w:b/>
                <w:bCs/>
              </w:rPr>
              <w:t>707</w:t>
            </w:r>
            <w:r>
              <w:rPr>
                <w:rFonts w:cs="Arial"/>
                <w:b/>
                <w:bCs/>
              </w:rPr>
              <w:t>,</w:t>
            </w:r>
            <w:r w:rsidRPr="00E07D27">
              <w:rPr>
                <w:rFonts w:cs="Arial"/>
                <w:b/>
                <w:bCs/>
              </w:rPr>
              <w:t>764</w:t>
            </w:r>
          </w:p>
        </w:tc>
        <w:tc>
          <w:tcPr>
            <w:tcW w:w="1772" w:type="dxa"/>
            <w:tcBorders>
              <w:top w:val="nil"/>
              <w:bottom w:val="single" w:sz="2" w:space="0" w:color="1F4E79" w:themeColor="accent1" w:themeShade="80"/>
            </w:tcBorders>
            <w:shd w:val="clear" w:color="auto" w:fill="FFFFFF" w:themeFill="background1"/>
          </w:tcPr>
          <w:p w14:paraId="085DA945" w14:textId="77777777" w:rsidR="006A362F" w:rsidRPr="001604BA"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bCs/>
              </w:rPr>
            </w:pPr>
            <w:r w:rsidRPr="001604BA">
              <w:rPr>
                <w:rFonts w:cs="Arial"/>
                <w:b/>
                <w:bCs/>
              </w:rPr>
              <w:t>575</w:t>
            </w:r>
            <w:r>
              <w:rPr>
                <w:rFonts w:cs="Arial"/>
                <w:b/>
                <w:bCs/>
              </w:rPr>
              <w:t>,</w:t>
            </w:r>
            <w:r w:rsidRPr="001604BA">
              <w:rPr>
                <w:rFonts w:cs="Arial"/>
                <w:b/>
                <w:bCs/>
              </w:rPr>
              <w:t>304</w:t>
            </w:r>
          </w:p>
        </w:tc>
      </w:tr>
    </w:tbl>
    <w:p w14:paraId="2CEBF1ED"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bookmarkEnd w:id="30"/>
    <w:bookmarkEnd w:id="31"/>
    <w:p w14:paraId="72ACE9E3" w14:textId="77777777" w:rsidR="006A362F" w:rsidRDefault="006A362F" w:rsidP="00076945">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Balance Sheet Information</w:t>
      </w:r>
    </w:p>
    <w:p w14:paraId="6E958CAB" w14:textId="77777777" w:rsidR="006A362F" w:rsidRPr="00C91A1E" w:rsidRDefault="006A362F" w:rsidP="00076945">
      <w:pPr>
        <w:pStyle w:val="01-TtulodeNota"/>
        <w:spacing w:before="0" w:after="0"/>
        <w:jc w:val="right"/>
        <w:rPr>
          <w:sz w:val="14"/>
          <w:szCs w:val="14"/>
        </w:rPr>
      </w:pPr>
      <w:r w:rsidRPr="00C91A1E">
        <w:rPr>
          <w:sz w:val="14"/>
          <w:szCs w:val="14"/>
        </w:rPr>
        <w:t xml:space="preserve">R$ </w:t>
      </w:r>
      <w:r>
        <w:rPr>
          <w:sz w:val="14"/>
          <w:szCs w:val="14"/>
        </w:rPr>
        <w:t>thousand</w:t>
      </w:r>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6A362F" w:rsidRPr="00805B55" w14:paraId="1BCB5644" w14:textId="77777777" w:rsidTr="006928A6">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4E79" w:themeColor="accent1" w:themeShade="80"/>
              <w:bottom w:val="single" w:sz="2" w:space="0" w:color="1F4E79" w:themeColor="accent1" w:themeShade="80"/>
            </w:tcBorders>
            <w:shd w:val="clear" w:color="auto" w:fill="auto"/>
            <w:vAlign w:val="center"/>
          </w:tcPr>
          <w:p w14:paraId="7A4268D7" w14:textId="77777777" w:rsidR="006A362F" w:rsidRPr="00805B55" w:rsidRDefault="006A362F" w:rsidP="006928A6">
            <w:pPr>
              <w:pStyle w:val="08-Tabelageral"/>
              <w:jc w:val="left"/>
              <w:rPr>
                <w:rFonts w:cs="Arial"/>
              </w:rPr>
            </w:pPr>
          </w:p>
        </w:tc>
        <w:tc>
          <w:tcPr>
            <w:tcW w:w="1913" w:type="dxa"/>
            <w:tcBorders>
              <w:top w:val="single" w:sz="2" w:space="0" w:color="1F4E79" w:themeColor="accent1" w:themeShade="80"/>
              <w:bottom w:val="single" w:sz="2" w:space="0" w:color="1F4E79" w:themeColor="accent1" w:themeShade="80"/>
            </w:tcBorders>
            <w:shd w:val="clear" w:color="auto" w:fill="auto"/>
            <w:vAlign w:val="center"/>
          </w:tcPr>
          <w:p w14:paraId="60BCEF86" w14:textId="77777777" w:rsidR="006A362F" w:rsidRPr="00805B55" w:rsidRDefault="006A362F" w:rsidP="006928A6">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Mar 31, 2023</w:t>
            </w:r>
          </w:p>
        </w:tc>
        <w:tc>
          <w:tcPr>
            <w:tcW w:w="1914" w:type="dxa"/>
            <w:tcBorders>
              <w:top w:val="single" w:sz="2" w:space="0" w:color="1F4E79" w:themeColor="accent1" w:themeShade="80"/>
              <w:bottom w:val="single" w:sz="2" w:space="0" w:color="1F4E79" w:themeColor="accent1" w:themeShade="80"/>
            </w:tcBorders>
            <w:shd w:val="clear" w:color="auto" w:fill="auto"/>
            <w:vAlign w:val="center"/>
          </w:tcPr>
          <w:p w14:paraId="4B3DC56A" w14:textId="77777777" w:rsidR="006A362F" w:rsidRPr="00805B55" w:rsidRDefault="006A362F" w:rsidP="006928A6">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Pr>
                <w:rFonts w:cs="Arial"/>
              </w:rPr>
              <w:t>Dez 31, 2022</w:t>
            </w:r>
          </w:p>
        </w:tc>
      </w:tr>
      <w:tr w:rsidR="006A362F" w:rsidRPr="00034627" w14:paraId="61D16057" w14:textId="77777777" w:rsidTr="006928A6">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4E79" w:themeColor="accent1" w:themeShade="80"/>
              <w:bottom w:val="nil"/>
            </w:tcBorders>
            <w:shd w:val="clear" w:color="auto" w:fill="auto"/>
            <w:vAlign w:val="center"/>
          </w:tcPr>
          <w:p w14:paraId="62B9319D" w14:textId="77777777" w:rsidR="006A362F" w:rsidRPr="00034627" w:rsidRDefault="006A362F" w:rsidP="006928A6">
            <w:pPr>
              <w:pStyle w:val="08-Tabelageral"/>
              <w:jc w:val="left"/>
              <w:rPr>
                <w:rFonts w:cs="Arial"/>
                <w:szCs w:val="14"/>
              </w:rPr>
            </w:pPr>
            <w:r>
              <w:rPr>
                <w:rFonts w:cs="Arial"/>
                <w:szCs w:val="14"/>
              </w:rPr>
              <w:t>Current Assets</w:t>
            </w:r>
          </w:p>
        </w:tc>
        <w:tc>
          <w:tcPr>
            <w:tcW w:w="1913" w:type="dxa"/>
            <w:tcBorders>
              <w:top w:val="nil"/>
              <w:left w:val="nil"/>
              <w:bottom w:val="nil"/>
              <w:right w:val="nil"/>
            </w:tcBorders>
            <w:shd w:val="clear" w:color="auto" w:fill="auto"/>
            <w:vAlign w:val="center"/>
          </w:tcPr>
          <w:p w14:paraId="75B135BD" w14:textId="77777777" w:rsidR="006A362F" w:rsidRPr="005723AE"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2,772,305</w:t>
            </w:r>
          </w:p>
        </w:tc>
        <w:tc>
          <w:tcPr>
            <w:tcW w:w="1914" w:type="dxa"/>
            <w:tcBorders>
              <w:top w:val="nil"/>
              <w:left w:val="nil"/>
              <w:bottom w:val="nil"/>
              <w:right w:val="nil"/>
            </w:tcBorders>
            <w:shd w:val="clear" w:color="auto" w:fill="auto"/>
            <w:vAlign w:val="center"/>
          </w:tcPr>
          <w:p w14:paraId="2A678E78" w14:textId="77777777" w:rsidR="006A362F" w:rsidRPr="006A4091" w:rsidRDefault="006A362F" w:rsidP="006928A6">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855E54">
              <w:rPr>
                <w:b/>
                <w:bCs/>
              </w:rPr>
              <w:t>4</w:t>
            </w:r>
            <w:r>
              <w:rPr>
                <w:b/>
                <w:bCs/>
              </w:rPr>
              <w:t>,</w:t>
            </w:r>
            <w:r w:rsidRPr="00855E54">
              <w:rPr>
                <w:b/>
                <w:bCs/>
              </w:rPr>
              <w:t>764</w:t>
            </w:r>
            <w:r>
              <w:rPr>
                <w:b/>
                <w:bCs/>
              </w:rPr>
              <w:t>,</w:t>
            </w:r>
            <w:r w:rsidRPr="00855E54">
              <w:rPr>
                <w:b/>
                <w:bCs/>
              </w:rPr>
              <w:t>890</w:t>
            </w:r>
          </w:p>
        </w:tc>
      </w:tr>
      <w:tr w:rsidR="006A362F" w:rsidRPr="00CD78B9" w14:paraId="76EA2AB4"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869E623" w14:textId="77777777" w:rsidR="006A362F" w:rsidRPr="00CD78B9" w:rsidRDefault="006A362F" w:rsidP="006928A6">
            <w:pPr>
              <w:pStyle w:val="08-Tabelageral"/>
              <w:ind w:left="113"/>
              <w:jc w:val="left"/>
              <w:rPr>
                <w:rFonts w:cs="Arial"/>
                <w:b w:val="0"/>
                <w:szCs w:val="14"/>
              </w:rPr>
            </w:pPr>
            <w:r w:rsidRPr="00875ACA">
              <w:rPr>
                <w:rFonts w:cs="Arial"/>
                <w:b w:val="0"/>
                <w:szCs w:val="14"/>
              </w:rPr>
              <w:t>Cash and cash equivalents</w:t>
            </w:r>
          </w:p>
        </w:tc>
        <w:tc>
          <w:tcPr>
            <w:tcW w:w="1913" w:type="dxa"/>
            <w:tcBorders>
              <w:top w:val="nil"/>
              <w:left w:val="nil"/>
              <w:bottom w:val="nil"/>
              <w:right w:val="nil"/>
            </w:tcBorders>
            <w:shd w:val="clear" w:color="auto" w:fill="auto"/>
            <w:vAlign w:val="center"/>
          </w:tcPr>
          <w:p w14:paraId="51AEA235" w14:textId="77777777" w:rsidR="006A362F" w:rsidRPr="009C4A59"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1,716,236</w:t>
            </w:r>
          </w:p>
        </w:tc>
        <w:tc>
          <w:tcPr>
            <w:tcW w:w="1914" w:type="dxa"/>
            <w:tcBorders>
              <w:top w:val="nil"/>
              <w:left w:val="nil"/>
              <w:bottom w:val="nil"/>
              <w:right w:val="nil"/>
            </w:tcBorders>
            <w:shd w:val="clear" w:color="auto" w:fill="auto"/>
            <w:vAlign w:val="center"/>
          </w:tcPr>
          <w:p w14:paraId="3391AEC2" w14:textId="77777777" w:rsidR="006A362F" w:rsidRPr="009C4A59"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sidRPr="00855E54">
              <w:t>3</w:t>
            </w:r>
            <w:r>
              <w:t>,</w:t>
            </w:r>
            <w:r w:rsidRPr="00855E54">
              <w:t>650</w:t>
            </w:r>
            <w:r>
              <w:t>,</w:t>
            </w:r>
            <w:r w:rsidRPr="00855E54">
              <w:t>518</w:t>
            </w:r>
          </w:p>
        </w:tc>
      </w:tr>
      <w:tr w:rsidR="006A362F" w:rsidRPr="001D6BE8" w14:paraId="36D3F71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075409E" w14:textId="77777777" w:rsidR="006A362F" w:rsidRPr="00034627" w:rsidRDefault="006A362F" w:rsidP="006928A6">
            <w:pPr>
              <w:pStyle w:val="08-Tabelageral"/>
              <w:ind w:left="113"/>
              <w:jc w:val="left"/>
              <w:rPr>
                <w:rFonts w:cs="Arial"/>
                <w:b w:val="0"/>
                <w:szCs w:val="14"/>
              </w:rPr>
            </w:pPr>
            <w:r w:rsidRPr="00E03629">
              <w:rPr>
                <w:b w:val="0"/>
              </w:rPr>
              <w:t>Commissions receivable</w:t>
            </w:r>
          </w:p>
        </w:tc>
        <w:tc>
          <w:tcPr>
            <w:tcW w:w="1913" w:type="dxa"/>
            <w:tcBorders>
              <w:top w:val="nil"/>
              <w:left w:val="nil"/>
              <w:bottom w:val="nil"/>
              <w:right w:val="nil"/>
            </w:tcBorders>
            <w:shd w:val="clear" w:color="auto" w:fill="auto"/>
            <w:vAlign w:val="center"/>
          </w:tcPr>
          <w:p w14:paraId="7D3C9F5F" w14:textId="77777777" w:rsidR="006A362F" w:rsidRPr="000A4E7B"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highlight w:val="yellow"/>
              </w:rPr>
            </w:pPr>
            <w:r>
              <w:rPr>
                <w:rFonts w:cs="Arial"/>
                <w:color w:val="000000"/>
                <w:szCs w:val="14"/>
              </w:rPr>
              <w:t>1,054,924</w:t>
            </w:r>
          </w:p>
        </w:tc>
        <w:tc>
          <w:tcPr>
            <w:tcW w:w="1914" w:type="dxa"/>
            <w:tcBorders>
              <w:top w:val="nil"/>
              <w:left w:val="nil"/>
              <w:bottom w:val="nil"/>
              <w:right w:val="nil"/>
            </w:tcBorders>
            <w:shd w:val="clear" w:color="auto" w:fill="auto"/>
            <w:vAlign w:val="center"/>
          </w:tcPr>
          <w:p w14:paraId="19BB05A3" w14:textId="77777777" w:rsidR="006A362F" w:rsidRPr="009C4A59"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sidRPr="002A17C3">
              <w:t>1</w:t>
            </w:r>
            <w:r>
              <w:t>,</w:t>
            </w:r>
            <w:r w:rsidRPr="002A17C3">
              <w:t>114</w:t>
            </w:r>
            <w:r>
              <w:t>,</w:t>
            </w:r>
            <w:r w:rsidRPr="002A17C3">
              <w:t>256</w:t>
            </w:r>
          </w:p>
        </w:tc>
      </w:tr>
      <w:tr w:rsidR="006A362F" w:rsidRPr="001D6BE8" w14:paraId="2D7A49A4"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CBADBA8" w14:textId="77777777" w:rsidR="006A362F" w:rsidRPr="00034627" w:rsidRDefault="006A362F" w:rsidP="006928A6">
            <w:pPr>
              <w:pStyle w:val="08-Tabelageral"/>
              <w:ind w:left="113"/>
              <w:jc w:val="left"/>
              <w:rPr>
                <w:rFonts w:cs="Arial"/>
                <w:b w:val="0"/>
                <w:szCs w:val="14"/>
              </w:rPr>
            </w:pPr>
            <w:r>
              <w:rPr>
                <w:rFonts w:cs="Arial"/>
                <w:b w:val="0"/>
                <w:szCs w:val="14"/>
              </w:rPr>
              <w:t>Other assets</w:t>
            </w:r>
          </w:p>
        </w:tc>
        <w:tc>
          <w:tcPr>
            <w:tcW w:w="1913" w:type="dxa"/>
            <w:tcBorders>
              <w:top w:val="nil"/>
              <w:left w:val="nil"/>
              <w:bottom w:val="nil"/>
              <w:right w:val="nil"/>
            </w:tcBorders>
            <w:shd w:val="clear" w:color="auto" w:fill="auto"/>
            <w:vAlign w:val="center"/>
          </w:tcPr>
          <w:p w14:paraId="2789C5FA" w14:textId="77777777" w:rsidR="006A362F" w:rsidRPr="009C4A59"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1,145</w:t>
            </w:r>
          </w:p>
        </w:tc>
        <w:tc>
          <w:tcPr>
            <w:tcW w:w="1914" w:type="dxa"/>
            <w:tcBorders>
              <w:top w:val="nil"/>
              <w:left w:val="nil"/>
              <w:bottom w:val="nil"/>
              <w:right w:val="nil"/>
            </w:tcBorders>
            <w:shd w:val="clear" w:color="auto" w:fill="auto"/>
            <w:vAlign w:val="center"/>
          </w:tcPr>
          <w:p w14:paraId="6B7CCABB" w14:textId="77777777" w:rsidR="006A362F" w:rsidRPr="009C4A59"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sidRPr="002A17C3">
              <w:t>116</w:t>
            </w:r>
          </w:p>
        </w:tc>
      </w:tr>
      <w:tr w:rsidR="006A362F" w:rsidRPr="00CD78B9" w14:paraId="5553012A"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767ED06" w14:textId="77777777" w:rsidR="006A362F" w:rsidRPr="00CD78B9" w:rsidRDefault="006A362F" w:rsidP="006928A6">
            <w:pPr>
              <w:pStyle w:val="08-Tabelageral"/>
              <w:jc w:val="left"/>
              <w:rPr>
                <w:rFonts w:cs="Arial"/>
                <w:szCs w:val="14"/>
              </w:rPr>
            </w:pPr>
            <w:r>
              <w:rPr>
                <w:rFonts w:cs="Arial"/>
                <w:szCs w:val="14"/>
              </w:rPr>
              <w:t>Non-Current Assets</w:t>
            </w:r>
          </w:p>
        </w:tc>
        <w:tc>
          <w:tcPr>
            <w:tcW w:w="1913" w:type="dxa"/>
            <w:tcBorders>
              <w:top w:val="nil"/>
              <w:left w:val="nil"/>
              <w:bottom w:val="nil"/>
              <w:right w:val="nil"/>
            </w:tcBorders>
            <w:shd w:val="clear" w:color="auto" w:fill="auto"/>
            <w:vAlign w:val="center"/>
          </w:tcPr>
          <w:p w14:paraId="78FCCDDA" w14:textId="77777777" w:rsidR="006A362F" w:rsidRPr="009D0AD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2,030,431</w:t>
            </w:r>
          </w:p>
        </w:tc>
        <w:tc>
          <w:tcPr>
            <w:tcW w:w="1914" w:type="dxa"/>
            <w:tcBorders>
              <w:top w:val="nil"/>
              <w:bottom w:val="nil"/>
            </w:tcBorders>
            <w:shd w:val="clear" w:color="auto" w:fill="auto"/>
            <w:vAlign w:val="center"/>
          </w:tcPr>
          <w:p w14:paraId="157219C3" w14:textId="77777777" w:rsidR="006A362F" w:rsidRPr="009D0AD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rPr>
            </w:pPr>
            <w:r w:rsidRPr="00855E54">
              <w:rPr>
                <w:rFonts w:cs="Arial"/>
                <w:b/>
                <w:szCs w:val="14"/>
              </w:rPr>
              <w:t>1</w:t>
            </w:r>
            <w:r>
              <w:rPr>
                <w:rFonts w:cs="Arial"/>
                <w:b/>
                <w:szCs w:val="14"/>
              </w:rPr>
              <w:t>,</w:t>
            </w:r>
            <w:r w:rsidRPr="00855E54">
              <w:rPr>
                <w:rFonts w:cs="Arial"/>
                <w:b/>
                <w:szCs w:val="14"/>
              </w:rPr>
              <w:t>292</w:t>
            </w:r>
            <w:r>
              <w:rPr>
                <w:rFonts w:cs="Arial"/>
                <w:b/>
                <w:szCs w:val="14"/>
              </w:rPr>
              <w:t>,</w:t>
            </w:r>
            <w:r w:rsidRPr="00855E54">
              <w:rPr>
                <w:rFonts w:cs="Arial"/>
                <w:b/>
                <w:szCs w:val="14"/>
              </w:rPr>
              <w:t>715</w:t>
            </w:r>
          </w:p>
        </w:tc>
      </w:tr>
      <w:tr w:rsidR="006A362F" w:rsidRPr="00855E54" w14:paraId="0C0129F7"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C60925B" w14:textId="77777777" w:rsidR="006A362F" w:rsidRPr="00827074" w:rsidRDefault="006A362F" w:rsidP="006928A6">
            <w:pPr>
              <w:pStyle w:val="08-Tabelageral"/>
              <w:ind w:left="113"/>
              <w:jc w:val="left"/>
              <w:rPr>
                <w:b w:val="0"/>
                <w:bCs w:val="0"/>
                <w:lang w:val="en-US"/>
              </w:rPr>
            </w:pPr>
            <w:r w:rsidRPr="00827074">
              <w:rPr>
                <w:b w:val="0"/>
                <w:bCs w:val="0"/>
                <w:lang w:val="en-US"/>
              </w:rPr>
              <w:t>Financial assets at fair value through profit or loss</w:t>
            </w:r>
          </w:p>
        </w:tc>
        <w:tc>
          <w:tcPr>
            <w:tcW w:w="1913" w:type="dxa"/>
            <w:tcBorders>
              <w:top w:val="nil"/>
              <w:left w:val="nil"/>
              <w:bottom w:val="nil"/>
              <w:right w:val="nil"/>
            </w:tcBorders>
            <w:shd w:val="clear" w:color="auto" w:fill="auto"/>
            <w:vAlign w:val="center"/>
          </w:tcPr>
          <w:p w14:paraId="4FDB8EB1" w14:textId="77777777" w:rsidR="006A362F" w:rsidRPr="00855E54"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1,007,500</w:t>
            </w:r>
          </w:p>
        </w:tc>
        <w:tc>
          <w:tcPr>
            <w:tcW w:w="1914" w:type="dxa"/>
            <w:tcBorders>
              <w:top w:val="nil"/>
              <w:bottom w:val="nil"/>
            </w:tcBorders>
            <w:shd w:val="clear" w:color="auto" w:fill="auto"/>
            <w:vAlign w:val="center"/>
          </w:tcPr>
          <w:p w14:paraId="34FDE9DA" w14:textId="77777777" w:rsidR="006A362F" w:rsidRPr="00855E54"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sidRPr="00855E54">
              <w:t>350</w:t>
            </w:r>
            <w:r>
              <w:t>,</w:t>
            </w:r>
            <w:r w:rsidRPr="00855E54">
              <w:t>217</w:t>
            </w:r>
          </w:p>
        </w:tc>
      </w:tr>
      <w:tr w:rsidR="006A362F" w:rsidRPr="005611BC" w14:paraId="7C3067A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3B38D13" w14:textId="77777777" w:rsidR="006A362F" w:rsidRPr="005611BC" w:rsidRDefault="006A362F" w:rsidP="00827074">
            <w:pPr>
              <w:pStyle w:val="08-Tabelageral"/>
              <w:ind w:left="113"/>
              <w:jc w:val="left"/>
              <w:rPr>
                <w:rFonts w:cs="Arial"/>
                <w:b w:val="0"/>
                <w:bCs w:val="0"/>
                <w:szCs w:val="14"/>
              </w:rPr>
            </w:pPr>
            <w:r w:rsidRPr="002E2354">
              <w:rPr>
                <w:b w:val="0"/>
                <w:bCs w:val="0"/>
              </w:rPr>
              <w:t>Current tax assets</w:t>
            </w:r>
          </w:p>
        </w:tc>
        <w:tc>
          <w:tcPr>
            <w:tcW w:w="1913" w:type="dxa"/>
            <w:tcBorders>
              <w:top w:val="nil"/>
              <w:left w:val="nil"/>
              <w:bottom w:val="nil"/>
              <w:right w:val="nil"/>
            </w:tcBorders>
            <w:shd w:val="clear" w:color="auto" w:fill="auto"/>
            <w:vAlign w:val="center"/>
          </w:tcPr>
          <w:p w14:paraId="3A37C90D" w14:textId="77777777" w:rsidR="006A362F" w:rsidRPr="005611BC"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5,800</w:t>
            </w:r>
          </w:p>
        </w:tc>
        <w:tc>
          <w:tcPr>
            <w:tcW w:w="1914" w:type="dxa"/>
            <w:tcBorders>
              <w:top w:val="nil"/>
              <w:left w:val="nil"/>
              <w:bottom w:val="nil"/>
              <w:right w:val="nil"/>
            </w:tcBorders>
            <w:shd w:val="clear" w:color="auto" w:fill="auto"/>
            <w:vAlign w:val="center"/>
          </w:tcPr>
          <w:p w14:paraId="0928C594" w14:textId="77777777" w:rsidR="006A362F" w:rsidRPr="005611BC"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sidRPr="002A17C3">
              <w:t>5</w:t>
            </w:r>
            <w:r>
              <w:t>,</w:t>
            </w:r>
            <w:r w:rsidRPr="002A17C3">
              <w:t>800</w:t>
            </w:r>
          </w:p>
        </w:tc>
      </w:tr>
      <w:tr w:rsidR="006A362F" w:rsidRPr="009A4C3D" w14:paraId="0048502E"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806386E" w14:textId="77777777" w:rsidR="006A362F" w:rsidRPr="009A4C3D" w:rsidRDefault="006A362F" w:rsidP="00827074">
            <w:pPr>
              <w:pStyle w:val="08-Tabelageral"/>
              <w:ind w:left="113"/>
              <w:jc w:val="left"/>
              <w:rPr>
                <w:rFonts w:cs="Arial"/>
                <w:b w:val="0"/>
                <w:szCs w:val="14"/>
              </w:rPr>
            </w:pPr>
            <w:r w:rsidRPr="00C27294">
              <w:rPr>
                <w:rFonts w:cs="Arial"/>
                <w:b w:val="0"/>
                <w:szCs w:val="14"/>
              </w:rPr>
              <w:t>Deferred tax assets</w:t>
            </w:r>
          </w:p>
        </w:tc>
        <w:tc>
          <w:tcPr>
            <w:tcW w:w="1913" w:type="dxa"/>
            <w:tcBorders>
              <w:top w:val="nil"/>
              <w:left w:val="nil"/>
              <w:bottom w:val="nil"/>
              <w:right w:val="nil"/>
            </w:tcBorders>
            <w:shd w:val="clear" w:color="auto" w:fill="auto"/>
            <w:vAlign w:val="center"/>
          </w:tcPr>
          <w:p w14:paraId="51AFB30B" w14:textId="77777777" w:rsidR="006A362F" w:rsidRPr="009C4A59" w:rsidRDefault="006A362F" w:rsidP="0082707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4,868</w:t>
            </w:r>
          </w:p>
        </w:tc>
        <w:tc>
          <w:tcPr>
            <w:tcW w:w="1914" w:type="dxa"/>
            <w:tcBorders>
              <w:top w:val="nil"/>
              <w:left w:val="nil"/>
              <w:bottom w:val="nil"/>
              <w:right w:val="nil"/>
            </w:tcBorders>
            <w:shd w:val="clear" w:color="auto" w:fill="auto"/>
            <w:vAlign w:val="center"/>
          </w:tcPr>
          <w:p w14:paraId="5C749A17" w14:textId="77777777" w:rsidR="006A362F" w:rsidRPr="009C4A59" w:rsidRDefault="006A362F" w:rsidP="00827074">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4</w:t>
            </w:r>
            <w:r>
              <w:rPr>
                <w:rFonts w:cs="Arial"/>
                <w:szCs w:val="14"/>
              </w:rPr>
              <w:t>,</w:t>
            </w:r>
            <w:r w:rsidRPr="002A17C3">
              <w:rPr>
                <w:rFonts w:cs="Arial"/>
                <w:szCs w:val="14"/>
              </w:rPr>
              <w:t>378</w:t>
            </w:r>
          </w:p>
        </w:tc>
      </w:tr>
      <w:tr w:rsidR="006A362F" w:rsidRPr="009A4C3D" w14:paraId="3489E31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138B6CC" w14:textId="77777777" w:rsidR="006A362F" w:rsidRPr="009A4C3D" w:rsidRDefault="006A362F" w:rsidP="00827074">
            <w:pPr>
              <w:pStyle w:val="08-Tabelageral"/>
              <w:ind w:left="113"/>
              <w:jc w:val="left"/>
              <w:rPr>
                <w:rFonts w:cs="Arial"/>
                <w:b w:val="0"/>
                <w:szCs w:val="14"/>
              </w:rPr>
            </w:pPr>
            <w:r w:rsidRPr="00C27294">
              <w:rPr>
                <w:rFonts w:cs="Arial"/>
                <w:b w:val="0"/>
                <w:szCs w:val="14"/>
              </w:rPr>
              <w:t>Commissions receivable</w:t>
            </w:r>
          </w:p>
        </w:tc>
        <w:tc>
          <w:tcPr>
            <w:tcW w:w="1913" w:type="dxa"/>
            <w:tcBorders>
              <w:top w:val="nil"/>
              <w:left w:val="nil"/>
              <w:bottom w:val="nil"/>
              <w:right w:val="nil"/>
            </w:tcBorders>
            <w:shd w:val="clear" w:color="auto" w:fill="auto"/>
            <w:vAlign w:val="center"/>
          </w:tcPr>
          <w:p w14:paraId="27C991E5" w14:textId="77777777" w:rsidR="006A362F" w:rsidRPr="009C4A59" w:rsidRDefault="006A362F" w:rsidP="0082707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785,876</w:t>
            </w:r>
          </w:p>
        </w:tc>
        <w:tc>
          <w:tcPr>
            <w:tcW w:w="1914" w:type="dxa"/>
            <w:tcBorders>
              <w:top w:val="nil"/>
              <w:left w:val="nil"/>
              <w:bottom w:val="nil"/>
              <w:right w:val="nil"/>
            </w:tcBorders>
            <w:shd w:val="clear" w:color="auto" w:fill="auto"/>
            <w:vAlign w:val="center"/>
          </w:tcPr>
          <w:p w14:paraId="7AEEC1B3" w14:textId="77777777" w:rsidR="006A362F" w:rsidRPr="009C4A59" w:rsidRDefault="006A362F" w:rsidP="00827074">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2A17C3">
              <w:rPr>
                <w:rFonts w:cs="Arial"/>
                <w:szCs w:val="14"/>
              </w:rPr>
              <w:t>708</w:t>
            </w:r>
            <w:r>
              <w:rPr>
                <w:rFonts w:cs="Arial"/>
                <w:szCs w:val="14"/>
              </w:rPr>
              <w:t>,</w:t>
            </w:r>
            <w:r w:rsidRPr="002A17C3">
              <w:rPr>
                <w:rFonts w:cs="Arial"/>
                <w:szCs w:val="14"/>
              </w:rPr>
              <w:t>990</w:t>
            </w:r>
          </w:p>
        </w:tc>
      </w:tr>
      <w:tr w:rsidR="006A362F" w:rsidRPr="00A96A57" w14:paraId="2985F25E"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8DACFBD" w14:textId="77777777" w:rsidR="006A362F" w:rsidRPr="00A96A57" w:rsidRDefault="006A362F" w:rsidP="00827074">
            <w:pPr>
              <w:pStyle w:val="08-Tabelageral"/>
              <w:ind w:left="113"/>
              <w:jc w:val="left"/>
              <w:rPr>
                <w:rFonts w:cs="Arial"/>
                <w:b w:val="0"/>
                <w:szCs w:val="14"/>
              </w:rPr>
            </w:pPr>
            <w:r w:rsidRPr="00C27294">
              <w:rPr>
                <w:rFonts w:cs="Arial"/>
                <w:b w:val="0"/>
                <w:szCs w:val="14"/>
              </w:rPr>
              <w:t>Investments in associates</w:t>
            </w:r>
          </w:p>
        </w:tc>
        <w:tc>
          <w:tcPr>
            <w:tcW w:w="1913" w:type="dxa"/>
            <w:tcBorders>
              <w:top w:val="nil"/>
              <w:left w:val="nil"/>
              <w:bottom w:val="nil"/>
              <w:right w:val="nil"/>
            </w:tcBorders>
            <w:shd w:val="clear" w:color="auto" w:fill="auto"/>
            <w:vAlign w:val="center"/>
          </w:tcPr>
          <w:p w14:paraId="6D605754" w14:textId="77777777" w:rsidR="006A362F" w:rsidRPr="00A96A57" w:rsidRDefault="006A362F" w:rsidP="0082707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1,597</w:t>
            </w:r>
          </w:p>
        </w:tc>
        <w:tc>
          <w:tcPr>
            <w:tcW w:w="1914" w:type="dxa"/>
            <w:tcBorders>
              <w:top w:val="nil"/>
              <w:left w:val="nil"/>
              <w:bottom w:val="nil"/>
              <w:right w:val="nil"/>
            </w:tcBorders>
            <w:shd w:val="clear" w:color="auto" w:fill="auto"/>
            <w:vAlign w:val="center"/>
          </w:tcPr>
          <w:p w14:paraId="24033145" w14:textId="77777777" w:rsidR="006A362F" w:rsidRPr="00A96A57" w:rsidRDefault="006A362F" w:rsidP="0082707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A17C3">
              <w:rPr>
                <w:rFonts w:cs="Arial"/>
                <w:szCs w:val="14"/>
              </w:rPr>
              <w:t>1</w:t>
            </w:r>
            <w:r>
              <w:rPr>
                <w:rFonts w:cs="Arial"/>
                <w:szCs w:val="14"/>
              </w:rPr>
              <w:t>,</w:t>
            </w:r>
            <w:r w:rsidRPr="002A17C3">
              <w:rPr>
                <w:rFonts w:cs="Arial"/>
                <w:szCs w:val="14"/>
              </w:rPr>
              <w:t>506</w:t>
            </w:r>
          </w:p>
        </w:tc>
      </w:tr>
      <w:tr w:rsidR="006A362F" w:rsidRPr="009A4C3D" w14:paraId="641F626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2AFD2DF" w14:textId="77777777" w:rsidR="006A362F" w:rsidRPr="009A4C3D" w:rsidRDefault="006A362F" w:rsidP="006928A6">
            <w:pPr>
              <w:pStyle w:val="08-Tabelageral"/>
              <w:ind w:left="113"/>
              <w:jc w:val="left"/>
              <w:rPr>
                <w:rFonts w:cs="Arial"/>
                <w:b w:val="0"/>
                <w:szCs w:val="14"/>
              </w:rPr>
            </w:pPr>
            <w:r>
              <w:rPr>
                <w:rFonts w:cs="Arial"/>
                <w:b w:val="0"/>
                <w:szCs w:val="14"/>
              </w:rPr>
              <w:t>Other assets</w:t>
            </w:r>
          </w:p>
        </w:tc>
        <w:tc>
          <w:tcPr>
            <w:tcW w:w="1913" w:type="dxa"/>
            <w:tcBorders>
              <w:top w:val="nil"/>
              <w:bottom w:val="nil"/>
            </w:tcBorders>
            <w:shd w:val="clear" w:color="auto" w:fill="auto"/>
            <w:vAlign w:val="center"/>
          </w:tcPr>
          <w:p w14:paraId="7E397CDD" w14:textId="77777777" w:rsidR="006A362F" w:rsidRPr="009C4A59"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1062D">
              <w:rPr>
                <w:rFonts w:cs="Arial"/>
                <w:szCs w:val="14"/>
              </w:rPr>
              <w:t>224</w:t>
            </w:r>
            <w:r>
              <w:rPr>
                <w:rFonts w:cs="Arial"/>
                <w:szCs w:val="14"/>
              </w:rPr>
              <w:t>,</w:t>
            </w:r>
            <w:r w:rsidRPr="0001062D">
              <w:rPr>
                <w:rFonts w:cs="Arial"/>
                <w:szCs w:val="14"/>
              </w:rPr>
              <w:t>79</w:t>
            </w:r>
            <w:r>
              <w:rPr>
                <w:rFonts w:cs="Arial"/>
                <w:szCs w:val="14"/>
              </w:rPr>
              <w:t>0</w:t>
            </w:r>
          </w:p>
        </w:tc>
        <w:tc>
          <w:tcPr>
            <w:tcW w:w="1914" w:type="dxa"/>
            <w:tcBorders>
              <w:top w:val="nil"/>
              <w:bottom w:val="nil"/>
            </w:tcBorders>
            <w:shd w:val="clear" w:color="auto" w:fill="auto"/>
            <w:vAlign w:val="center"/>
          </w:tcPr>
          <w:p w14:paraId="7E7831E7" w14:textId="77777777" w:rsidR="006A362F" w:rsidRPr="009C4A59"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221</w:t>
            </w:r>
            <w:r>
              <w:rPr>
                <w:rFonts w:cs="Arial"/>
                <w:szCs w:val="14"/>
              </w:rPr>
              <w:t>,</w:t>
            </w:r>
            <w:r w:rsidRPr="002A17C3">
              <w:rPr>
                <w:rFonts w:cs="Arial"/>
                <w:szCs w:val="14"/>
              </w:rPr>
              <w:t>824</w:t>
            </w:r>
          </w:p>
        </w:tc>
      </w:tr>
      <w:tr w:rsidR="006A362F" w:rsidRPr="001D6BE8" w14:paraId="5FDEF567"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30FE503" w14:textId="77777777" w:rsidR="006A362F" w:rsidRPr="00CD3714" w:rsidRDefault="006A362F" w:rsidP="006928A6">
            <w:pPr>
              <w:pStyle w:val="08-Tabelageral"/>
              <w:jc w:val="left"/>
              <w:rPr>
                <w:rFonts w:cs="Arial"/>
                <w:szCs w:val="14"/>
              </w:rPr>
            </w:pPr>
            <w:r>
              <w:rPr>
                <w:rFonts w:cs="Arial"/>
                <w:szCs w:val="14"/>
              </w:rPr>
              <w:t>Total Assets</w:t>
            </w:r>
          </w:p>
        </w:tc>
        <w:tc>
          <w:tcPr>
            <w:tcW w:w="1913" w:type="dxa"/>
            <w:tcBorders>
              <w:top w:val="nil"/>
              <w:bottom w:val="nil"/>
            </w:tcBorders>
            <w:shd w:val="clear" w:color="auto" w:fill="auto"/>
            <w:vAlign w:val="center"/>
          </w:tcPr>
          <w:p w14:paraId="33D16FC5" w14:textId="77777777" w:rsidR="006A362F" w:rsidRPr="00CD3714"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01062D">
              <w:rPr>
                <w:rFonts w:cs="Arial"/>
                <w:b/>
                <w:szCs w:val="14"/>
              </w:rPr>
              <w:t>4</w:t>
            </w:r>
            <w:r>
              <w:rPr>
                <w:rFonts w:cs="Arial"/>
                <w:b/>
                <w:szCs w:val="14"/>
              </w:rPr>
              <w:t>,</w:t>
            </w:r>
            <w:r w:rsidRPr="0001062D">
              <w:rPr>
                <w:rFonts w:cs="Arial"/>
                <w:b/>
                <w:szCs w:val="14"/>
              </w:rPr>
              <w:t>802</w:t>
            </w:r>
            <w:r>
              <w:rPr>
                <w:rFonts w:cs="Arial"/>
                <w:b/>
                <w:szCs w:val="14"/>
              </w:rPr>
              <w:t>,</w:t>
            </w:r>
            <w:r w:rsidRPr="0001062D">
              <w:rPr>
                <w:rFonts w:cs="Arial"/>
                <w:b/>
                <w:szCs w:val="14"/>
              </w:rPr>
              <w:t>736</w:t>
            </w:r>
          </w:p>
        </w:tc>
        <w:tc>
          <w:tcPr>
            <w:tcW w:w="1914" w:type="dxa"/>
            <w:tcBorders>
              <w:top w:val="nil"/>
              <w:bottom w:val="nil"/>
            </w:tcBorders>
            <w:shd w:val="clear" w:color="auto" w:fill="auto"/>
            <w:vAlign w:val="center"/>
          </w:tcPr>
          <w:p w14:paraId="04B99D94" w14:textId="77777777" w:rsidR="006A362F" w:rsidRPr="002D005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6</w:t>
            </w:r>
            <w:r>
              <w:rPr>
                <w:rFonts w:cs="Arial"/>
                <w:b/>
                <w:szCs w:val="14"/>
              </w:rPr>
              <w:t>,</w:t>
            </w:r>
            <w:r w:rsidRPr="002A17C3">
              <w:rPr>
                <w:rFonts w:cs="Arial"/>
                <w:b/>
                <w:szCs w:val="14"/>
              </w:rPr>
              <w:t>057</w:t>
            </w:r>
            <w:r>
              <w:rPr>
                <w:rFonts w:cs="Arial"/>
                <w:b/>
                <w:szCs w:val="14"/>
              </w:rPr>
              <w:t>,</w:t>
            </w:r>
            <w:r w:rsidRPr="002A17C3">
              <w:rPr>
                <w:rFonts w:cs="Arial"/>
                <w:b/>
                <w:szCs w:val="14"/>
              </w:rPr>
              <w:t>605</w:t>
            </w:r>
          </w:p>
        </w:tc>
      </w:tr>
      <w:tr w:rsidR="006A362F" w:rsidRPr="001D6BE8" w14:paraId="27EDD74C"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7796AEE" w14:textId="77777777" w:rsidR="006A362F" w:rsidRPr="0038031F" w:rsidRDefault="006A362F" w:rsidP="006928A6">
            <w:pPr>
              <w:pStyle w:val="08-Tabelageral"/>
              <w:jc w:val="left"/>
              <w:rPr>
                <w:rFonts w:cs="Arial"/>
                <w:b w:val="0"/>
                <w:color w:val="FF0000"/>
                <w:szCs w:val="14"/>
              </w:rPr>
            </w:pPr>
          </w:p>
        </w:tc>
        <w:tc>
          <w:tcPr>
            <w:tcW w:w="1913" w:type="dxa"/>
            <w:tcBorders>
              <w:top w:val="nil"/>
              <w:bottom w:val="nil"/>
            </w:tcBorders>
            <w:shd w:val="clear" w:color="auto" w:fill="auto"/>
            <w:vAlign w:val="center"/>
          </w:tcPr>
          <w:p w14:paraId="5807DF43" w14:textId="77777777" w:rsidR="006A362F" w:rsidRPr="00350BA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410CED06" w14:textId="77777777" w:rsidR="006A362F" w:rsidRPr="00CF4B29"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p>
        </w:tc>
      </w:tr>
      <w:tr w:rsidR="006A362F" w:rsidRPr="000A7F23" w14:paraId="6E80254A"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A694976" w14:textId="77777777" w:rsidR="006A362F" w:rsidRPr="000A7F23" w:rsidRDefault="006A362F" w:rsidP="006928A6">
            <w:pPr>
              <w:pStyle w:val="08-Tabelageral"/>
              <w:jc w:val="left"/>
            </w:pPr>
            <w:r>
              <w:t>Current Liabilities</w:t>
            </w:r>
          </w:p>
        </w:tc>
        <w:tc>
          <w:tcPr>
            <w:tcW w:w="1913" w:type="dxa"/>
            <w:tcBorders>
              <w:top w:val="nil"/>
              <w:left w:val="nil"/>
              <w:bottom w:val="nil"/>
              <w:right w:val="nil"/>
            </w:tcBorders>
            <w:shd w:val="clear" w:color="auto" w:fill="auto"/>
            <w:vAlign w:val="center"/>
          </w:tcPr>
          <w:p w14:paraId="64341F50" w14:textId="77777777" w:rsidR="006A362F" w:rsidRPr="002A17C3"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01062D">
              <w:rPr>
                <w:rFonts w:cs="Arial"/>
                <w:b/>
                <w:szCs w:val="14"/>
              </w:rPr>
              <w:t>2</w:t>
            </w:r>
            <w:r>
              <w:rPr>
                <w:rFonts w:cs="Arial"/>
                <w:b/>
                <w:szCs w:val="14"/>
              </w:rPr>
              <w:t>,</w:t>
            </w:r>
            <w:r w:rsidRPr="0001062D">
              <w:rPr>
                <w:rFonts w:cs="Arial"/>
                <w:b/>
                <w:szCs w:val="14"/>
              </w:rPr>
              <w:t>048</w:t>
            </w:r>
            <w:r>
              <w:rPr>
                <w:rFonts w:cs="Arial"/>
                <w:b/>
                <w:szCs w:val="14"/>
              </w:rPr>
              <w:t>,</w:t>
            </w:r>
            <w:r w:rsidRPr="0001062D">
              <w:rPr>
                <w:rFonts w:cs="Arial"/>
                <w:b/>
                <w:szCs w:val="14"/>
              </w:rPr>
              <w:t>606</w:t>
            </w:r>
          </w:p>
        </w:tc>
        <w:tc>
          <w:tcPr>
            <w:tcW w:w="1914" w:type="dxa"/>
            <w:tcBorders>
              <w:top w:val="nil"/>
              <w:left w:val="nil"/>
              <w:bottom w:val="nil"/>
              <w:right w:val="nil"/>
            </w:tcBorders>
            <w:shd w:val="clear" w:color="auto" w:fill="auto"/>
            <w:vAlign w:val="center"/>
          </w:tcPr>
          <w:p w14:paraId="3EA22C09" w14:textId="77777777" w:rsidR="006A362F" w:rsidRPr="007F6341"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bCs/>
                <w:color w:val="000000"/>
                <w:szCs w:val="14"/>
              </w:rPr>
              <w:t>4</w:t>
            </w:r>
            <w:r>
              <w:rPr>
                <w:rFonts w:cs="Arial"/>
                <w:b/>
                <w:bCs/>
                <w:color w:val="000000"/>
                <w:szCs w:val="14"/>
              </w:rPr>
              <w:t>,</w:t>
            </w:r>
            <w:r w:rsidRPr="002A17C3">
              <w:rPr>
                <w:rFonts w:cs="Arial"/>
                <w:b/>
                <w:bCs/>
                <w:color w:val="000000"/>
                <w:szCs w:val="14"/>
              </w:rPr>
              <w:t>254</w:t>
            </w:r>
            <w:r>
              <w:rPr>
                <w:rFonts w:cs="Arial"/>
                <w:b/>
                <w:bCs/>
                <w:color w:val="000000"/>
                <w:szCs w:val="14"/>
              </w:rPr>
              <w:t>,</w:t>
            </w:r>
            <w:r w:rsidRPr="002A17C3">
              <w:rPr>
                <w:rFonts w:cs="Arial"/>
                <w:b/>
                <w:bCs/>
                <w:color w:val="000000"/>
                <w:szCs w:val="14"/>
              </w:rPr>
              <w:t>929</w:t>
            </w:r>
          </w:p>
        </w:tc>
      </w:tr>
      <w:tr w:rsidR="006A362F" w:rsidRPr="001D6BE8" w14:paraId="05673D43"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52387C9" w14:textId="77777777" w:rsidR="006A362F" w:rsidRPr="0038031F" w:rsidRDefault="006A362F" w:rsidP="00827074">
            <w:pPr>
              <w:pStyle w:val="08-Tabelageral"/>
              <w:ind w:left="113"/>
              <w:jc w:val="left"/>
              <w:rPr>
                <w:b w:val="0"/>
              </w:rPr>
            </w:pPr>
            <w:r>
              <w:rPr>
                <w:b w:val="0"/>
              </w:rPr>
              <w:t>S</w:t>
            </w:r>
            <w:r w:rsidRPr="00D546E8">
              <w:rPr>
                <w:b w:val="0"/>
              </w:rPr>
              <w:t>tatutory obligation</w:t>
            </w:r>
          </w:p>
        </w:tc>
        <w:tc>
          <w:tcPr>
            <w:tcW w:w="1913" w:type="dxa"/>
            <w:tcBorders>
              <w:top w:val="nil"/>
              <w:left w:val="nil"/>
              <w:bottom w:val="nil"/>
              <w:right w:val="nil"/>
            </w:tcBorders>
            <w:shd w:val="clear" w:color="auto" w:fill="auto"/>
            <w:vAlign w:val="center"/>
          </w:tcPr>
          <w:p w14:paraId="7F1D0641" w14:textId="77777777" w:rsidR="006A362F" w:rsidRPr="002A17C3" w:rsidRDefault="006A362F" w:rsidP="0082707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914" w:type="dxa"/>
            <w:tcBorders>
              <w:top w:val="nil"/>
              <w:left w:val="nil"/>
              <w:bottom w:val="nil"/>
              <w:right w:val="nil"/>
            </w:tcBorders>
            <w:shd w:val="clear" w:color="auto" w:fill="auto"/>
            <w:vAlign w:val="center"/>
          </w:tcPr>
          <w:p w14:paraId="1785DC75" w14:textId="77777777" w:rsidR="006A362F" w:rsidRPr="00C77672"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1</w:t>
            </w:r>
            <w:r>
              <w:rPr>
                <w:rFonts w:cs="Arial"/>
                <w:color w:val="000000"/>
                <w:szCs w:val="14"/>
              </w:rPr>
              <w:t>,</w:t>
            </w:r>
            <w:r w:rsidRPr="002A17C3">
              <w:rPr>
                <w:rFonts w:cs="Arial"/>
                <w:color w:val="000000"/>
                <w:szCs w:val="14"/>
              </w:rPr>
              <w:t>522</w:t>
            </w:r>
            <w:r>
              <w:rPr>
                <w:rFonts w:cs="Arial"/>
                <w:color w:val="000000"/>
                <w:szCs w:val="14"/>
              </w:rPr>
              <w:t>,</w:t>
            </w:r>
            <w:r w:rsidRPr="002A17C3">
              <w:rPr>
                <w:rFonts w:cs="Arial"/>
                <w:color w:val="000000"/>
                <w:szCs w:val="14"/>
              </w:rPr>
              <w:t>364</w:t>
            </w:r>
          </w:p>
        </w:tc>
      </w:tr>
      <w:tr w:rsidR="006A362F" w:rsidRPr="001D6BE8" w14:paraId="69F0DC69"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4A5F520" w14:textId="77777777" w:rsidR="006A362F" w:rsidRPr="0038031F" w:rsidRDefault="006A362F" w:rsidP="00827074">
            <w:pPr>
              <w:pStyle w:val="08-Tabelageral"/>
              <w:ind w:left="113"/>
              <w:jc w:val="left"/>
              <w:rPr>
                <w:b w:val="0"/>
              </w:rPr>
            </w:pPr>
            <w:r w:rsidRPr="00C27294">
              <w:rPr>
                <w:b w:val="0"/>
              </w:rPr>
              <w:t>Contingent liabilities</w:t>
            </w:r>
          </w:p>
        </w:tc>
        <w:tc>
          <w:tcPr>
            <w:tcW w:w="1913" w:type="dxa"/>
            <w:tcBorders>
              <w:top w:val="nil"/>
              <w:left w:val="nil"/>
              <w:bottom w:val="nil"/>
              <w:right w:val="nil"/>
            </w:tcBorders>
            <w:shd w:val="clear" w:color="auto" w:fill="auto"/>
            <w:vAlign w:val="center"/>
          </w:tcPr>
          <w:p w14:paraId="4DB9B8E5" w14:textId="77777777" w:rsidR="006A362F" w:rsidRPr="002A17C3" w:rsidRDefault="006A362F" w:rsidP="0082707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6,044</w:t>
            </w:r>
          </w:p>
        </w:tc>
        <w:tc>
          <w:tcPr>
            <w:tcW w:w="1914" w:type="dxa"/>
            <w:tcBorders>
              <w:top w:val="nil"/>
              <w:left w:val="nil"/>
              <w:bottom w:val="nil"/>
              <w:right w:val="nil"/>
            </w:tcBorders>
            <w:shd w:val="clear" w:color="auto" w:fill="auto"/>
            <w:vAlign w:val="center"/>
          </w:tcPr>
          <w:p w14:paraId="68F71516" w14:textId="77777777" w:rsidR="006A362F" w:rsidRPr="00C77672" w:rsidRDefault="006A362F" w:rsidP="00827074">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4</w:t>
            </w:r>
            <w:r>
              <w:rPr>
                <w:rFonts w:cs="Arial"/>
                <w:color w:val="000000"/>
                <w:szCs w:val="14"/>
              </w:rPr>
              <w:t>,</w:t>
            </w:r>
            <w:r w:rsidRPr="002A17C3">
              <w:rPr>
                <w:rFonts w:cs="Arial"/>
                <w:color w:val="000000"/>
                <w:szCs w:val="14"/>
              </w:rPr>
              <w:t>088</w:t>
            </w:r>
          </w:p>
        </w:tc>
      </w:tr>
      <w:tr w:rsidR="006A362F" w:rsidRPr="001D6BE8" w14:paraId="2FF89FD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84485CE" w14:textId="77777777" w:rsidR="006A362F" w:rsidRPr="0038031F" w:rsidRDefault="006A362F" w:rsidP="00827074">
            <w:pPr>
              <w:pStyle w:val="08-Tabelageral"/>
              <w:ind w:left="113"/>
              <w:jc w:val="left"/>
              <w:rPr>
                <w:b w:val="0"/>
              </w:rPr>
            </w:pPr>
            <w:r w:rsidRPr="00C27294">
              <w:rPr>
                <w:b w:val="0"/>
              </w:rPr>
              <w:t>Current tax liabilities</w:t>
            </w:r>
          </w:p>
        </w:tc>
        <w:tc>
          <w:tcPr>
            <w:tcW w:w="1913" w:type="dxa"/>
            <w:tcBorders>
              <w:top w:val="nil"/>
              <w:left w:val="nil"/>
              <w:bottom w:val="nil"/>
              <w:right w:val="nil"/>
            </w:tcBorders>
            <w:shd w:val="clear" w:color="auto" w:fill="auto"/>
            <w:vAlign w:val="center"/>
          </w:tcPr>
          <w:p w14:paraId="57CE0B9F" w14:textId="77777777" w:rsidR="006A362F" w:rsidRPr="002A17C3" w:rsidRDefault="006A362F" w:rsidP="0082707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257,793</w:t>
            </w:r>
          </w:p>
        </w:tc>
        <w:tc>
          <w:tcPr>
            <w:tcW w:w="1914" w:type="dxa"/>
            <w:tcBorders>
              <w:top w:val="nil"/>
              <w:left w:val="nil"/>
              <w:bottom w:val="nil"/>
              <w:right w:val="nil"/>
            </w:tcBorders>
            <w:shd w:val="clear" w:color="auto" w:fill="auto"/>
            <w:vAlign w:val="center"/>
          </w:tcPr>
          <w:p w14:paraId="16A0C029" w14:textId="77777777" w:rsidR="006A362F" w:rsidRPr="00C77672"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893</w:t>
            </w:r>
            <w:r>
              <w:rPr>
                <w:rFonts w:cs="Arial"/>
                <w:color w:val="000000"/>
                <w:szCs w:val="14"/>
              </w:rPr>
              <w:t>,</w:t>
            </w:r>
            <w:r w:rsidRPr="002A17C3">
              <w:rPr>
                <w:rFonts w:cs="Arial"/>
                <w:color w:val="000000"/>
                <w:szCs w:val="14"/>
              </w:rPr>
              <w:t>651</w:t>
            </w:r>
          </w:p>
        </w:tc>
      </w:tr>
      <w:tr w:rsidR="006A362F" w:rsidRPr="001D6BE8" w14:paraId="09CDEE08"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019B940" w14:textId="77777777" w:rsidR="006A362F" w:rsidRPr="0038031F" w:rsidRDefault="006A362F" w:rsidP="00827074">
            <w:pPr>
              <w:pStyle w:val="08-Tabelageral"/>
              <w:ind w:left="113"/>
              <w:jc w:val="left"/>
              <w:rPr>
                <w:b w:val="0"/>
              </w:rPr>
            </w:pPr>
            <w:r w:rsidRPr="00C27294">
              <w:rPr>
                <w:b w:val="0"/>
              </w:rPr>
              <w:t>Unearned commissions</w:t>
            </w:r>
          </w:p>
        </w:tc>
        <w:tc>
          <w:tcPr>
            <w:tcW w:w="1913" w:type="dxa"/>
            <w:tcBorders>
              <w:top w:val="nil"/>
              <w:left w:val="nil"/>
              <w:bottom w:val="nil"/>
              <w:right w:val="nil"/>
            </w:tcBorders>
            <w:shd w:val="clear" w:color="auto" w:fill="auto"/>
            <w:vAlign w:val="center"/>
          </w:tcPr>
          <w:p w14:paraId="25E4AF88" w14:textId="77777777" w:rsidR="006A362F" w:rsidRPr="002A17C3" w:rsidRDefault="006A362F" w:rsidP="00827074">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1,705,334</w:t>
            </w:r>
          </w:p>
        </w:tc>
        <w:tc>
          <w:tcPr>
            <w:tcW w:w="1914" w:type="dxa"/>
            <w:tcBorders>
              <w:top w:val="nil"/>
              <w:left w:val="nil"/>
              <w:bottom w:val="nil"/>
              <w:right w:val="nil"/>
            </w:tcBorders>
            <w:shd w:val="clear" w:color="auto" w:fill="auto"/>
            <w:vAlign w:val="center"/>
          </w:tcPr>
          <w:p w14:paraId="512EC1CE" w14:textId="77777777" w:rsidR="006A362F" w:rsidRPr="00C77672" w:rsidRDefault="006A362F" w:rsidP="00827074">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color w:val="000000"/>
                <w:szCs w:val="14"/>
              </w:rPr>
              <w:t>1</w:t>
            </w:r>
            <w:r>
              <w:rPr>
                <w:rFonts w:cs="Arial"/>
                <w:color w:val="000000"/>
                <w:szCs w:val="14"/>
              </w:rPr>
              <w:t>,</w:t>
            </w:r>
            <w:r w:rsidRPr="002A17C3">
              <w:rPr>
                <w:rFonts w:cs="Arial"/>
                <w:color w:val="000000"/>
                <w:szCs w:val="14"/>
              </w:rPr>
              <w:t>760</w:t>
            </w:r>
            <w:r>
              <w:rPr>
                <w:rFonts w:cs="Arial"/>
                <w:color w:val="000000"/>
                <w:szCs w:val="14"/>
              </w:rPr>
              <w:t>,</w:t>
            </w:r>
            <w:r w:rsidRPr="002A17C3">
              <w:rPr>
                <w:rFonts w:cs="Arial"/>
                <w:color w:val="000000"/>
                <w:szCs w:val="14"/>
              </w:rPr>
              <w:t>473</w:t>
            </w:r>
          </w:p>
        </w:tc>
      </w:tr>
      <w:tr w:rsidR="006A362F" w:rsidRPr="001D6BE8" w14:paraId="20A9C6DD"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C31557D" w14:textId="77777777" w:rsidR="006A362F" w:rsidRPr="0038031F" w:rsidRDefault="006A362F" w:rsidP="00827074">
            <w:pPr>
              <w:pStyle w:val="08-Tabelageral"/>
              <w:ind w:left="113"/>
              <w:jc w:val="left"/>
              <w:rPr>
                <w:b w:val="0"/>
              </w:rPr>
            </w:pPr>
            <w:r w:rsidRPr="00C27294">
              <w:rPr>
                <w:b w:val="0"/>
              </w:rPr>
              <w:t>Other liabilities</w:t>
            </w:r>
          </w:p>
        </w:tc>
        <w:tc>
          <w:tcPr>
            <w:tcW w:w="1913" w:type="dxa"/>
            <w:tcBorders>
              <w:top w:val="nil"/>
              <w:left w:val="nil"/>
              <w:bottom w:val="nil"/>
              <w:right w:val="nil"/>
            </w:tcBorders>
            <w:shd w:val="clear" w:color="auto" w:fill="auto"/>
            <w:vAlign w:val="center"/>
          </w:tcPr>
          <w:p w14:paraId="4BA9792C" w14:textId="77777777" w:rsidR="006A362F" w:rsidRPr="002A17C3" w:rsidRDefault="006A362F" w:rsidP="0082707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79,435</w:t>
            </w:r>
          </w:p>
        </w:tc>
        <w:tc>
          <w:tcPr>
            <w:tcW w:w="1914" w:type="dxa"/>
            <w:tcBorders>
              <w:top w:val="nil"/>
              <w:left w:val="nil"/>
              <w:bottom w:val="nil"/>
              <w:right w:val="nil"/>
            </w:tcBorders>
            <w:shd w:val="clear" w:color="auto" w:fill="auto"/>
            <w:vAlign w:val="center"/>
          </w:tcPr>
          <w:p w14:paraId="3F9A61E1" w14:textId="77777777" w:rsidR="006A362F"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color w:val="000000"/>
                <w:szCs w:val="14"/>
              </w:rPr>
              <w:t>74</w:t>
            </w:r>
            <w:r>
              <w:rPr>
                <w:rFonts w:cs="Arial"/>
                <w:color w:val="000000"/>
                <w:szCs w:val="14"/>
              </w:rPr>
              <w:t>,</w:t>
            </w:r>
            <w:r w:rsidRPr="002A17C3">
              <w:rPr>
                <w:rFonts w:cs="Arial"/>
                <w:color w:val="000000"/>
                <w:szCs w:val="14"/>
              </w:rPr>
              <w:t>353</w:t>
            </w:r>
          </w:p>
        </w:tc>
      </w:tr>
      <w:tr w:rsidR="006A362F" w:rsidRPr="00D25CE5" w14:paraId="6EDCDA97"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C3EC2C2" w14:textId="77777777" w:rsidR="006A362F" w:rsidRPr="00D25CE5" w:rsidRDefault="006A362F" w:rsidP="006928A6">
            <w:pPr>
              <w:pStyle w:val="08-Tabelageral"/>
              <w:jc w:val="left"/>
            </w:pPr>
            <w:r>
              <w:t>Non-Current Liabilities</w:t>
            </w:r>
          </w:p>
        </w:tc>
        <w:tc>
          <w:tcPr>
            <w:tcW w:w="1913" w:type="dxa"/>
            <w:tcBorders>
              <w:top w:val="nil"/>
              <w:bottom w:val="nil"/>
            </w:tcBorders>
            <w:shd w:val="clear" w:color="auto" w:fill="auto"/>
            <w:vAlign w:val="center"/>
          </w:tcPr>
          <w:p w14:paraId="7EC26856" w14:textId="77777777" w:rsidR="006A362F" w:rsidRPr="00D25CE5"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01062D">
              <w:rPr>
                <w:rFonts w:cs="Arial"/>
                <w:b/>
                <w:szCs w:val="14"/>
              </w:rPr>
              <w:t>2</w:t>
            </w:r>
            <w:r>
              <w:rPr>
                <w:rFonts w:cs="Arial"/>
                <w:b/>
                <w:szCs w:val="14"/>
              </w:rPr>
              <w:t>,</w:t>
            </w:r>
            <w:r w:rsidRPr="0001062D">
              <w:rPr>
                <w:rFonts w:cs="Arial"/>
                <w:b/>
                <w:szCs w:val="14"/>
              </w:rPr>
              <w:t>040</w:t>
            </w:r>
            <w:r>
              <w:rPr>
                <w:rFonts w:cs="Arial"/>
                <w:b/>
                <w:szCs w:val="14"/>
              </w:rPr>
              <w:t>,</w:t>
            </w:r>
            <w:r w:rsidRPr="0001062D">
              <w:rPr>
                <w:rFonts w:cs="Arial"/>
                <w:b/>
                <w:szCs w:val="14"/>
              </w:rPr>
              <w:t>028</w:t>
            </w:r>
          </w:p>
        </w:tc>
        <w:tc>
          <w:tcPr>
            <w:tcW w:w="1914" w:type="dxa"/>
            <w:tcBorders>
              <w:top w:val="nil"/>
              <w:bottom w:val="nil"/>
            </w:tcBorders>
            <w:shd w:val="clear" w:color="auto" w:fill="auto"/>
            <w:vAlign w:val="center"/>
          </w:tcPr>
          <w:p w14:paraId="03299F9C" w14:textId="77777777" w:rsidR="006A362F" w:rsidRPr="002D005F"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b/>
                <w:bCs/>
              </w:rPr>
            </w:pPr>
            <w:r w:rsidRPr="002A17C3">
              <w:rPr>
                <w:rFonts w:cs="Arial"/>
                <w:b/>
                <w:szCs w:val="14"/>
              </w:rPr>
              <w:t>1</w:t>
            </w:r>
            <w:r>
              <w:rPr>
                <w:rFonts w:cs="Arial"/>
                <w:b/>
                <w:szCs w:val="14"/>
              </w:rPr>
              <w:t>,</w:t>
            </w:r>
            <w:r w:rsidRPr="002A17C3">
              <w:rPr>
                <w:rFonts w:cs="Arial"/>
                <w:b/>
                <w:szCs w:val="14"/>
              </w:rPr>
              <w:t>796</w:t>
            </w:r>
            <w:r>
              <w:rPr>
                <w:rFonts w:cs="Arial"/>
                <w:b/>
                <w:szCs w:val="14"/>
              </w:rPr>
              <w:t>,</w:t>
            </w:r>
            <w:r w:rsidRPr="002A17C3">
              <w:rPr>
                <w:rFonts w:cs="Arial"/>
                <w:b/>
                <w:szCs w:val="14"/>
              </w:rPr>
              <w:t>338</w:t>
            </w:r>
          </w:p>
        </w:tc>
      </w:tr>
      <w:tr w:rsidR="006A362F" w:rsidRPr="001D6BE8" w14:paraId="628E5805"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9BAD888" w14:textId="77777777" w:rsidR="006A362F" w:rsidRPr="0038031F" w:rsidRDefault="006A362F" w:rsidP="006928A6">
            <w:pPr>
              <w:pStyle w:val="08-Tabelageral"/>
              <w:ind w:left="113"/>
              <w:jc w:val="left"/>
              <w:rPr>
                <w:b w:val="0"/>
              </w:rPr>
            </w:pPr>
            <w:r w:rsidRPr="00402D4F">
              <w:rPr>
                <w:b w:val="0"/>
              </w:rPr>
              <w:t>Other provisions</w:t>
            </w:r>
          </w:p>
        </w:tc>
        <w:tc>
          <w:tcPr>
            <w:tcW w:w="1913" w:type="dxa"/>
            <w:tcBorders>
              <w:top w:val="nil"/>
              <w:bottom w:val="nil"/>
            </w:tcBorders>
            <w:shd w:val="clear" w:color="auto" w:fill="auto"/>
            <w:vAlign w:val="center"/>
          </w:tcPr>
          <w:p w14:paraId="0011A5C3" w14:textId="77777777" w:rsidR="006A362F" w:rsidRPr="00350BA7"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1062D">
              <w:rPr>
                <w:rFonts w:cs="Arial"/>
                <w:szCs w:val="14"/>
              </w:rPr>
              <w:t>8</w:t>
            </w:r>
            <w:r>
              <w:rPr>
                <w:rFonts w:cs="Arial"/>
                <w:szCs w:val="14"/>
              </w:rPr>
              <w:t>,</w:t>
            </w:r>
            <w:r w:rsidRPr="0001062D">
              <w:rPr>
                <w:rFonts w:cs="Arial"/>
                <w:szCs w:val="14"/>
              </w:rPr>
              <w:t>275</w:t>
            </w:r>
          </w:p>
        </w:tc>
        <w:tc>
          <w:tcPr>
            <w:tcW w:w="1914" w:type="dxa"/>
            <w:tcBorders>
              <w:top w:val="nil"/>
              <w:bottom w:val="nil"/>
            </w:tcBorders>
            <w:shd w:val="clear" w:color="auto" w:fill="auto"/>
            <w:vAlign w:val="center"/>
          </w:tcPr>
          <w:p w14:paraId="4010E0D6" w14:textId="77777777" w:rsidR="006A362F" w:rsidRPr="00DC38D1"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sidRPr="002A17C3">
              <w:rPr>
                <w:rFonts w:cs="Arial"/>
                <w:szCs w:val="14"/>
              </w:rPr>
              <w:t>8</w:t>
            </w:r>
            <w:r>
              <w:rPr>
                <w:rFonts w:cs="Arial"/>
                <w:szCs w:val="14"/>
              </w:rPr>
              <w:t>,</w:t>
            </w:r>
            <w:r w:rsidRPr="002A17C3">
              <w:rPr>
                <w:rFonts w:cs="Arial"/>
                <w:szCs w:val="14"/>
              </w:rPr>
              <w:t>791</w:t>
            </w:r>
          </w:p>
        </w:tc>
      </w:tr>
      <w:tr w:rsidR="006A362F" w:rsidRPr="001D6BE8" w14:paraId="3095A280"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9D39CF9" w14:textId="77777777" w:rsidR="006A362F" w:rsidRPr="0038031F" w:rsidRDefault="006A362F" w:rsidP="006928A6">
            <w:pPr>
              <w:pStyle w:val="08-Tabelageral"/>
              <w:ind w:left="113"/>
              <w:jc w:val="left"/>
              <w:rPr>
                <w:b w:val="0"/>
              </w:rPr>
            </w:pPr>
            <w:r w:rsidRPr="00402D4F">
              <w:rPr>
                <w:b w:val="0"/>
              </w:rPr>
              <w:t>Commissions to be appropriated</w:t>
            </w:r>
          </w:p>
        </w:tc>
        <w:tc>
          <w:tcPr>
            <w:tcW w:w="1913" w:type="dxa"/>
            <w:tcBorders>
              <w:top w:val="nil"/>
              <w:bottom w:val="nil"/>
            </w:tcBorders>
            <w:shd w:val="clear" w:color="auto" w:fill="auto"/>
            <w:vAlign w:val="center"/>
          </w:tcPr>
          <w:p w14:paraId="1639B82E" w14:textId="77777777" w:rsidR="006A362F" w:rsidRPr="00350BA7"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1062D">
              <w:rPr>
                <w:rFonts w:cs="Arial"/>
                <w:szCs w:val="14"/>
              </w:rPr>
              <w:t>2</w:t>
            </w:r>
            <w:r>
              <w:rPr>
                <w:rFonts w:cs="Arial"/>
                <w:szCs w:val="14"/>
              </w:rPr>
              <w:t>,</w:t>
            </w:r>
            <w:r w:rsidRPr="0001062D">
              <w:rPr>
                <w:rFonts w:cs="Arial"/>
                <w:szCs w:val="14"/>
              </w:rPr>
              <w:t>031</w:t>
            </w:r>
            <w:r>
              <w:rPr>
                <w:rFonts w:cs="Arial"/>
                <w:szCs w:val="14"/>
              </w:rPr>
              <w:t>,</w:t>
            </w:r>
            <w:r w:rsidRPr="0001062D">
              <w:rPr>
                <w:rFonts w:cs="Arial"/>
                <w:szCs w:val="14"/>
              </w:rPr>
              <w:t>753</w:t>
            </w:r>
          </w:p>
        </w:tc>
        <w:tc>
          <w:tcPr>
            <w:tcW w:w="1914" w:type="dxa"/>
            <w:tcBorders>
              <w:top w:val="nil"/>
              <w:bottom w:val="nil"/>
            </w:tcBorders>
            <w:shd w:val="clear" w:color="auto" w:fill="auto"/>
            <w:vAlign w:val="center"/>
          </w:tcPr>
          <w:p w14:paraId="3F5B6745" w14:textId="77777777" w:rsidR="006A362F"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sidRPr="002A17C3">
              <w:rPr>
                <w:rFonts w:cs="Arial"/>
                <w:szCs w:val="14"/>
              </w:rPr>
              <w:t>1</w:t>
            </w:r>
            <w:r>
              <w:rPr>
                <w:rFonts w:cs="Arial"/>
                <w:szCs w:val="14"/>
              </w:rPr>
              <w:t>,</w:t>
            </w:r>
            <w:r w:rsidRPr="002A17C3">
              <w:rPr>
                <w:rFonts w:cs="Arial"/>
                <w:szCs w:val="14"/>
              </w:rPr>
              <w:t>787</w:t>
            </w:r>
            <w:r>
              <w:rPr>
                <w:rFonts w:cs="Arial"/>
                <w:szCs w:val="14"/>
              </w:rPr>
              <w:t>,</w:t>
            </w:r>
            <w:r w:rsidRPr="002A17C3">
              <w:rPr>
                <w:rFonts w:cs="Arial"/>
                <w:szCs w:val="14"/>
              </w:rPr>
              <w:t>547</w:t>
            </w:r>
          </w:p>
        </w:tc>
      </w:tr>
      <w:tr w:rsidR="006A362F" w:rsidRPr="001D6BE8" w14:paraId="747FD772"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787D992" w14:textId="77777777" w:rsidR="006A362F" w:rsidRPr="00CD3714" w:rsidRDefault="006A362F" w:rsidP="006928A6">
            <w:pPr>
              <w:pStyle w:val="08-Tabelageral"/>
              <w:jc w:val="left"/>
            </w:pPr>
            <w:r>
              <w:t>Total Liabilities</w:t>
            </w:r>
          </w:p>
        </w:tc>
        <w:tc>
          <w:tcPr>
            <w:tcW w:w="1913" w:type="dxa"/>
            <w:tcBorders>
              <w:top w:val="nil"/>
              <w:bottom w:val="nil"/>
            </w:tcBorders>
            <w:shd w:val="clear" w:color="auto" w:fill="auto"/>
            <w:vAlign w:val="center"/>
          </w:tcPr>
          <w:p w14:paraId="31B2A469" w14:textId="77777777" w:rsidR="006A362F" w:rsidRPr="006128A8"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1062D">
              <w:rPr>
                <w:rFonts w:cs="Arial"/>
                <w:b/>
                <w:szCs w:val="14"/>
              </w:rPr>
              <w:t>4</w:t>
            </w:r>
            <w:r>
              <w:rPr>
                <w:rFonts w:cs="Arial"/>
                <w:b/>
                <w:szCs w:val="14"/>
              </w:rPr>
              <w:t>,</w:t>
            </w:r>
            <w:r w:rsidRPr="0001062D">
              <w:rPr>
                <w:rFonts w:cs="Arial"/>
                <w:b/>
                <w:szCs w:val="14"/>
              </w:rPr>
              <w:t>088</w:t>
            </w:r>
            <w:r>
              <w:rPr>
                <w:rFonts w:cs="Arial"/>
                <w:b/>
                <w:szCs w:val="14"/>
              </w:rPr>
              <w:t>,</w:t>
            </w:r>
            <w:r w:rsidRPr="0001062D">
              <w:rPr>
                <w:rFonts w:cs="Arial"/>
                <w:b/>
                <w:szCs w:val="14"/>
              </w:rPr>
              <w:t>634</w:t>
            </w:r>
          </w:p>
        </w:tc>
        <w:tc>
          <w:tcPr>
            <w:tcW w:w="1914" w:type="dxa"/>
            <w:tcBorders>
              <w:top w:val="nil"/>
              <w:bottom w:val="nil"/>
            </w:tcBorders>
            <w:shd w:val="clear" w:color="auto" w:fill="auto"/>
            <w:vAlign w:val="center"/>
          </w:tcPr>
          <w:p w14:paraId="2D5A190D" w14:textId="77777777" w:rsidR="006A362F" w:rsidRPr="002D005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rFonts w:cs="Arial"/>
                <w:b/>
                <w:szCs w:val="14"/>
              </w:rPr>
              <w:t>6</w:t>
            </w:r>
            <w:r>
              <w:rPr>
                <w:rFonts w:cs="Arial"/>
                <w:b/>
                <w:szCs w:val="14"/>
              </w:rPr>
              <w:t>,</w:t>
            </w:r>
            <w:r w:rsidRPr="002A17C3">
              <w:rPr>
                <w:rFonts w:cs="Arial"/>
                <w:b/>
                <w:szCs w:val="14"/>
              </w:rPr>
              <w:t>051</w:t>
            </w:r>
            <w:r>
              <w:rPr>
                <w:rFonts w:cs="Arial"/>
                <w:b/>
                <w:szCs w:val="14"/>
              </w:rPr>
              <w:t>,</w:t>
            </w:r>
            <w:r w:rsidRPr="002A17C3">
              <w:rPr>
                <w:rFonts w:cs="Arial"/>
                <w:b/>
                <w:szCs w:val="14"/>
              </w:rPr>
              <w:t>267</w:t>
            </w:r>
          </w:p>
        </w:tc>
      </w:tr>
      <w:tr w:rsidR="006A362F" w:rsidRPr="001D6BE8" w14:paraId="19F13C57"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7791471" w14:textId="77777777" w:rsidR="006A362F" w:rsidRPr="0038031F" w:rsidRDefault="006A362F" w:rsidP="006928A6">
            <w:pPr>
              <w:pStyle w:val="08-Tabelageral"/>
              <w:jc w:val="left"/>
              <w:rPr>
                <w:b w:val="0"/>
              </w:rPr>
            </w:pPr>
          </w:p>
        </w:tc>
        <w:tc>
          <w:tcPr>
            <w:tcW w:w="1913" w:type="dxa"/>
            <w:tcBorders>
              <w:top w:val="nil"/>
              <w:bottom w:val="nil"/>
            </w:tcBorders>
            <w:shd w:val="clear" w:color="auto" w:fill="auto"/>
            <w:vAlign w:val="center"/>
          </w:tcPr>
          <w:p w14:paraId="2B121FC6" w14:textId="77777777" w:rsidR="006A362F" w:rsidRPr="00350BA7"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7159B7E8" w14:textId="77777777" w:rsidR="006A362F" w:rsidRPr="00CF4B29"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p>
        </w:tc>
      </w:tr>
      <w:tr w:rsidR="006A362F" w:rsidRPr="00D25CE5" w14:paraId="193D01A4"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6A48F39" w14:textId="77777777" w:rsidR="006A362F" w:rsidRPr="00D25CE5" w:rsidRDefault="006A362F" w:rsidP="006928A6">
            <w:pPr>
              <w:pStyle w:val="08-Tabelageral"/>
              <w:jc w:val="left"/>
            </w:pPr>
            <w:r>
              <w:t>Equity</w:t>
            </w:r>
          </w:p>
        </w:tc>
        <w:tc>
          <w:tcPr>
            <w:tcW w:w="1913" w:type="dxa"/>
            <w:tcBorders>
              <w:top w:val="nil"/>
              <w:left w:val="nil"/>
              <w:bottom w:val="nil"/>
              <w:right w:val="nil"/>
            </w:tcBorders>
            <w:shd w:val="clear" w:color="auto" w:fill="auto"/>
            <w:vAlign w:val="center"/>
          </w:tcPr>
          <w:p w14:paraId="021771B3" w14:textId="77777777" w:rsidR="006A362F" w:rsidRPr="00C83FA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714,102</w:t>
            </w:r>
          </w:p>
        </w:tc>
        <w:tc>
          <w:tcPr>
            <w:tcW w:w="1914" w:type="dxa"/>
            <w:tcBorders>
              <w:top w:val="nil"/>
              <w:bottom w:val="nil"/>
            </w:tcBorders>
            <w:shd w:val="clear" w:color="auto" w:fill="auto"/>
          </w:tcPr>
          <w:p w14:paraId="58719A65" w14:textId="77777777" w:rsidR="006A362F" w:rsidRPr="00C83FA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b/>
                <w:bCs/>
              </w:rPr>
              <w:t>6</w:t>
            </w:r>
            <w:r>
              <w:rPr>
                <w:b/>
                <w:bCs/>
              </w:rPr>
              <w:t>,</w:t>
            </w:r>
            <w:r w:rsidRPr="002A17C3">
              <w:rPr>
                <w:b/>
                <w:bCs/>
              </w:rPr>
              <w:t>338</w:t>
            </w:r>
          </w:p>
        </w:tc>
      </w:tr>
      <w:tr w:rsidR="006A362F" w:rsidRPr="001D6BE8" w14:paraId="22C67913"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474BF1A" w14:textId="77777777" w:rsidR="006A362F" w:rsidRPr="0038031F" w:rsidRDefault="006A362F" w:rsidP="006928A6">
            <w:pPr>
              <w:pStyle w:val="08-Tabelageral"/>
              <w:ind w:left="113"/>
              <w:jc w:val="left"/>
              <w:rPr>
                <w:b w:val="0"/>
              </w:rPr>
            </w:pPr>
            <w:r w:rsidRPr="0038031F">
              <w:rPr>
                <w:b w:val="0"/>
              </w:rPr>
              <w:t>Capital</w:t>
            </w:r>
          </w:p>
        </w:tc>
        <w:tc>
          <w:tcPr>
            <w:tcW w:w="1913" w:type="dxa"/>
            <w:tcBorders>
              <w:top w:val="nil"/>
              <w:left w:val="nil"/>
              <w:bottom w:val="nil"/>
              <w:right w:val="nil"/>
            </w:tcBorders>
            <w:shd w:val="clear" w:color="auto" w:fill="auto"/>
            <w:vAlign w:val="center"/>
          </w:tcPr>
          <w:p w14:paraId="1DD43013" w14:textId="77777777" w:rsidR="006A362F" w:rsidRPr="009F7C7B"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1,000</w:t>
            </w:r>
          </w:p>
        </w:tc>
        <w:tc>
          <w:tcPr>
            <w:tcW w:w="1914" w:type="dxa"/>
            <w:tcBorders>
              <w:top w:val="nil"/>
              <w:bottom w:val="nil"/>
            </w:tcBorders>
            <w:shd w:val="clear" w:color="auto" w:fill="auto"/>
            <w:vAlign w:val="center"/>
          </w:tcPr>
          <w:p w14:paraId="70450465" w14:textId="77777777" w:rsidR="006A362F" w:rsidRPr="00D93BE0"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sidRPr="000F0FE4">
              <w:t>1</w:t>
            </w:r>
            <w:r>
              <w:t>,</w:t>
            </w:r>
            <w:r w:rsidRPr="000F0FE4">
              <w:t>000</w:t>
            </w:r>
          </w:p>
        </w:tc>
      </w:tr>
      <w:tr w:rsidR="006A362F" w:rsidRPr="001D6BE8" w14:paraId="67891DFF"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31F9469" w14:textId="77777777" w:rsidR="006A362F" w:rsidRPr="0038031F" w:rsidRDefault="006A362F" w:rsidP="00827074">
            <w:pPr>
              <w:pStyle w:val="08-Tabelageral"/>
              <w:ind w:left="113"/>
              <w:jc w:val="left"/>
              <w:rPr>
                <w:b w:val="0"/>
              </w:rPr>
            </w:pPr>
            <w:r w:rsidRPr="00C27294">
              <w:rPr>
                <w:b w:val="0"/>
              </w:rPr>
              <w:t>Capital reserves</w:t>
            </w:r>
          </w:p>
        </w:tc>
        <w:tc>
          <w:tcPr>
            <w:tcW w:w="1913" w:type="dxa"/>
            <w:tcBorders>
              <w:top w:val="nil"/>
              <w:left w:val="nil"/>
              <w:bottom w:val="nil"/>
              <w:right w:val="nil"/>
            </w:tcBorders>
            <w:shd w:val="clear" w:color="auto" w:fill="auto"/>
            <w:vAlign w:val="center"/>
          </w:tcPr>
          <w:p w14:paraId="5D8D570F" w14:textId="77777777" w:rsidR="006A362F" w:rsidRPr="009F7C7B"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4,975</w:t>
            </w:r>
          </w:p>
        </w:tc>
        <w:tc>
          <w:tcPr>
            <w:tcW w:w="1914" w:type="dxa"/>
            <w:tcBorders>
              <w:top w:val="nil"/>
              <w:bottom w:val="nil"/>
            </w:tcBorders>
            <w:shd w:val="clear" w:color="auto" w:fill="auto"/>
            <w:vAlign w:val="center"/>
          </w:tcPr>
          <w:p w14:paraId="1251CF44" w14:textId="77777777" w:rsidR="006A362F" w:rsidRPr="00D93BE0" w:rsidRDefault="006A362F" w:rsidP="00827074">
            <w:pPr>
              <w:pStyle w:val="08-Tabelageral"/>
              <w:cnfStyle w:val="000000100000" w:firstRow="0" w:lastRow="0" w:firstColumn="0" w:lastColumn="0" w:oddVBand="0" w:evenVBand="0" w:oddHBand="1" w:evenHBand="0" w:firstRowFirstColumn="0" w:firstRowLastColumn="0" w:lastRowFirstColumn="0" w:lastRowLastColumn="0"/>
            </w:pPr>
            <w:r w:rsidRPr="000F0FE4">
              <w:t>4</w:t>
            </w:r>
            <w:r>
              <w:t>,</w:t>
            </w:r>
            <w:r w:rsidRPr="000F0FE4">
              <w:t>975</w:t>
            </w:r>
          </w:p>
        </w:tc>
      </w:tr>
      <w:tr w:rsidR="006A362F" w:rsidRPr="001D6BE8" w14:paraId="77804BD4"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250A59E" w14:textId="77777777" w:rsidR="006A362F" w:rsidRPr="0038031F" w:rsidRDefault="006A362F" w:rsidP="00827074">
            <w:pPr>
              <w:pStyle w:val="08-Tabelageral"/>
              <w:ind w:left="113"/>
              <w:jc w:val="left"/>
              <w:rPr>
                <w:b w:val="0"/>
              </w:rPr>
            </w:pPr>
            <w:r w:rsidRPr="00C27294">
              <w:rPr>
                <w:b w:val="0"/>
              </w:rPr>
              <w:t>Income reserves</w:t>
            </w:r>
          </w:p>
        </w:tc>
        <w:tc>
          <w:tcPr>
            <w:tcW w:w="1913" w:type="dxa"/>
            <w:tcBorders>
              <w:top w:val="nil"/>
              <w:left w:val="nil"/>
              <w:bottom w:val="nil"/>
              <w:right w:val="nil"/>
            </w:tcBorders>
            <w:shd w:val="clear" w:color="auto" w:fill="auto"/>
            <w:vAlign w:val="center"/>
          </w:tcPr>
          <w:p w14:paraId="3AEE5A0B" w14:textId="77777777" w:rsidR="006A362F" w:rsidRPr="009F7C7B" w:rsidRDefault="006A362F" w:rsidP="00827074">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200</w:t>
            </w:r>
          </w:p>
        </w:tc>
        <w:tc>
          <w:tcPr>
            <w:tcW w:w="1914" w:type="dxa"/>
            <w:tcBorders>
              <w:top w:val="nil"/>
              <w:bottom w:val="nil"/>
            </w:tcBorders>
            <w:shd w:val="clear" w:color="auto" w:fill="auto"/>
            <w:vAlign w:val="center"/>
          </w:tcPr>
          <w:p w14:paraId="650121F3" w14:textId="77777777" w:rsidR="006A362F" w:rsidRPr="00D93BE0" w:rsidRDefault="006A362F" w:rsidP="00827074">
            <w:pPr>
              <w:pStyle w:val="08-Tabelageral"/>
              <w:cnfStyle w:val="000000000000" w:firstRow="0" w:lastRow="0" w:firstColumn="0" w:lastColumn="0" w:oddVBand="0" w:evenVBand="0" w:oddHBand="0" w:evenHBand="0" w:firstRowFirstColumn="0" w:firstRowLastColumn="0" w:lastRowFirstColumn="0" w:lastRowLastColumn="0"/>
            </w:pPr>
            <w:r w:rsidRPr="000F0FE4">
              <w:t>200</w:t>
            </w:r>
          </w:p>
        </w:tc>
      </w:tr>
      <w:tr w:rsidR="006A362F" w:rsidRPr="001D6BE8" w14:paraId="6F1B41D8"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FE9FB14" w14:textId="77777777" w:rsidR="006A362F" w:rsidRPr="0038031F" w:rsidRDefault="006A362F" w:rsidP="006928A6">
            <w:pPr>
              <w:pStyle w:val="08-Tabelageral"/>
              <w:ind w:left="113"/>
              <w:jc w:val="left"/>
              <w:rPr>
                <w:b w:val="0"/>
              </w:rPr>
            </w:pPr>
            <w:r>
              <w:rPr>
                <w:b w:val="0"/>
              </w:rPr>
              <w:t>Other comprehensive results</w:t>
            </w:r>
          </w:p>
        </w:tc>
        <w:tc>
          <w:tcPr>
            <w:tcW w:w="1913" w:type="dxa"/>
            <w:tcBorders>
              <w:top w:val="nil"/>
              <w:left w:val="nil"/>
              <w:bottom w:val="nil"/>
              <w:right w:val="nil"/>
            </w:tcBorders>
            <w:shd w:val="clear" w:color="auto" w:fill="auto"/>
            <w:vAlign w:val="center"/>
          </w:tcPr>
          <w:p w14:paraId="1E51F9DF" w14:textId="77777777" w:rsidR="006A362F" w:rsidRPr="009F7C7B"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216</w:t>
            </w:r>
          </w:p>
        </w:tc>
        <w:tc>
          <w:tcPr>
            <w:tcW w:w="1914" w:type="dxa"/>
            <w:tcBorders>
              <w:top w:val="nil"/>
              <w:bottom w:val="nil"/>
            </w:tcBorders>
            <w:shd w:val="clear" w:color="auto" w:fill="auto"/>
            <w:vAlign w:val="center"/>
          </w:tcPr>
          <w:p w14:paraId="49EB9E0D" w14:textId="77777777" w:rsidR="006A362F" w:rsidRDefault="006A362F" w:rsidP="006928A6">
            <w:pPr>
              <w:pStyle w:val="08-Tabelageral"/>
              <w:cnfStyle w:val="000000100000" w:firstRow="0" w:lastRow="0" w:firstColumn="0" w:lastColumn="0" w:oddVBand="0" w:evenVBand="0" w:oddHBand="1" w:evenHBand="0" w:firstRowFirstColumn="0" w:firstRowLastColumn="0" w:lastRowFirstColumn="0" w:lastRowLastColumn="0"/>
            </w:pPr>
            <w:r w:rsidRPr="000F0FE4">
              <w:t>16</w:t>
            </w:r>
            <w:r>
              <w:t>3</w:t>
            </w:r>
          </w:p>
        </w:tc>
      </w:tr>
      <w:tr w:rsidR="006A362F" w:rsidRPr="001D6BE8" w14:paraId="0598F952"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3B9F59B" w14:textId="77777777" w:rsidR="006A362F" w:rsidRPr="00DF32BE" w:rsidRDefault="006A362F" w:rsidP="006928A6">
            <w:pPr>
              <w:pStyle w:val="08-Tabelageral"/>
              <w:ind w:left="113"/>
              <w:jc w:val="left"/>
              <w:rPr>
                <w:b w:val="0"/>
                <w:bCs w:val="0"/>
              </w:rPr>
            </w:pPr>
            <w:r w:rsidRPr="00827074">
              <w:rPr>
                <w:b w:val="0"/>
                <w:bCs w:val="0"/>
              </w:rPr>
              <w:t>Retained earnings</w:t>
            </w:r>
          </w:p>
        </w:tc>
        <w:tc>
          <w:tcPr>
            <w:tcW w:w="1913" w:type="dxa"/>
            <w:tcBorders>
              <w:top w:val="nil"/>
              <w:left w:val="nil"/>
              <w:bottom w:val="nil"/>
              <w:right w:val="nil"/>
            </w:tcBorders>
            <w:shd w:val="clear" w:color="auto" w:fill="auto"/>
            <w:vAlign w:val="center"/>
          </w:tcPr>
          <w:p w14:paraId="100FF1C9" w14:textId="77777777" w:rsidR="006A362F" w:rsidRPr="009F7C7B"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707,711</w:t>
            </w:r>
          </w:p>
        </w:tc>
        <w:tc>
          <w:tcPr>
            <w:tcW w:w="1914" w:type="dxa"/>
            <w:tcBorders>
              <w:top w:val="nil"/>
              <w:bottom w:val="nil"/>
            </w:tcBorders>
            <w:shd w:val="clear" w:color="auto" w:fill="auto"/>
            <w:vAlign w:val="center"/>
          </w:tcPr>
          <w:p w14:paraId="4EBB6185" w14:textId="77777777" w:rsidR="006A362F" w:rsidRPr="000F0FE4" w:rsidRDefault="006A362F" w:rsidP="006928A6">
            <w:pPr>
              <w:pStyle w:val="08-Tabelageral"/>
              <w:cnfStyle w:val="000000000000" w:firstRow="0" w:lastRow="0" w:firstColumn="0" w:lastColumn="0" w:oddVBand="0" w:evenVBand="0" w:oddHBand="0" w:evenHBand="0" w:firstRowFirstColumn="0" w:firstRowLastColumn="0" w:lastRowFirstColumn="0" w:lastRowLastColumn="0"/>
            </w:pPr>
            <w:r>
              <w:t>--</w:t>
            </w:r>
          </w:p>
        </w:tc>
      </w:tr>
      <w:tr w:rsidR="006A362F" w:rsidRPr="002D005F" w14:paraId="250FB00E"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8A175A3" w14:textId="77777777" w:rsidR="006A362F" w:rsidRPr="0050672E" w:rsidRDefault="006A362F" w:rsidP="006928A6">
            <w:pPr>
              <w:pStyle w:val="08-Tabelageral"/>
              <w:jc w:val="left"/>
            </w:pPr>
            <w:r>
              <w:t>Total Liabilities and</w:t>
            </w:r>
            <w:r w:rsidRPr="0050672E">
              <w:t xml:space="preserve"> </w:t>
            </w:r>
            <w:r>
              <w:t>Equity</w:t>
            </w:r>
          </w:p>
        </w:tc>
        <w:tc>
          <w:tcPr>
            <w:tcW w:w="1913" w:type="dxa"/>
            <w:tcBorders>
              <w:top w:val="nil"/>
              <w:bottom w:val="nil"/>
            </w:tcBorders>
            <w:shd w:val="clear" w:color="auto" w:fill="auto"/>
            <w:vAlign w:val="center"/>
          </w:tcPr>
          <w:p w14:paraId="452AC68E" w14:textId="77777777" w:rsidR="006A362F" w:rsidRPr="0050672E"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01062D">
              <w:rPr>
                <w:rFonts w:cs="Arial"/>
                <w:b/>
                <w:szCs w:val="14"/>
              </w:rPr>
              <w:t>4</w:t>
            </w:r>
            <w:r>
              <w:rPr>
                <w:rFonts w:cs="Arial"/>
                <w:b/>
                <w:szCs w:val="14"/>
              </w:rPr>
              <w:t>,</w:t>
            </w:r>
            <w:r w:rsidRPr="0001062D">
              <w:rPr>
                <w:rFonts w:cs="Arial"/>
                <w:b/>
                <w:szCs w:val="14"/>
              </w:rPr>
              <w:t>802</w:t>
            </w:r>
            <w:r>
              <w:rPr>
                <w:rFonts w:cs="Arial"/>
                <w:b/>
                <w:szCs w:val="14"/>
              </w:rPr>
              <w:t>,</w:t>
            </w:r>
            <w:r w:rsidRPr="0001062D">
              <w:rPr>
                <w:rFonts w:cs="Arial"/>
                <w:b/>
                <w:szCs w:val="14"/>
              </w:rPr>
              <w:t>736</w:t>
            </w:r>
          </w:p>
        </w:tc>
        <w:tc>
          <w:tcPr>
            <w:tcW w:w="1914" w:type="dxa"/>
            <w:tcBorders>
              <w:top w:val="nil"/>
              <w:bottom w:val="nil"/>
            </w:tcBorders>
            <w:shd w:val="clear" w:color="auto" w:fill="auto"/>
            <w:vAlign w:val="center"/>
          </w:tcPr>
          <w:p w14:paraId="15101559" w14:textId="77777777" w:rsidR="006A362F" w:rsidRPr="002D005F"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b/>
                <w:bCs/>
              </w:rPr>
            </w:pPr>
            <w:r w:rsidRPr="002A17C3">
              <w:rPr>
                <w:rFonts w:cs="Arial"/>
                <w:b/>
                <w:szCs w:val="14"/>
              </w:rPr>
              <w:t>6</w:t>
            </w:r>
            <w:r>
              <w:rPr>
                <w:rFonts w:cs="Arial"/>
                <w:b/>
                <w:szCs w:val="14"/>
              </w:rPr>
              <w:t>,</w:t>
            </w:r>
            <w:r w:rsidRPr="002A17C3">
              <w:rPr>
                <w:rFonts w:cs="Arial"/>
                <w:b/>
                <w:szCs w:val="14"/>
              </w:rPr>
              <w:t>057</w:t>
            </w:r>
            <w:r>
              <w:rPr>
                <w:rFonts w:cs="Arial"/>
                <w:b/>
                <w:szCs w:val="14"/>
              </w:rPr>
              <w:t>,</w:t>
            </w:r>
            <w:r w:rsidRPr="002A17C3">
              <w:rPr>
                <w:rFonts w:cs="Arial"/>
                <w:b/>
                <w:szCs w:val="14"/>
              </w:rPr>
              <w:t>605</w:t>
            </w:r>
          </w:p>
        </w:tc>
      </w:tr>
      <w:tr w:rsidR="006A362F" w:rsidRPr="002D005F" w14:paraId="2932EE86" w14:textId="77777777" w:rsidTr="006928A6">
        <w:trPr>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5E1CFD1" w14:textId="77777777" w:rsidR="006A362F" w:rsidRPr="0050672E" w:rsidRDefault="006A362F" w:rsidP="006928A6">
            <w:pPr>
              <w:pStyle w:val="08-Tabelageral"/>
              <w:jc w:val="left"/>
            </w:pPr>
            <w:r>
              <w:t>Attributable to BB Seguridade</w:t>
            </w:r>
          </w:p>
        </w:tc>
        <w:tc>
          <w:tcPr>
            <w:tcW w:w="1913" w:type="dxa"/>
            <w:tcBorders>
              <w:top w:val="nil"/>
              <w:bottom w:val="nil"/>
            </w:tcBorders>
            <w:shd w:val="clear" w:color="auto" w:fill="auto"/>
            <w:vAlign w:val="center"/>
          </w:tcPr>
          <w:p w14:paraId="22EE70C0" w14:textId="77777777" w:rsidR="006A362F" w:rsidRPr="0001062D"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color w:val="000000"/>
                <w:szCs w:val="14"/>
              </w:rPr>
              <w:t>714,102</w:t>
            </w:r>
          </w:p>
        </w:tc>
        <w:tc>
          <w:tcPr>
            <w:tcW w:w="1914" w:type="dxa"/>
            <w:tcBorders>
              <w:top w:val="nil"/>
              <w:bottom w:val="nil"/>
            </w:tcBorders>
            <w:shd w:val="clear" w:color="auto" w:fill="auto"/>
          </w:tcPr>
          <w:p w14:paraId="306837D7" w14:textId="77777777" w:rsidR="006A362F" w:rsidRPr="002A17C3" w:rsidRDefault="006A362F" w:rsidP="006928A6">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sidRPr="002A17C3">
              <w:rPr>
                <w:b/>
                <w:bCs/>
              </w:rPr>
              <w:t>6</w:t>
            </w:r>
            <w:r>
              <w:rPr>
                <w:b/>
                <w:bCs/>
              </w:rPr>
              <w:t>,</w:t>
            </w:r>
            <w:r w:rsidRPr="002A17C3">
              <w:rPr>
                <w:b/>
                <w:bCs/>
              </w:rPr>
              <w:t>338</w:t>
            </w:r>
          </w:p>
        </w:tc>
      </w:tr>
      <w:tr w:rsidR="006A362F" w:rsidRPr="002D005F" w14:paraId="1161AE76" w14:textId="77777777" w:rsidTr="006928A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4E79" w:themeColor="accent1" w:themeShade="80"/>
            </w:tcBorders>
            <w:shd w:val="clear" w:color="auto" w:fill="auto"/>
            <w:vAlign w:val="center"/>
          </w:tcPr>
          <w:p w14:paraId="21F56618" w14:textId="77777777" w:rsidR="006A362F" w:rsidRPr="0050672E" w:rsidRDefault="006A362F" w:rsidP="006928A6">
            <w:pPr>
              <w:pStyle w:val="08-Tabelageral"/>
              <w:jc w:val="left"/>
            </w:pPr>
            <w:r>
              <w:t>Investment balance</w:t>
            </w:r>
          </w:p>
        </w:tc>
        <w:tc>
          <w:tcPr>
            <w:tcW w:w="1913" w:type="dxa"/>
            <w:tcBorders>
              <w:top w:val="nil"/>
              <w:bottom w:val="single" w:sz="2" w:space="0" w:color="1F4E79" w:themeColor="accent1" w:themeShade="80"/>
            </w:tcBorders>
            <w:shd w:val="clear" w:color="auto" w:fill="auto"/>
            <w:vAlign w:val="center"/>
          </w:tcPr>
          <w:p w14:paraId="5E5A7145" w14:textId="77777777" w:rsidR="006A362F" w:rsidRPr="0001062D"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714,102</w:t>
            </w:r>
          </w:p>
        </w:tc>
        <w:tc>
          <w:tcPr>
            <w:tcW w:w="1914" w:type="dxa"/>
            <w:tcBorders>
              <w:top w:val="nil"/>
              <w:bottom w:val="single" w:sz="2" w:space="0" w:color="1F4E79" w:themeColor="accent1" w:themeShade="80"/>
            </w:tcBorders>
            <w:shd w:val="clear" w:color="auto" w:fill="auto"/>
          </w:tcPr>
          <w:p w14:paraId="4EB85A01" w14:textId="77777777" w:rsidR="006A362F" w:rsidRPr="002A17C3" w:rsidRDefault="006A362F" w:rsidP="006928A6">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A17C3">
              <w:rPr>
                <w:b/>
                <w:bCs/>
              </w:rPr>
              <w:t>6</w:t>
            </w:r>
            <w:r>
              <w:rPr>
                <w:b/>
                <w:bCs/>
              </w:rPr>
              <w:t>,</w:t>
            </w:r>
            <w:r w:rsidRPr="002A17C3">
              <w:rPr>
                <w:b/>
                <w:bCs/>
              </w:rPr>
              <w:t>338</w:t>
            </w:r>
          </w:p>
        </w:tc>
      </w:tr>
      <w:bookmarkEnd w:id="29"/>
    </w:tbl>
    <w:p w14:paraId="6B6E8D07" w14:textId="77777777" w:rsidR="006A362F" w:rsidRDefault="006A362F" w:rsidP="00076945">
      <w:pPr>
        <w:spacing w:after="0" w:line="240" w:lineRule="auto"/>
        <w:rPr>
          <w:rFonts w:eastAsia="Times New Roman" w:cs="Times New Roman"/>
          <w:b/>
          <w:color w:val="1F4E79" w:themeColor="accent1" w:themeShade="80"/>
          <w:spacing w:val="-2"/>
          <w:szCs w:val="20"/>
          <w:lang w:eastAsia="pt-BR"/>
        </w:rPr>
      </w:pPr>
    </w:p>
    <w:p w14:paraId="0B252D2C" w14:textId="77777777" w:rsidR="006A362F" w:rsidRPr="00D44604" w:rsidRDefault="006A362F" w:rsidP="00076945">
      <w:pPr>
        <w:spacing w:before="120" w:after="120" w:line="240" w:lineRule="auto"/>
        <w:jc w:val="both"/>
        <w:outlineLvl w:val="1"/>
        <w:rPr>
          <w:rFonts w:eastAsia="Times New Roman" w:cs="Times New Roman"/>
          <w:b/>
          <w:color w:val="1F4E79" w:themeColor="accent1" w:themeShade="80"/>
          <w:spacing w:val="-2"/>
          <w:szCs w:val="20"/>
          <w:lang w:val="en-US" w:eastAsia="pt-BR"/>
        </w:rPr>
      </w:pPr>
    </w:p>
    <w:p w14:paraId="29E2699F" w14:textId="432BD47B" w:rsidR="00C20063" w:rsidRPr="00BA3B34" w:rsidRDefault="00C20063" w:rsidP="00DC062C">
      <w:pPr>
        <w:pStyle w:val="Ttulo1"/>
        <w:rPr>
          <w:b w:val="0"/>
        </w:rPr>
      </w:pPr>
      <w:bookmarkStart w:id="32" w:name="OLE_LINK25"/>
      <w:bookmarkStart w:id="33" w:name="_Toc134823572"/>
      <w:r>
        <w:t>8</w:t>
      </w:r>
      <w:r w:rsidRPr="00BA3B34">
        <w:t xml:space="preserve"> – </w:t>
      </w:r>
      <w:r>
        <w:t>COMMISSIONS INCOME</w:t>
      </w:r>
      <w:bookmarkEnd w:id="33"/>
    </w:p>
    <w:p w14:paraId="6DFAB3F4" w14:textId="77777777" w:rsidR="00C20063" w:rsidRPr="004C777F" w:rsidRDefault="00C20063" w:rsidP="00DC062C">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 xml:space="preserve">R$ </w:t>
      </w:r>
      <w:r>
        <w:rPr>
          <w:sz w:val="14"/>
          <w:szCs w:val="14"/>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C20063" w:rsidRPr="00A47279" w14:paraId="38ED715A" w14:textId="77777777" w:rsidTr="00DC062C">
        <w:trPr>
          <w:trHeight w:val="238"/>
        </w:trPr>
        <w:tc>
          <w:tcPr>
            <w:tcW w:w="2467" w:type="dxa"/>
            <w:tcBorders>
              <w:top w:val="single" w:sz="2" w:space="0" w:color="1F4E79" w:themeColor="accent1" w:themeShade="80"/>
              <w:bottom w:val="nil"/>
            </w:tcBorders>
            <w:shd w:val="clear" w:color="auto" w:fill="auto"/>
          </w:tcPr>
          <w:p w14:paraId="45D68483" w14:textId="77777777" w:rsidR="00C20063" w:rsidRPr="00890AEB" w:rsidRDefault="00C20063" w:rsidP="00DC062C">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234" w:type="dxa"/>
            <w:gridSpan w:val="3"/>
            <w:tcBorders>
              <w:top w:val="single" w:sz="2" w:space="0" w:color="1F4E79" w:themeColor="accent1" w:themeShade="80"/>
              <w:bottom w:val="nil"/>
            </w:tcBorders>
            <w:shd w:val="clear" w:color="auto" w:fill="auto"/>
          </w:tcPr>
          <w:p w14:paraId="51A66C95" w14:textId="77777777" w:rsidR="00C20063" w:rsidRPr="00890AEB" w:rsidRDefault="00C20063" w:rsidP="00DC062C">
            <w:pPr>
              <w:keepNext/>
              <w:keepLines/>
              <w:spacing w:before="40" w:after="40"/>
              <w:jc w:val="center"/>
              <w:rPr>
                <w:rFonts w:cs="Arial"/>
                <w:b/>
                <w:spacing w:val="-2"/>
                <w:sz w:val="14"/>
                <w:szCs w:val="14"/>
              </w:rPr>
            </w:pPr>
          </w:p>
        </w:tc>
        <w:tc>
          <w:tcPr>
            <w:tcW w:w="2784" w:type="dxa"/>
            <w:gridSpan w:val="3"/>
            <w:tcBorders>
              <w:top w:val="single" w:sz="2" w:space="0" w:color="1F4E79" w:themeColor="accent1" w:themeShade="80"/>
              <w:bottom w:val="nil"/>
            </w:tcBorders>
            <w:shd w:val="clear" w:color="auto" w:fill="auto"/>
            <w:vAlign w:val="center"/>
          </w:tcPr>
          <w:p w14:paraId="78A0658B" w14:textId="77777777" w:rsidR="00C20063" w:rsidRPr="00890AEB" w:rsidRDefault="00C20063" w:rsidP="00DC062C">
            <w:pPr>
              <w:keepNext/>
              <w:keepLines/>
              <w:spacing w:before="40" w:after="40"/>
              <w:jc w:val="center"/>
              <w:rPr>
                <w:rFonts w:cs="Arial"/>
                <w:b/>
                <w:spacing w:val="-2"/>
                <w:sz w:val="14"/>
                <w:szCs w:val="14"/>
              </w:rPr>
            </w:pPr>
          </w:p>
        </w:tc>
        <w:tc>
          <w:tcPr>
            <w:tcW w:w="239" w:type="dxa"/>
            <w:tcBorders>
              <w:top w:val="single" w:sz="2" w:space="0" w:color="1F4E79" w:themeColor="accent1" w:themeShade="80"/>
              <w:bottom w:val="nil"/>
            </w:tcBorders>
            <w:shd w:val="clear" w:color="auto" w:fill="auto"/>
            <w:vAlign w:val="center"/>
          </w:tcPr>
          <w:p w14:paraId="3C648865" w14:textId="77777777" w:rsidR="00C20063" w:rsidRPr="00A47279" w:rsidRDefault="00C20063" w:rsidP="00DC062C">
            <w:pPr>
              <w:keepNext/>
              <w:keepLines/>
              <w:spacing w:before="40" w:after="40"/>
              <w:jc w:val="right"/>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77D1711E" w14:textId="77777777" w:rsidR="00C20063" w:rsidRPr="00A47279" w:rsidRDefault="00C20063" w:rsidP="00DC062C">
            <w:pPr>
              <w:keepNext/>
              <w:keepLines/>
              <w:spacing w:before="40" w:after="40"/>
              <w:jc w:val="center"/>
              <w:rPr>
                <w:rFonts w:cs="Arial"/>
                <w:b/>
                <w:spacing w:val="-2"/>
                <w:sz w:val="14"/>
                <w:szCs w:val="14"/>
              </w:rPr>
            </w:pPr>
            <w:r w:rsidRPr="00A47279">
              <w:rPr>
                <w:rFonts w:cs="Arial"/>
                <w:b/>
                <w:spacing w:val="-2"/>
                <w:sz w:val="14"/>
                <w:szCs w:val="14"/>
              </w:rPr>
              <w:t>Consolida</w:t>
            </w:r>
            <w:r>
              <w:rPr>
                <w:rFonts w:cs="Arial"/>
                <w:b/>
                <w:spacing w:val="-2"/>
                <w:sz w:val="14"/>
                <w:szCs w:val="14"/>
              </w:rPr>
              <w:t>ted</w:t>
            </w:r>
          </w:p>
        </w:tc>
      </w:tr>
      <w:tr w:rsidR="00C20063" w:rsidRPr="00A47279" w14:paraId="0F8BFE90" w14:textId="77777777" w:rsidTr="00DC062C">
        <w:trPr>
          <w:trHeight w:val="238"/>
        </w:trPr>
        <w:tc>
          <w:tcPr>
            <w:tcW w:w="3050" w:type="dxa"/>
            <w:gridSpan w:val="2"/>
            <w:tcBorders>
              <w:top w:val="nil"/>
              <w:bottom w:val="single" w:sz="2" w:space="0" w:color="1F4E79" w:themeColor="accent1" w:themeShade="80"/>
            </w:tcBorders>
            <w:shd w:val="clear" w:color="auto" w:fill="auto"/>
          </w:tcPr>
          <w:p w14:paraId="08226171" w14:textId="77777777" w:rsidR="00C20063" w:rsidRPr="00A47279" w:rsidRDefault="00C20063" w:rsidP="00DC062C">
            <w:pPr>
              <w:keepNext/>
              <w:keepLines/>
              <w:spacing w:before="40" w:after="40"/>
              <w:rPr>
                <w:rFonts w:cs="Arial"/>
                <w:b/>
                <w:spacing w:val="-2"/>
                <w:sz w:val="14"/>
                <w:szCs w:val="14"/>
              </w:rPr>
            </w:pPr>
          </w:p>
        </w:tc>
        <w:tc>
          <w:tcPr>
            <w:tcW w:w="595" w:type="dxa"/>
            <w:tcBorders>
              <w:top w:val="nil"/>
              <w:bottom w:val="single" w:sz="2" w:space="0" w:color="1F4E79" w:themeColor="accent1" w:themeShade="80"/>
            </w:tcBorders>
            <w:shd w:val="clear" w:color="auto" w:fill="auto"/>
          </w:tcPr>
          <w:p w14:paraId="2A00D410" w14:textId="77777777" w:rsidR="00C20063" w:rsidRPr="00890AEB" w:rsidRDefault="00C20063" w:rsidP="00DC062C">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7CD44380" w14:textId="77777777" w:rsidR="00C20063" w:rsidRPr="00890AEB" w:rsidRDefault="00C20063" w:rsidP="00DC062C">
            <w:pPr>
              <w:keepNext/>
              <w:keepLines/>
              <w:spacing w:before="40" w:after="40"/>
              <w:jc w:val="right"/>
              <w:rPr>
                <w:rFonts w:cs="Arial"/>
                <w:b/>
                <w:spacing w:val="-2"/>
                <w:sz w:val="14"/>
                <w:szCs w:val="14"/>
              </w:rPr>
            </w:pPr>
          </w:p>
        </w:tc>
        <w:tc>
          <w:tcPr>
            <w:tcW w:w="1400" w:type="dxa"/>
            <w:tcBorders>
              <w:top w:val="nil"/>
              <w:bottom w:val="single" w:sz="2" w:space="0" w:color="1F4E79" w:themeColor="accent1" w:themeShade="80"/>
            </w:tcBorders>
            <w:shd w:val="clear" w:color="auto" w:fill="auto"/>
            <w:vAlign w:val="center"/>
          </w:tcPr>
          <w:p w14:paraId="762E6F98" w14:textId="77777777" w:rsidR="00C20063" w:rsidRPr="00890AEB" w:rsidRDefault="00C20063" w:rsidP="00DC062C">
            <w:pPr>
              <w:keepNext/>
              <w:keepLines/>
              <w:spacing w:before="40" w:after="40"/>
              <w:jc w:val="right"/>
              <w:rPr>
                <w:rFonts w:cs="Arial"/>
                <w:b/>
                <w:spacing w:val="-2"/>
                <w:sz w:val="14"/>
                <w:szCs w:val="14"/>
              </w:rPr>
            </w:pPr>
          </w:p>
        </w:tc>
        <w:tc>
          <w:tcPr>
            <w:tcW w:w="282" w:type="dxa"/>
            <w:gridSpan w:val="2"/>
            <w:tcBorders>
              <w:top w:val="nil"/>
              <w:bottom w:val="single" w:sz="2" w:space="0" w:color="1F4E79" w:themeColor="accent1" w:themeShade="80"/>
            </w:tcBorders>
            <w:shd w:val="clear" w:color="auto" w:fill="auto"/>
            <w:vAlign w:val="center"/>
          </w:tcPr>
          <w:p w14:paraId="6E7C2236" w14:textId="77777777" w:rsidR="00C20063" w:rsidRPr="00A47279" w:rsidRDefault="00C20063" w:rsidP="00DC062C">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2B396588" w14:textId="77777777" w:rsidR="00C20063" w:rsidRPr="00A47279" w:rsidRDefault="00C20063" w:rsidP="00DC062C">
            <w:pPr>
              <w:keepNext/>
              <w:keepLines/>
              <w:spacing w:before="40" w:after="40"/>
              <w:jc w:val="right"/>
              <w:rPr>
                <w:rFonts w:cs="Arial"/>
                <w:b/>
                <w:spacing w:val="-2"/>
                <w:sz w:val="14"/>
                <w:szCs w:val="18"/>
              </w:rPr>
            </w:pPr>
            <w:r>
              <w:rPr>
                <w:rFonts w:cs="Arial"/>
                <w:b/>
                <w:bCs/>
                <w:sz w:val="14"/>
                <w:szCs w:val="14"/>
              </w:rPr>
              <w:t>1</w:t>
            </w:r>
            <w:r>
              <w:rPr>
                <w:rFonts w:cs="Arial"/>
                <w:b/>
                <w:bCs/>
                <w:sz w:val="14"/>
                <w:szCs w:val="14"/>
                <w:vertAlign w:val="superscript"/>
              </w:rPr>
              <w:t>st</w:t>
            </w:r>
            <w:r>
              <w:rPr>
                <w:rFonts w:cs="Arial"/>
                <w:b/>
                <w:bCs/>
                <w:sz w:val="14"/>
                <w:szCs w:val="14"/>
              </w:rPr>
              <w:t xml:space="preserve"> Quarter 2023</w:t>
            </w:r>
          </w:p>
        </w:tc>
        <w:tc>
          <w:tcPr>
            <w:tcW w:w="1511" w:type="dxa"/>
            <w:tcBorders>
              <w:top w:val="single" w:sz="2" w:space="0" w:color="1F4E79" w:themeColor="accent1" w:themeShade="80"/>
              <w:bottom w:val="single" w:sz="2" w:space="0" w:color="1F4E79" w:themeColor="accent1" w:themeShade="80"/>
            </w:tcBorders>
            <w:shd w:val="clear" w:color="auto" w:fill="auto"/>
          </w:tcPr>
          <w:p w14:paraId="53F8EC3F" w14:textId="77777777" w:rsidR="00C20063" w:rsidRPr="00A47279" w:rsidRDefault="00C20063" w:rsidP="00DC062C">
            <w:pPr>
              <w:keepNext/>
              <w:keepLines/>
              <w:spacing w:before="40" w:after="40"/>
              <w:jc w:val="right"/>
              <w:rPr>
                <w:rFonts w:cs="Arial"/>
                <w:b/>
                <w:spacing w:val="-2"/>
                <w:sz w:val="14"/>
                <w:szCs w:val="18"/>
              </w:rPr>
            </w:pPr>
            <w:r>
              <w:rPr>
                <w:rFonts w:cs="Arial"/>
                <w:b/>
                <w:sz w:val="14"/>
                <w:szCs w:val="14"/>
              </w:rPr>
              <w:t>1</w:t>
            </w:r>
            <w:r>
              <w:rPr>
                <w:rFonts w:cs="Arial"/>
                <w:b/>
                <w:sz w:val="14"/>
                <w:szCs w:val="14"/>
                <w:vertAlign w:val="superscript"/>
              </w:rPr>
              <w:t>st</w:t>
            </w:r>
            <w:r>
              <w:rPr>
                <w:rFonts w:cs="Arial"/>
                <w:b/>
                <w:sz w:val="14"/>
                <w:szCs w:val="14"/>
              </w:rPr>
              <w:t xml:space="preserve"> Quarter 2022</w:t>
            </w:r>
          </w:p>
        </w:tc>
      </w:tr>
      <w:tr w:rsidR="00C20063" w:rsidRPr="00A47279" w14:paraId="462A8154" w14:textId="77777777" w:rsidTr="00DC062C">
        <w:trPr>
          <w:trHeight w:val="238"/>
        </w:trPr>
        <w:tc>
          <w:tcPr>
            <w:tcW w:w="3050" w:type="dxa"/>
            <w:gridSpan w:val="2"/>
            <w:tcBorders>
              <w:top w:val="single" w:sz="2" w:space="0" w:color="1F4E79" w:themeColor="accent1" w:themeShade="80"/>
              <w:bottom w:val="nil"/>
            </w:tcBorders>
            <w:shd w:val="clear" w:color="auto" w:fill="auto"/>
            <w:vAlign w:val="center"/>
          </w:tcPr>
          <w:p w14:paraId="08B18D58" w14:textId="77777777" w:rsidR="00C20063" w:rsidRPr="00945E16" w:rsidRDefault="00C20063" w:rsidP="00DC062C">
            <w:pPr>
              <w:pStyle w:val="08-Tabelageral"/>
              <w:jc w:val="left"/>
              <w:rPr>
                <w:rFonts w:cs="Arial"/>
                <w:b/>
                <w:bCs/>
                <w:szCs w:val="14"/>
                <w:vertAlign w:val="superscript"/>
              </w:rPr>
            </w:pPr>
            <w:r w:rsidRPr="00945E16">
              <w:rPr>
                <w:b/>
                <w:bCs/>
              </w:rPr>
              <w:t>Gross commission income</w:t>
            </w:r>
          </w:p>
        </w:tc>
        <w:tc>
          <w:tcPr>
            <w:tcW w:w="595" w:type="dxa"/>
            <w:tcBorders>
              <w:top w:val="single" w:sz="2" w:space="0" w:color="1F4E79" w:themeColor="accent1" w:themeShade="80"/>
              <w:bottom w:val="nil"/>
            </w:tcBorders>
            <w:shd w:val="clear" w:color="auto" w:fill="auto"/>
          </w:tcPr>
          <w:p w14:paraId="1E8810D5" w14:textId="77777777" w:rsidR="00C20063" w:rsidRPr="00890AEB" w:rsidRDefault="00C20063" w:rsidP="00DC062C">
            <w:pPr>
              <w:pStyle w:val="08-Tabelageral"/>
              <w:rPr>
                <w:rFonts w:cs="Arial"/>
                <w:bCs/>
                <w:szCs w:val="14"/>
              </w:rPr>
            </w:pPr>
          </w:p>
        </w:tc>
        <w:tc>
          <w:tcPr>
            <w:tcW w:w="1397" w:type="dxa"/>
            <w:gridSpan w:val="2"/>
            <w:tcBorders>
              <w:top w:val="single" w:sz="2" w:space="0" w:color="1F4E79" w:themeColor="accent1" w:themeShade="80"/>
              <w:bottom w:val="nil"/>
            </w:tcBorders>
            <w:shd w:val="clear" w:color="auto" w:fill="auto"/>
            <w:vAlign w:val="center"/>
          </w:tcPr>
          <w:p w14:paraId="64FA8721" w14:textId="77777777" w:rsidR="00C20063" w:rsidRPr="00496EA7" w:rsidRDefault="00C20063" w:rsidP="00DC062C">
            <w:pPr>
              <w:pStyle w:val="08-Tabelageral"/>
              <w:rPr>
                <w:rFonts w:cs="Arial"/>
              </w:rPr>
            </w:pPr>
          </w:p>
        </w:tc>
        <w:tc>
          <w:tcPr>
            <w:tcW w:w="1400" w:type="dxa"/>
            <w:tcBorders>
              <w:top w:val="single" w:sz="2" w:space="0" w:color="1F4E79" w:themeColor="accent1" w:themeShade="80"/>
              <w:bottom w:val="nil"/>
            </w:tcBorders>
            <w:shd w:val="clear" w:color="auto" w:fill="auto"/>
            <w:vAlign w:val="center"/>
          </w:tcPr>
          <w:p w14:paraId="7A1EEF53" w14:textId="77777777" w:rsidR="00C20063" w:rsidRPr="00496EA7" w:rsidRDefault="00C20063" w:rsidP="00DC062C">
            <w:pPr>
              <w:pStyle w:val="08-Tabelageral"/>
              <w:rPr>
                <w:rFonts w:cs="Arial"/>
              </w:rPr>
            </w:pPr>
          </w:p>
        </w:tc>
        <w:tc>
          <w:tcPr>
            <w:tcW w:w="282" w:type="dxa"/>
            <w:gridSpan w:val="2"/>
            <w:tcBorders>
              <w:top w:val="single" w:sz="2" w:space="0" w:color="1F4E79" w:themeColor="accent1" w:themeShade="80"/>
              <w:bottom w:val="nil"/>
            </w:tcBorders>
            <w:shd w:val="clear" w:color="auto" w:fill="auto"/>
            <w:vAlign w:val="center"/>
          </w:tcPr>
          <w:p w14:paraId="0FD04A67" w14:textId="77777777" w:rsidR="00C20063" w:rsidRPr="00496EA7" w:rsidRDefault="00C20063" w:rsidP="00DC062C">
            <w:pPr>
              <w:pStyle w:val="08-Tabelageral"/>
              <w:rPr>
                <w:rFonts w:cs="Arial"/>
              </w:rPr>
            </w:pPr>
          </w:p>
        </w:tc>
        <w:tc>
          <w:tcPr>
            <w:tcW w:w="1404" w:type="dxa"/>
            <w:tcBorders>
              <w:top w:val="single" w:sz="2" w:space="0" w:color="1F4E79" w:themeColor="accent1" w:themeShade="80"/>
              <w:bottom w:val="nil"/>
            </w:tcBorders>
            <w:shd w:val="clear" w:color="auto" w:fill="auto"/>
          </w:tcPr>
          <w:p w14:paraId="44C2FFA6" w14:textId="77777777" w:rsidR="00C20063" w:rsidRPr="002857F3" w:rsidRDefault="00C20063" w:rsidP="00DC062C">
            <w:pPr>
              <w:pStyle w:val="08-Tabelageral"/>
              <w:rPr>
                <w:rFonts w:cs="Arial"/>
                <w:b/>
                <w:bCs/>
              </w:rPr>
            </w:pPr>
            <w:r>
              <w:rPr>
                <w:rFonts w:cs="Arial"/>
                <w:b/>
                <w:bCs/>
              </w:rPr>
              <w:t>1,207,177</w:t>
            </w:r>
          </w:p>
        </w:tc>
        <w:tc>
          <w:tcPr>
            <w:tcW w:w="1511" w:type="dxa"/>
            <w:tcBorders>
              <w:top w:val="single" w:sz="2" w:space="0" w:color="1F4E79" w:themeColor="accent1" w:themeShade="80"/>
              <w:bottom w:val="nil"/>
            </w:tcBorders>
            <w:shd w:val="clear" w:color="auto" w:fill="auto"/>
          </w:tcPr>
          <w:p w14:paraId="07D65FEB" w14:textId="77777777" w:rsidR="00C20063" w:rsidRPr="00496EA7" w:rsidRDefault="00C20063" w:rsidP="00DC062C">
            <w:pPr>
              <w:pStyle w:val="08-Tabelageral"/>
              <w:rPr>
                <w:rFonts w:cs="Arial"/>
              </w:rPr>
            </w:pPr>
            <w:r>
              <w:rPr>
                <w:rFonts w:cs="Arial"/>
                <w:b/>
                <w:bCs/>
              </w:rPr>
              <w:t>1,025,027</w:t>
            </w:r>
          </w:p>
        </w:tc>
      </w:tr>
      <w:tr w:rsidR="00C20063" w:rsidRPr="00A47279" w14:paraId="11335556" w14:textId="77777777" w:rsidTr="00DC062C">
        <w:trPr>
          <w:trHeight w:val="238"/>
        </w:trPr>
        <w:tc>
          <w:tcPr>
            <w:tcW w:w="3050" w:type="dxa"/>
            <w:gridSpan w:val="2"/>
            <w:tcBorders>
              <w:top w:val="nil"/>
              <w:bottom w:val="nil"/>
            </w:tcBorders>
            <w:shd w:val="clear" w:color="auto" w:fill="auto"/>
            <w:vAlign w:val="center"/>
          </w:tcPr>
          <w:p w14:paraId="67B04DE1" w14:textId="77777777" w:rsidR="00C20063" w:rsidRPr="00A47279" w:rsidRDefault="00C20063" w:rsidP="00DC062C">
            <w:pPr>
              <w:pStyle w:val="08-Tabelageral"/>
              <w:ind w:left="113"/>
              <w:jc w:val="left"/>
              <w:rPr>
                <w:rFonts w:cs="Arial"/>
                <w:szCs w:val="14"/>
              </w:rPr>
            </w:pPr>
            <w:r w:rsidRPr="00BC5A4F">
              <w:t>BB M</w:t>
            </w:r>
            <w:r>
              <w:t>APFRE</w:t>
            </w:r>
          </w:p>
        </w:tc>
        <w:tc>
          <w:tcPr>
            <w:tcW w:w="595" w:type="dxa"/>
            <w:tcBorders>
              <w:top w:val="nil"/>
            </w:tcBorders>
            <w:shd w:val="clear" w:color="auto" w:fill="auto"/>
          </w:tcPr>
          <w:p w14:paraId="71A88CD3"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vAlign w:val="center"/>
          </w:tcPr>
          <w:p w14:paraId="6A2F5D8E" w14:textId="77777777" w:rsidR="00C20063" w:rsidRPr="00496EA7" w:rsidRDefault="00C20063" w:rsidP="00DC062C">
            <w:pPr>
              <w:pStyle w:val="08-Tabelageral"/>
              <w:rPr>
                <w:rFonts w:cs="Arial"/>
              </w:rPr>
            </w:pPr>
          </w:p>
        </w:tc>
        <w:tc>
          <w:tcPr>
            <w:tcW w:w="1400" w:type="dxa"/>
            <w:tcBorders>
              <w:top w:val="nil"/>
              <w:bottom w:val="nil"/>
            </w:tcBorders>
            <w:shd w:val="clear" w:color="auto" w:fill="auto"/>
            <w:vAlign w:val="center"/>
          </w:tcPr>
          <w:p w14:paraId="362507CC"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45A8F693"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7E083A98" w14:textId="77777777" w:rsidR="00C20063" w:rsidRPr="00496EA7" w:rsidRDefault="00C20063" w:rsidP="00DC062C">
            <w:pPr>
              <w:pStyle w:val="08-Tabelageral"/>
              <w:rPr>
                <w:rFonts w:cs="Arial"/>
              </w:rPr>
            </w:pPr>
            <w:r>
              <w:rPr>
                <w:rFonts w:cs="Arial"/>
              </w:rPr>
              <w:t>907,151</w:t>
            </w:r>
          </w:p>
        </w:tc>
        <w:tc>
          <w:tcPr>
            <w:tcW w:w="1511" w:type="dxa"/>
            <w:tcBorders>
              <w:top w:val="nil"/>
              <w:bottom w:val="nil"/>
            </w:tcBorders>
            <w:shd w:val="clear" w:color="auto" w:fill="auto"/>
          </w:tcPr>
          <w:p w14:paraId="1CBCC737" w14:textId="77777777" w:rsidR="00C20063" w:rsidRPr="00496EA7" w:rsidRDefault="00C20063" w:rsidP="00DC062C">
            <w:pPr>
              <w:pStyle w:val="08-Tabelageral"/>
              <w:rPr>
                <w:rFonts w:cs="Arial"/>
              </w:rPr>
            </w:pPr>
            <w:r>
              <w:rPr>
                <w:rFonts w:cs="Arial"/>
              </w:rPr>
              <w:t>730,813</w:t>
            </w:r>
          </w:p>
        </w:tc>
      </w:tr>
      <w:tr w:rsidR="00C20063" w:rsidRPr="00A47279" w14:paraId="0AD3C9CC" w14:textId="77777777" w:rsidTr="00DC062C">
        <w:trPr>
          <w:trHeight w:val="238"/>
        </w:trPr>
        <w:tc>
          <w:tcPr>
            <w:tcW w:w="3050" w:type="dxa"/>
            <w:gridSpan w:val="2"/>
            <w:tcBorders>
              <w:top w:val="nil"/>
              <w:bottom w:val="nil"/>
            </w:tcBorders>
            <w:shd w:val="clear" w:color="auto" w:fill="auto"/>
            <w:vAlign w:val="center"/>
          </w:tcPr>
          <w:p w14:paraId="795D7B3D" w14:textId="77777777" w:rsidR="00C20063" w:rsidRPr="00A47279" w:rsidRDefault="00C20063" w:rsidP="00DC062C">
            <w:pPr>
              <w:pStyle w:val="08-Tabelageral"/>
              <w:ind w:left="113"/>
              <w:jc w:val="left"/>
              <w:rPr>
                <w:rFonts w:cs="Arial"/>
                <w:szCs w:val="14"/>
              </w:rPr>
            </w:pPr>
            <w:r w:rsidRPr="00BC5A4F">
              <w:t>Brasilprev</w:t>
            </w:r>
          </w:p>
        </w:tc>
        <w:tc>
          <w:tcPr>
            <w:tcW w:w="595" w:type="dxa"/>
            <w:tcBorders>
              <w:top w:val="nil"/>
            </w:tcBorders>
            <w:shd w:val="clear" w:color="auto" w:fill="auto"/>
          </w:tcPr>
          <w:p w14:paraId="124DB971"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vAlign w:val="center"/>
          </w:tcPr>
          <w:p w14:paraId="4ACFD547" w14:textId="77777777" w:rsidR="00C20063" w:rsidRPr="00496EA7" w:rsidRDefault="00C20063" w:rsidP="00DC062C">
            <w:pPr>
              <w:pStyle w:val="08-Tabelageral"/>
              <w:rPr>
                <w:rFonts w:cs="Arial"/>
              </w:rPr>
            </w:pPr>
          </w:p>
        </w:tc>
        <w:tc>
          <w:tcPr>
            <w:tcW w:w="1400" w:type="dxa"/>
            <w:tcBorders>
              <w:top w:val="nil"/>
              <w:bottom w:val="nil"/>
            </w:tcBorders>
            <w:shd w:val="clear" w:color="auto" w:fill="auto"/>
            <w:vAlign w:val="center"/>
          </w:tcPr>
          <w:p w14:paraId="2235EB99"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099C0827"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41F18327" w14:textId="77777777" w:rsidR="00C20063" w:rsidRPr="00496EA7" w:rsidRDefault="00C20063" w:rsidP="00DC062C">
            <w:pPr>
              <w:pStyle w:val="08-Tabelageral"/>
              <w:rPr>
                <w:rFonts w:cs="Arial"/>
              </w:rPr>
            </w:pPr>
            <w:r>
              <w:rPr>
                <w:rFonts w:cs="Arial"/>
              </w:rPr>
              <w:t>152,915</w:t>
            </w:r>
          </w:p>
        </w:tc>
        <w:tc>
          <w:tcPr>
            <w:tcW w:w="1511" w:type="dxa"/>
            <w:tcBorders>
              <w:top w:val="nil"/>
              <w:bottom w:val="nil"/>
            </w:tcBorders>
            <w:shd w:val="clear" w:color="auto" w:fill="auto"/>
          </w:tcPr>
          <w:p w14:paraId="694157D7" w14:textId="77777777" w:rsidR="00C20063" w:rsidRPr="00496EA7" w:rsidRDefault="00C20063" w:rsidP="00DC062C">
            <w:pPr>
              <w:pStyle w:val="08-Tabelageral"/>
              <w:rPr>
                <w:rFonts w:cs="Arial"/>
              </w:rPr>
            </w:pPr>
            <w:r>
              <w:rPr>
                <w:rFonts w:cs="Arial"/>
              </w:rPr>
              <w:t>149,648</w:t>
            </w:r>
          </w:p>
        </w:tc>
      </w:tr>
      <w:tr w:rsidR="00C20063" w:rsidRPr="00A47279" w14:paraId="79BAD698" w14:textId="77777777" w:rsidTr="00DC062C">
        <w:trPr>
          <w:trHeight w:val="238"/>
        </w:trPr>
        <w:tc>
          <w:tcPr>
            <w:tcW w:w="3050" w:type="dxa"/>
            <w:gridSpan w:val="2"/>
            <w:tcBorders>
              <w:top w:val="nil"/>
              <w:bottom w:val="nil"/>
            </w:tcBorders>
            <w:shd w:val="clear" w:color="auto" w:fill="auto"/>
            <w:vAlign w:val="center"/>
          </w:tcPr>
          <w:p w14:paraId="79F13FCB" w14:textId="77777777" w:rsidR="00C20063" w:rsidRPr="00A47279" w:rsidRDefault="00C20063" w:rsidP="00DC062C">
            <w:pPr>
              <w:pStyle w:val="08-Tabelageral"/>
              <w:ind w:left="113"/>
              <w:jc w:val="left"/>
              <w:rPr>
                <w:rFonts w:cs="Arial"/>
                <w:szCs w:val="14"/>
              </w:rPr>
            </w:pPr>
            <w:r>
              <w:rPr>
                <w:rFonts w:cs="Arial"/>
                <w:szCs w:val="14"/>
              </w:rPr>
              <w:t>Brasilcap</w:t>
            </w:r>
          </w:p>
        </w:tc>
        <w:tc>
          <w:tcPr>
            <w:tcW w:w="595" w:type="dxa"/>
            <w:tcBorders>
              <w:top w:val="nil"/>
            </w:tcBorders>
            <w:shd w:val="clear" w:color="auto" w:fill="auto"/>
          </w:tcPr>
          <w:p w14:paraId="372940CA"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tcPr>
          <w:p w14:paraId="44A74A8B" w14:textId="77777777" w:rsidR="00C20063" w:rsidRPr="00496EA7" w:rsidRDefault="00C20063" w:rsidP="00DC062C">
            <w:pPr>
              <w:pStyle w:val="08-Tabelageral"/>
              <w:rPr>
                <w:rFonts w:cs="Arial"/>
              </w:rPr>
            </w:pPr>
          </w:p>
        </w:tc>
        <w:tc>
          <w:tcPr>
            <w:tcW w:w="1400" w:type="dxa"/>
            <w:tcBorders>
              <w:top w:val="nil"/>
              <w:bottom w:val="nil"/>
            </w:tcBorders>
            <w:shd w:val="clear" w:color="auto" w:fill="auto"/>
          </w:tcPr>
          <w:p w14:paraId="60E38312"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13283BCF"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098B27C1" w14:textId="77777777" w:rsidR="00C20063" w:rsidRPr="00496EA7" w:rsidRDefault="00C20063" w:rsidP="00DC062C">
            <w:pPr>
              <w:pStyle w:val="08-Tabelageral"/>
              <w:rPr>
                <w:rFonts w:cs="Arial"/>
              </w:rPr>
            </w:pPr>
            <w:r>
              <w:rPr>
                <w:rFonts w:cs="Arial"/>
              </w:rPr>
              <w:t>103,163</w:t>
            </w:r>
          </w:p>
        </w:tc>
        <w:tc>
          <w:tcPr>
            <w:tcW w:w="1511" w:type="dxa"/>
            <w:tcBorders>
              <w:top w:val="nil"/>
              <w:bottom w:val="nil"/>
            </w:tcBorders>
            <w:shd w:val="clear" w:color="auto" w:fill="auto"/>
          </w:tcPr>
          <w:p w14:paraId="3A80C964" w14:textId="77777777" w:rsidR="00C20063" w:rsidRPr="00496EA7" w:rsidRDefault="00C20063" w:rsidP="00DC062C">
            <w:pPr>
              <w:pStyle w:val="08-Tabelageral"/>
              <w:rPr>
                <w:rFonts w:cs="Arial"/>
              </w:rPr>
            </w:pPr>
            <w:r>
              <w:rPr>
                <w:rFonts w:cs="Arial"/>
              </w:rPr>
              <w:t>106,914</w:t>
            </w:r>
          </w:p>
        </w:tc>
      </w:tr>
      <w:tr w:rsidR="00C20063" w:rsidRPr="00A47279" w14:paraId="3962C0D3" w14:textId="77777777" w:rsidTr="00DC062C">
        <w:trPr>
          <w:trHeight w:val="238"/>
        </w:trPr>
        <w:tc>
          <w:tcPr>
            <w:tcW w:w="3050" w:type="dxa"/>
            <w:gridSpan w:val="2"/>
            <w:tcBorders>
              <w:top w:val="nil"/>
              <w:bottom w:val="nil"/>
            </w:tcBorders>
            <w:shd w:val="clear" w:color="auto" w:fill="auto"/>
            <w:vAlign w:val="center"/>
          </w:tcPr>
          <w:p w14:paraId="0FC77A2F" w14:textId="77777777" w:rsidR="00C20063" w:rsidRPr="00A47279" w:rsidRDefault="00C20063" w:rsidP="00DC062C">
            <w:pPr>
              <w:pStyle w:val="08-Tabelageral"/>
              <w:ind w:left="113"/>
              <w:jc w:val="left"/>
              <w:rPr>
                <w:rFonts w:cs="Arial"/>
                <w:szCs w:val="14"/>
              </w:rPr>
            </w:pPr>
            <w:r w:rsidRPr="00BC5A4F">
              <w:t>M</w:t>
            </w:r>
            <w:r>
              <w:t xml:space="preserve">APFRE Seguros Gerais </w:t>
            </w:r>
            <w:r w:rsidRPr="00BC5A4F">
              <w:rPr>
                <w:vertAlign w:val="superscript"/>
              </w:rPr>
              <w:t>(1)</w:t>
            </w:r>
          </w:p>
        </w:tc>
        <w:tc>
          <w:tcPr>
            <w:tcW w:w="595" w:type="dxa"/>
            <w:tcBorders>
              <w:top w:val="nil"/>
            </w:tcBorders>
            <w:shd w:val="clear" w:color="auto" w:fill="auto"/>
          </w:tcPr>
          <w:p w14:paraId="72A72561"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vAlign w:val="center"/>
          </w:tcPr>
          <w:p w14:paraId="1151DEF2" w14:textId="77777777" w:rsidR="00C20063" w:rsidRPr="00496EA7" w:rsidRDefault="00C20063" w:rsidP="00DC062C">
            <w:pPr>
              <w:pStyle w:val="08-Tabelageral"/>
              <w:rPr>
                <w:rFonts w:cs="Arial"/>
              </w:rPr>
            </w:pPr>
          </w:p>
        </w:tc>
        <w:tc>
          <w:tcPr>
            <w:tcW w:w="1400" w:type="dxa"/>
            <w:tcBorders>
              <w:top w:val="nil"/>
              <w:bottom w:val="nil"/>
            </w:tcBorders>
            <w:shd w:val="clear" w:color="auto" w:fill="auto"/>
            <w:vAlign w:val="center"/>
          </w:tcPr>
          <w:p w14:paraId="0CE2A230"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6D74CEB8"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352B6D65" w14:textId="77777777" w:rsidR="00C20063" w:rsidRPr="00496EA7" w:rsidRDefault="00C20063" w:rsidP="00DC062C">
            <w:pPr>
              <w:pStyle w:val="08-Tabelageral"/>
              <w:rPr>
                <w:rFonts w:cs="Arial"/>
              </w:rPr>
            </w:pPr>
            <w:r>
              <w:rPr>
                <w:rFonts w:cs="Arial"/>
              </w:rPr>
              <w:t>42,178</w:t>
            </w:r>
          </w:p>
        </w:tc>
        <w:tc>
          <w:tcPr>
            <w:tcW w:w="1511" w:type="dxa"/>
            <w:tcBorders>
              <w:top w:val="nil"/>
              <w:bottom w:val="nil"/>
            </w:tcBorders>
            <w:shd w:val="clear" w:color="auto" w:fill="auto"/>
          </w:tcPr>
          <w:p w14:paraId="5E107B9B" w14:textId="77777777" w:rsidR="00C20063" w:rsidRPr="00496EA7" w:rsidRDefault="00C20063" w:rsidP="00DC062C">
            <w:pPr>
              <w:pStyle w:val="08-Tabelageral"/>
              <w:rPr>
                <w:rFonts w:cs="Arial"/>
              </w:rPr>
            </w:pPr>
            <w:r>
              <w:rPr>
                <w:rFonts w:cs="Arial"/>
              </w:rPr>
              <w:t>35,711</w:t>
            </w:r>
          </w:p>
        </w:tc>
      </w:tr>
      <w:tr w:rsidR="00C20063" w:rsidRPr="00A47279" w14:paraId="470C257B" w14:textId="77777777" w:rsidTr="00DC062C">
        <w:trPr>
          <w:trHeight w:val="238"/>
        </w:trPr>
        <w:tc>
          <w:tcPr>
            <w:tcW w:w="3050" w:type="dxa"/>
            <w:gridSpan w:val="2"/>
            <w:tcBorders>
              <w:top w:val="nil"/>
              <w:bottom w:val="nil"/>
            </w:tcBorders>
            <w:shd w:val="clear" w:color="auto" w:fill="auto"/>
            <w:vAlign w:val="center"/>
          </w:tcPr>
          <w:p w14:paraId="1C8C3E7D" w14:textId="77777777" w:rsidR="00C20063" w:rsidRPr="00A47279" w:rsidRDefault="00C20063" w:rsidP="00DC062C">
            <w:pPr>
              <w:pStyle w:val="08-Tabelageral"/>
              <w:ind w:left="113"/>
              <w:jc w:val="left"/>
              <w:rPr>
                <w:rFonts w:cs="Arial"/>
                <w:szCs w:val="14"/>
              </w:rPr>
            </w:pPr>
            <w:r>
              <w:t>Others</w:t>
            </w:r>
          </w:p>
        </w:tc>
        <w:tc>
          <w:tcPr>
            <w:tcW w:w="595" w:type="dxa"/>
            <w:tcBorders>
              <w:top w:val="nil"/>
            </w:tcBorders>
            <w:shd w:val="clear" w:color="auto" w:fill="auto"/>
          </w:tcPr>
          <w:p w14:paraId="4B460119"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vAlign w:val="center"/>
          </w:tcPr>
          <w:p w14:paraId="57A5050E" w14:textId="77777777" w:rsidR="00C20063" w:rsidRPr="00496EA7" w:rsidRDefault="00C20063" w:rsidP="00DC062C">
            <w:pPr>
              <w:pStyle w:val="08-Tabelageral"/>
              <w:rPr>
                <w:rFonts w:cs="Arial"/>
              </w:rPr>
            </w:pPr>
          </w:p>
        </w:tc>
        <w:tc>
          <w:tcPr>
            <w:tcW w:w="1400" w:type="dxa"/>
            <w:tcBorders>
              <w:top w:val="nil"/>
              <w:bottom w:val="nil"/>
            </w:tcBorders>
            <w:shd w:val="clear" w:color="auto" w:fill="auto"/>
            <w:vAlign w:val="center"/>
          </w:tcPr>
          <w:p w14:paraId="70BFD648"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0A8C6D17"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4841B23E" w14:textId="77777777" w:rsidR="00C20063" w:rsidRPr="00496EA7" w:rsidRDefault="00C20063" w:rsidP="00DC062C">
            <w:pPr>
              <w:pStyle w:val="08-Tabelageral"/>
              <w:rPr>
                <w:rFonts w:cs="Arial"/>
              </w:rPr>
            </w:pPr>
            <w:r>
              <w:rPr>
                <w:rFonts w:cs="Arial"/>
              </w:rPr>
              <w:t>1,770</w:t>
            </w:r>
          </w:p>
        </w:tc>
        <w:tc>
          <w:tcPr>
            <w:tcW w:w="1511" w:type="dxa"/>
            <w:tcBorders>
              <w:top w:val="nil"/>
              <w:bottom w:val="nil"/>
            </w:tcBorders>
            <w:shd w:val="clear" w:color="auto" w:fill="auto"/>
          </w:tcPr>
          <w:p w14:paraId="1B5FD8C8" w14:textId="77777777" w:rsidR="00C20063" w:rsidRPr="00496EA7" w:rsidRDefault="00C20063" w:rsidP="00DC062C">
            <w:pPr>
              <w:pStyle w:val="08-Tabelageral"/>
              <w:rPr>
                <w:rFonts w:cs="Arial"/>
              </w:rPr>
            </w:pPr>
            <w:r>
              <w:rPr>
                <w:rFonts w:cs="Arial"/>
              </w:rPr>
              <w:t>1,941</w:t>
            </w:r>
          </w:p>
        </w:tc>
      </w:tr>
      <w:tr w:rsidR="00C20063" w:rsidRPr="00A47279" w14:paraId="4CC604E8" w14:textId="77777777" w:rsidTr="00DC062C">
        <w:trPr>
          <w:trHeight w:val="238"/>
        </w:trPr>
        <w:tc>
          <w:tcPr>
            <w:tcW w:w="3050" w:type="dxa"/>
            <w:gridSpan w:val="2"/>
            <w:tcBorders>
              <w:top w:val="nil"/>
              <w:bottom w:val="nil"/>
            </w:tcBorders>
            <w:shd w:val="clear" w:color="auto" w:fill="auto"/>
            <w:vAlign w:val="center"/>
          </w:tcPr>
          <w:p w14:paraId="3806BBB2" w14:textId="77777777" w:rsidR="00C20063" w:rsidRPr="00945E16" w:rsidRDefault="00C20063" w:rsidP="00DC062C">
            <w:pPr>
              <w:pStyle w:val="08-Tabelageral"/>
              <w:jc w:val="left"/>
              <w:rPr>
                <w:rFonts w:cs="Arial"/>
                <w:b/>
                <w:bCs/>
                <w:szCs w:val="14"/>
              </w:rPr>
            </w:pPr>
            <w:r w:rsidRPr="00945E16">
              <w:rPr>
                <w:b/>
                <w:bCs/>
              </w:rPr>
              <w:t>Deductions from commission income</w:t>
            </w:r>
          </w:p>
        </w:tc>
        <w:tc>
          <w:tcPr>
            <w:tcW w:w="595" w:type="dxa"/>
            <w:tcBorders>
              <w:top w:val="nil"/>
            </w:tcBorders>
            <w:shd w:val="clear" w:color="auto" w:fill="auto"/>
          </w:tcPr>
          <w:p w14:paraId="755B7799"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vAlign w:val="center"/>
          </w:tcPr>
          <w:p w14:paraId="510823EA" w14:textId="77777777" w:rsidR="00C20063" w:rsidRPr="00496EA7" w:rsidRDefault="00C20063" w:rsidP="00DC062C">
            <w:pPr>
              <w:pStyle w:val="08-Tabelageral"/>
              <w:rPr>
                <w:rFonts w:cs="Arial"/>
              </w:rPr>
            </w:pPr>
          </w:p>
        </w:tc>
        <w:tc>
          <w:tcPr>
            <w:tcW w:w="1400" w:type="dxa"/>
            <w:tcBorders>
              <w:top w:val="nil"/>
              <w:bottom w:val="nil"/>
            </w:tcBorders>
            <w:shd w:val="clear" w:color="auto" w:fill="auto"/>
            <w:vAlign w:val="center"/>
          </w:tcPr>
          <w:p w14:paraId="4056A13F"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5674D48A"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5B0A8620" w14:textId="77777777" w:rsidR="00C20063" w:rsidRPr="002857F3" w:rsidRDefault="00C20063" w:rsidP="00DC062C">
            <w:pPr>
              <w:pStyle w:val="08-Tabelageral"/>
              <w:rPr>
                <w:rFonts w:cs="Arial"/>
                <w:b/>
                <w:bCs/>
              </w:rPr>
            </w:pPr>
            <w:r>
              <w:rPr>
                <w:rFonts w:cs="Arial"/>
                <w:b/>
                <w:bCs/>
              </w:rPr>
              <w:t>(138,910)</w:t>
            </w:r>
          </w:p>
        </w:tc>
        <w:tc>
          <w:tcPr>
            <w:tcW w:w="1511" w:type="dxa"/>
            <w:tcBorders>
              <w:top w:val="nil"/>
              <w:bottom w:val="nil"/>
            </w:tcBorders>
            <w:shd w:val="clear" w:color="auto" w:fill="auto"/>
          </w:tcPr>
          <w:p w14:paraId="3DC86B37" w14:textId="77777777" w:rsidR="00C20063" w:rsidRPr="00496EA7" w:rsidRDefault="00C20063" w:rsidP="00DC062C">
            <w:pPr>
              <w:pStyle w:val="08-Tabelageral"/>
              <w:rPr>
                <w:rFonts w:cs="Arial"/>
              </w:rPr>
            </w:pPr>
            <w:r>
              <w:rPr>
                <w:rFonts w:cs="Arial"/>
                <w:b/>
                <w:bCs/>
              </w:rPr>
              <w:t>(119,002)</w:t>
            </w:r>
          </w:p>
        </w:tc>
      </w:tr>
      <w:tr w:rsidR="00C20063" w:rsidRPr="00A47279" w14:paraId="6325D2BD" w14:textId="77777777" w:rsidTr="00DC062C">
        <w:trPr>
          <w:trHeight w:val="238"/>
        </w:trPr>
        <w:tc>
          <w:tcPr>
            <w:tcW w:w="3050" w:type="dxa"/>
            <w:gridSpan w:val="2"/>
            <w:tcBorders>
              <w:top w:val="nil"/>
              <w:bottom w:val="nil"/>
            </w:tcBorders>
            <w:shd w:val="clear" w:color="auto" w:fill="auto"/>
            <w:vAlign w:val="center"/>
          </w:tcPr>
          <w:p w14:paraId="63B70FA5" w14:textId="77777777" w:rsidR="00C20063" w:rsidRPr="00A47279" w:rsidRDefault="00C20063" w:rsidP="00DC062C">
            <w:pPr>
              <w:pStyle w:val="08-Tabelageral"/>
              <w:ind w:left="113"/>
              <w:jc w:val="left"/>
              <w:rPr>
                <w:rFonts w:cs="Arial"/>
                <w:szCs w:val="14"/>
              </w:rPr>
            </w:pPr>
            <w:r>
              <w:t>Cofins</w:t>
            </w:r>
          </w:p>
        </w:tc>
        <w:tc>
          <w:tcPr>
            <w:tcW w:w="595" w:type="dxa"/>
            <w:tcBorders>
              <w:top w:val="nil"/>
            </w:tcBorders>
            <w:shd w:val="clear" w:color="auto" w:fill="auto"/>
          </w:tcPr>
          <w:p w14:paraId="00E02535"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tcPr>
          <w:p w14:paraId="320003D3" w14:textId="77777777" w:rsidR="00C20063" w:rsidRPr="00496EA7" w:rsidRDefault="00C20063" w:rsidP="00DC062C">
            <w:pPr>
              <w:pStyle w:val="08-Tabelageral"/>
              <w:rPr>
                <w:rFonts w:cs="Arial"/>
              </w:rPr>
            </w:pPr>
          </w:p>
        </w:tc>
        <w:tc>
          <w:tcPr>
            <w:tcW w:w="1400" w:type="dxa"/>
            <w:tcBorders>
              <w:top w:val="nil"/>
              <w:bottom w:val="nil"/>
            </w:tcBorders>
            <w:shd w:val="clear" w:color="auto" w:fill="auto"/>
          </w:tcPr>
          <w:p w14:paraId="459F7784"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11B8DB56"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7BC31BE6" w14:textId="77777777" w:rsidR="00C20063" w:rsidRPr="00496EA7" w:rsidRDefault="00C20063" w:rsidP="00DC062C">
            <w:pPr>
              <w:pStyle w:val="08-Tabelageral"/>
              <w:rPr>
                <w:rFonts w:cs="Arial"/>
              </w:rPr>
            </w:pPr>
            <w:r>
              <w:rPr>
                <w:rFonts w:cs="Arial"/>
              </w:rPr>
              <w:t>(91,620)</w:t>
            </w:r>
          </w:p>
        </w:tc>
        <w:tc>
          <w:tcPr>
            <w:tcW w:w="1511" w:type="dxa"/>
            <w:tcBorders>
              <w:top w:val="nil"/>
              <w:bottom w:val="nil"/>
            </w:tcBorders>
            <w:shd w:val="clear" w:color="auto" w:fill="auto"/>
          </w:tcPr>
          <w:p w14:paraId="07124676" w14:textId="77777777" w:rsidR="00C20063" w:rsidRPr="00496EA7" w:rsidRDefault="00C20063" w:rsidP="00DC062C">
            <w:pPr>
              <w:pStyle w:val="08-Tabelageral"/>
              <w:rPr>
                <w:rFonts w:cs="Arial"/>
              </w:rPr>
            </w:pPr>
            <w:r>
              <w:rPr>
                <w:rFonts w:cs="Arial"/>
              </w:rPr>
              <w:t>(77,762)</w:t>
            </w:r>
          </w:p>
        </w:tc>
      </w:tr>
      <w:tr w:rsidR="00C20063" w:rsidRPr="00A47279" w14:paraId="52D4A52B" w14:textId="77777777" w:rsidTr="00DC062C">
        <w:trPr>
          <w:trHeight w:val="238"/>
        </w:trPr>
        <w:tc>
          <w:tcPr>
            <w:tcW w:w="3050" w:type="dxa"/>
            <w:gridSpan w:val="2"/>
            <w:tcBorders>
              <w:top w:val="nil"/>
              <w:bottom w:val="nil"/>
            </w:tcBorders>
            <w:shd w:val="clear" w:color="auto" w:fill="auto"/>
            <w:vAlign w:val="center"/>
          </w:tcPr>
          <w:p w14:paraId="3D128D81" w14:textId="77777777" w:rsidR="00C20063" w:rsidRPr="00A47279" w:rsidRDefault="00C20063" w:rsidP="00DC062C">
            <w:pPr>
              <w:pStyle w:val="08-Tabelageral"/>
              <w:ind w:left="113"/>
              <w:jc w:val="left"/>
              <w:rPr>
                <w:rFonts w:cs="Arial"/>
                <w:szCs w:val="14"/>
              </w:rPr>
            </w:pPr>
            <w:r>
              <w:t>ISS</w:t>
            </w:r>
          </w:p>
        </w:tc>
        <w:tc>
          <w:tcPr>
            <w:tcW w:w="595" w:type="dxa"/>
            <w:tcBorders>
              <w:top w:val="nil"/>
            </w:tcBorders>
            <w:shd w:val="clear" w:color="auto" w:fill="auto"/>
          </w:tcPr>
          <w:p w14:paraId="0BCB5679"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vAlign w:val="center"/>
          </w:tcPr>
          <w:p w14:paraId="12C113CF" w14:textId="77777777" w:rsidR="00C20063" w:rsidRPr="00496EA7" w:rsidRDefault="00C20063" w:rsidP="00DC062C">
            <w:pPr>
              <w:pStyle w:val="08-Tabelageral"/>
              <w:rPr>
                <w:rFonts w:cs="Arial"/>
              </w:rPr>
            </w:pPr>
          </w:p>
        </w:tc>
        <w:tc>
          <w:tcPr>
            <w:tcW w:w="1400" w:type="dxa"/>
            <w:tcBorders>
              <w:top w:val="nil"/>
              <w:bottom w:val="nil"/>
            </w:tcBorders>
            <w:shd w:val="clear" w:color="auto" w:fill="auto"/>
            <w:vAlign w:val="center"/>
          </w:tcPr>
          <w:p w14:paraId="1421BA5A"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6CF6D37A"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541BE5C8" w14:textId="77777777" w:rsidR="00C20063" w:rsidRPr="00496EA7" w:rsidRDefault="00C20063" w:rsidP="00DC062C">
            <w:pPr>
              <w:pStyle w:val="08-Tabelageral"/>
              <w:rPr>
                <w:rFonts w:cs="Arial"/>
              </w:rPr>
            </w:pPr>
            <w:r>
              <w:rPr>
                <w:rFonts w:cs="Arial"/>
              </w:rPr>
              <w:t>(27,399)</w:t>
            </w:r>
          </w:p>
        </w:tc>
        <w:tc>
          <w:tcPr>
            <w:tcW w:w="1511" w:type="dxa"/>
            <w:tcBorders>
              <w:top w:val="nil"/>
              <w:bottom w:val="nil"/>
            </w:tcBorders>
            <w:shd w:val="clear" w:color="auto" w:fill="auto"/>
          </w:tcPr>
          <w:p w14:paraId="4D4B0A3D" w14:textId="77777777" w:rsidR="00C20063" w:rsidRPr="00496EA7" w:rsidRDefault="00C20063" w:rsidP="00DC062C">
            <w:pPr>
              <w:pStyle w:val="08-Tabelageral"/>
              <w:rPr>
                <w:rFonts w:cs="Arial"/>
              </w:rPr>
            </w:pPr>
            <w:r>
              <w:rPr>
                <w:rFonts w:cs="Arial"/>
              </w:rPr>
              <w:t>(24,357)</w:t>
            </w:r>
          </w:p>
        </w:tc>
      </w:tr>
      <w:tr w:rsidR="00C20063" w:rsidRPr="00A47279" w14:paraId="24710BB7" w14:textId="77777777" w:rsidTr="00DC062C">
        <w:trPr>
          <w:trHeight w:val="238"/>
        </w:trPr>
        <w:tc>
          <w:tcPr>
            <w:tcW w:w="3050" w:type="dxa"/>
            <w:gridSpan w:val="2"/>
            <w:tcBorders>
              <w:top w:val="nil"/>
              <w:bottom w:val="nil"/>
            </w:tcBorders>
            <w:shd w:val="clear" w:color="auto" w:fill="auto"/>
            <w:vAlign w:val="center"/>
          </w:tcPr>
          <w:p w14:paraId="42D148C0" w14:textId="77777777" w:rsidR="00C20063" w:rsidRPr="00A47279" w:rsidRDefault="00C20063" w:rsidP="00DC062C">
            <w:pPr>
              <w:pStyle w:val="08-Tabelageral"/>
              <w:ind w:left="113"/>
              <w:jc w:val="left"/>
              <w:rPr>
                <w:rFonts w:cs="Arial"/>
                <w:szCs w:val="14"/>
              </w:rPr>
            </w:pPr>
            <w:r>
              <w:t>PIS</w:t>
            </w:r>
          </w:p>
        </w:tc>
        <w:tc>
          <w:tcPr>
            <w:tcW w:w="595" w:type="dxa"/>
            <w:tcBorders>
              <w:bottom w:val="nil"/>
            </w:tcBorders>
            <w:shd w:val="clear" w:color="auto" w:fill="auto"/>
          </w:tcPr>
          <w:p w14:paraId="71E0B754" w14:textId="77777777" w:rsidR="00C20063" w:rsidRPr="00890AEB" w:rsidRDefault="00C20063" w:rsidP="00DC062C">
            <w:pPr>
              <w:pStyle w:val="08-Tabelageral"/>
              <w:rPr>
                <w:rFonts w:cs="Arial"/>
                <w:bCs/>
                <w:szCs w:val="14"/>
              </w:rPr>
            </w:pPr>
          </w:p>
        </w:tc>
        <w:tc>
          <w:tcPr>
            <w:tcW w:w="1397" w:type="dxa"/>
            <w:gridSpan w:val="2"/>
            <w:tcBorders>
              <w:top w:val="nil"/>
              <w:bottom w:val="nil"/>
            </w:tcBorders>
            <w:shd w:val="clear" w:color="auto" w:fill="auto"/>
          </w:tcPr>
          <w:p w14:paraId="54E5F997" w14:textId="77777777" w:rsidR="00C20063" w:rsidRPr="00496EA7" w:rsidRDefault="00C20063" w:rsidP="00DC062C">
            <w:pPr>
              <w:pStyle w:val="08-Tabelageral"/>
              <w:rPr>
                <w:rFonts w:cs="Arial"/>
              </w:rPr>
            </w:pPr>
          </w:p>
        </w:tc>
        <w:tc>
          <w:tcPr>
            <w:tcW w:w="1400" w:type="dxa"/>
            <w:tcBorders>
              <w:top w:val="nil"/>
              <w:bottom w:val="nil"/>
            </w:tcBorders>
            <w:shd w:val="clear" w:color="auto" w:fill="auto"/>
          </w:tcPr>
          <w:p w14:paraId="15A4FB3D" w14:textId="77777777" w:rsidR="00C20063" w:rsidRPr="00496EA7" w:rsidRDefault="00C20063" w:rsidP="00DC062C">
            <w:pPr>
              <w:pStyle w:val="08-Tabelageral"/>
              <w:rPr>
                <w:rFonts w:cs="Arial"/>
              </w:rPr>
            </w:pPr>
          </w:p>
        </w:tc>
        <w:tc>
          <w:tcPr>
            <w:tcW w:w="282" w:type="dxa"/>
            <w:gridSpan w:val="2"/>
            <w:tcBorders>
              <w:top w:val="nil"/>
              <w:bottom w:val="nil"/>
            </w:tcBorders>
            <w:shd w:val="clear" w:color="auto" w:fill="auto"/>
            <w:vAlign w:val="center"/>
          </w:tcPr>
          <w:p w14:paraId="7546FD6B" w14:textId="77777777" w:rsidR="00C20063" w:rsidRPr="00496EA7" w:rsidRDefault="00C20063" w:rsidP="00DC062C">
            <w:pPr>
              <w:pStyle w:val="08-Tabelageral"/>
              <w:rPr>
                <w:rFonts w:cs="Arial"/>
              </w:rPr>
            </w:pPr>
          </w:p>
        </w:tc>
        <w:tc>
          <w:tcPr>
            <w:tcW w:w="1404" w:type="dxa"/>
            <w:tcBorders>
              <w:top w:val="nil"/>
              <w:bottom w:val="nil"/>
            </w:tcBorders>
            <w:shd w:val="clear" w:color="auto" w:fill="auto"/>
          </w:tcPr>
          <w:p w14:paraId="3F74DCCB" w14:textId="77777777" w:rsidR="00C20063" w:rsidRPr="00496EA7" w:rsidRDefault="00C20063" w:rsidP="00DC062C">
            <w:pPr>
              <w:pStyle w:val="08-Tabelageral"/>
              <w:rPr>
                <w:rFonts w:cs="Arial"/>
              </w:rPr>
            </w:pPr>
            <w:r>
              <w:rPr>
                <w:rFonts w:cs="Arial"/>
              </w:rPr>
              <w:t>(19,891)</w:t>
            </w:r>
          </w:p>
        </w:tc>
        <w:tc>
          <w:tcPr>
            <w:tcW w:w="1511" w:type="dxa"/>
            <w:tcBorders>
              <w:top w:val="nil"/>
              <w:bottom w:val="nil"/>
            </w:tcBorders>
            <w:shd w:val="clear" w:color="auto" w:fill="auto"/>
          </w:tcPr>
          <w:p w14:paraId="01473962" w14:textId="77777777" w:rsidR="00C20063" w:rsidRPr="00496EA7" w:rsidRDefault="00C20063" w:rsidP="00DC062C">
            <w:pPr>
              <w:pStyle w:val="08-Tabelageral"/>
              <w:rPr>
                <w:rFonts w:cs="Arial"/>
              </w:rPr>
            </w:pPr>
            <w:r>
              <w:rPr>
                <w:rFonts w:cs="Arial"/>
              </w:rPr>
              <w:t>(16,883)</w:t>
            </w:r>
          </w:p>
        </w:tc>
      </w:tr>
      <w:tr w:rsidR="00C20063" w:rsidRPr="00A47279" w14:paraId="2CD14FD5" w14:textId="77777777" w:rsidTr="00DC062C">
        <w:trPr>
          <w:trHeight w:val="238"/>
        </w:trPr>
        <w:tc>
          <w:tcPr>
            <w:tcW w:w="3050" w:type="dxa"/>
            <w:gridSpan w:val="2"/>
            <w:tcBorders>
              <w:top w:val="nil"/>
              <w:bottom w:val="single" w:sz="2" w:space="0" w:color="1F4E79" w:themeColor="accent1" w:themeShade="80"/>
            </w:tcBorders>
            <w:shd w:val="clear" w:color="auto" w:fill="auto"/>
            <w:vAlign w:val="center"/>
          </w:tcPr>
          <w:p w14:paraId="1FDB3E48" w14:textId="77777777" w:rsidR="00C20063" w:rsidRPr="00496EA7" w:rsidRDefault="00C20063" w:rsidP="00DC062C">
            <w:pPr>
              <w:keepNext/>
              <w:keepLines/>
              <w:spacing w:before="40" w:after="40" w:line="240" w:lineRule="auto"/>
              <w:rPr>
                <w:rFonts w:cs="Arial"/>
                <w:b/>
                <w:spacing w:val="-2"/>
                <w:sz w:val="14"/>
                <w:szCs w:val="14"/>
              </w:rPr>
            </w:pPr>
            <w:r w:rsidRPr="00945E16">
              <w:rPr>
                <w:rFonts w:cs="Arial"/>
                <w:b/>
                <w:spacing w:val="-2"/>
                <w:sz w:val="14"/>
                <w:szCs w:val="14"/>
              </w:rPr>
              <w:t>Net commission income</w:t>
            </w:r>
          </w:p>
        </w:tc>
        <w:tc>
          <w:tcPr>
            <w:tcW w:w="595" w:type="dxa"/>
            <w:tcBorders>
              <w:top w:val="nil"/>
              <w:bottom w:val="single" w:sz="2" w:space="0" w:color="1F4E79" w:themeColor="accent1" w:themeShade="80"/>
            </w:tcBorders>
            <w:shd w:val="clear" w:color="auto" w:fill="auto"/>
          </w:tcPr>
          <w:p w14:paraId="38F1041F" w14:textId="77777777" w:rsidR="00C20063" w:rsidRPr="00890AEB" w:rsidRDefault="00C20063" w:rsidP="00DC062C">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1137DEB0" w14:textId="77777777" w:rsidR="00C20063" w:rsidRPr="00496EA7" w:rsidRDefault="00C20063" w:rsidP="00DC062C">
            <w:pPr>
              <w:pStyle w:val="08-Tabelageral"/>
              <w:rPr>
                <w:rFonts w:cs="Arial"/>
                <w:b/>
              </w:rPr>
            </w:pPr>
          </w:p>
        </w:tc>
        <w:tc>
          <w:tcPr>
            <w:tcW w:w="1400" w:type="dxa"/>
            <w:tcBorders>
              <w:top w:val="nil"/>
              <w:bottom w:val="single" w:sz="2" w:space="0" w:color="1F4E79" w:themeColor="accent1" w:themeShade="80"/>
            </w:tcBorders>
            <w:shd w:val="clear" w:color="auto" w:fill="auto"/>
            <w:vAlign w:val="center"/>
          </w:tcPr>
          <w:p w14:paraId="2766B166" w14:textId="77777777" w:rsidR="00C20063" w:rsidRPr="00496EA7" w:rsidRDefault="00C20063" w:rsidP="00DC062C">
            <w:pPr>
              <w:pStyle w:val="08-Tabelageral"/>
              <w:rPr>
                <w:rFonts w:cs="Arial"/>
                <w:b/>
              </w:rPr>
            </w:pPr>
          </w:p>
        </w:tc>
        <w:tc>
          <w:tcPr>
            <w:tcW w:w="282" w:type="dxa"/>
            <w:gridSpan w:val="2"/>
            <w:tcBorders>
              <w:top w:val="nil"/>
              <w:bottom w:val="single" w:sz="2" w:space="0" w:color="1F4E79" w:themeColor="accent1" w:themeShade="80"/>
            </w:tcBorders>
            <w:shd w:val="clear" w:color="auto" w:fill="auto"/>
            <w:vAlign w:val="center"/>
          </w:tcPr>
          <w:p w14:paraId="29B05705" w14:textId="77777777" w:rsidR="00C20063" w:rsidRPr="00496EA7" w:rsidRDefault="00C20063" w:rsidP="00DC062C">
            <w:pPr>
              <w:pStyle w:val="08-Tabelageral"/>
              <w:rPr>
                <w:rFonts w:cs="Arial"/>
                <w:b/>
              </w:rPr>
            </w:pPr>
          </w:p>
        </w:tc>
        <w:tc>
          <w:tcPr>
            <w:tcW w:w="1404" w:type="dxa"/>
            <w:tcBorders>
              <w:top w:val="nil"/>
              <w:bottom w:val="single" w:sz="2" w:space="0" w:color="1F4E79" w:themeColor="accent1" w:themeShade="80"/>
            </w:tcBorders>
            <w:shd w:val="clear" w:color="auto" w:fill="auto"/>
          </w:tcPr>
          <w:p w14:paraId="6D0720CC" w14:textId="77777777" w:rsidR="00C20063" w:rsidRPr="00496EA7" w:rsidRDefault="00C20063" w:rsidP="00DC062C">
            <w:pPr>
              <w:pStyle w:val="08-Tabelageral"/>
              <w:rPr>
                <w:rFonts w:cs="Arial"/>
                <w:b/>
              </w:rPr>
            </w:pPr>
            <w:r>
              <w:rPr>
                <w:rFonts w:cs="Arial"/>
                <w:b/>
              </w:rPr>
              <w:t>1,068,267</w:t>
            </w:r>
          </w:p>
        </w:tc>
        <w:tc>
          <w:tcPr>
            <w:tcW w:w="1511" w:type="dxa"/>
            <w:tcBorders>
              <w:top w:val="nil"/>
              <w:bottom w:val="single" w:sz="2" w:space="0" w:color="1F4E79" w:themeColor="accent1" w:themeShade="80"/>
            </w:tcBorders>
            <w:shd w:val="clear" w:color="auto" w:fill="auto"/>
          </w:tcPr>
          <w:p w14:paraId="458224F9" w14:textId="77777777" w:rsidR="00C20063" w:rsidRPr="00496EA7" w:rsidRDefault="00C20063" w:rsidP="00DC062C">
            <w:pPr>
              <w:pStyle w:val="08-Tabelageral"/>
              <w:rPr>
                <w:rFonts w:cs="Arial"/>
                <w:b/>
              </w:rPr>
            </w:pPr>
            <w:r>
              <w:rPr>
                <w:rFonts w:cs="Arial"/>
                <w:b/>
              </w:rPr>
              <w:t>906,025</w:t>
            </w:r>
          </w:p>
        </w:tc>
      </w:tr>
    </w:tbl>
    <w:p w14:paraId="74F05D04" w14:textId="77777777" w:rsidR="00C20063" w:rsidRPr="00872E58" w:rsidRDefault="00C20063" w:rsidP="00C20063">
      <w:pPr>
        <w:pStyle w:val="07-Legenda"/>
        <w:numPr>
          <w:ilvl w:val="0"/>
          <w:numId w:val="20"/>
        </w:numPr>
        <w:tabs>
          <w:tab w:val="clear" w:pos="284"/>
          <w:tab w:val="left" w:pos="0"/>
        </w:tabs>
        <w:ind w:left="284" w:hanging="284"/>
        <w:rPr>
          <w:lang w:val="en-US"/>
        </w:rPr>
      </w:pPr>
      <w:r>
        <w:rPr>
          <w:lang w:val="en-US"/>
        </w:rPr>
        <w:t>I</w:t>
      </w:r>
      <w:r w:rsidRPr="000E3F50">
        <w:rPr>
          <w:rFonts w:cs="Arial"/>
          <w:szCs w:val="14"/>
          <w:lang w:val="en-US"/>
        </w:rPr>
        <w:t>nclude auto insurance and major risks</w:t>
      </w:r>
      <w:r>
        <w:rPr>
          <w:rFonts w:cs="Arial"/>
          <w:szCs w:val="14"/>
          <w:lang w:val="en-US"/>
        </w:rPr>
        <w:t>.</w:t>
      </w:r>
    </w:p>
    <w:bookmarkEnd w:id="32"/>
    <w:p w14:paraId="442D5CF6" w14:textId="77777777" w:rsidR="00C20063" w:rsidRPr="008A7221" w:rsidRDefault="00C20063" w:rsidP="00DC062C">
      <w:pPr>
        <w:pStyle w:val="07-Legenda"/>
        <w:spacing w:before="120" w:after="120"/>
        <w:rPr>
          <w:sz w:val="18"/>
          <w:lang w:val="en-US"/>
        </w:rPr>
      </w:pPr>
      <w:r w:rsidRPr="00872E58">
        <w:rPr>
          <w:sz w:val="18"/>
          <w:lang w:val="en-US"/>
        </w:rPr>
        <w:t>There are no amount of commissions income in parent.</w:t>
      </w:r>
    </w:p>
    <w:p w14:paraId="42FE92B6" w14:textId="7164EF71" w:rsidR="00CC37BC" w:rsidRDefault="00CC37BC" w:rsidP="00DC062C">
      <w:pPr>
        <w:pStyle w:val="Ttulo1"/>
      </w:pPr>
    </w:p>
    <w:p w14:paraId="67EC9A76" w14:textId="77777777" w:rsidR="00CC37BC" w:rsidRDefault="00CC37BC">
      <w:pPr>
        <w:rPr>
          <w:rFonts w:eastAsia="Times New Roman" w:cs="Arial"/>
          <w:b/>
          <w:bCs/>
          <w:color w:val="1F4E79" w:themeColor="accent1" w:themeShade="80"/>
          <w:sz w:val="20"/>
          <w:szCs w:val="20"/>
          <w:lang w:val="en-US" w:eastAsia="pt-BR"/>
        </w:rPr>
      </w:pPr>
      <w:r>
        <w:br w:type="page"/>
      </w:r>
    </w:p>
    <w:p w14:paraId="0B5F987C" w14:textId="13F321D0" w:rsidR="00C20063" w:rsidRPr="00654762" w:rsidRDefault="00C20063" w:rsidP="00DC062C">
      <w:pPr>
        <w:pStyle w:val="Ttulo1"/>
        <w:rPr>
          <w:b w:val="0"/>
          <w:bCs w:val="0"/>
        </w:rPr>
      </w:pPr>
      <w:bookmarkStart w:id="34" w:name="_Toc134823573"/>
      <w:r w:rsidRPr="00654762">
        <w:lastRenderedPageBreak/>
        <w:t>9 – COSTS OF SERVICES PROVIDED</w:t>
      </w:r>
      <w:bookmarkEnd w:id="34"/>
    </w:p>
    <w:p w14:paraId="6D69938D" w14:textId="77777777" w:rsidR="00C20063" w:rsidRPr="00654762" w:rsidRDefault="00C20063" w:rsidP="00DC062C">
      <w:pPr>
        <w:pStyle w:val="06-Rmil"/>
        <w:rPr>
          <w:rFonts w:cs="Arial"/>
          <w:szCs w:val="14"/>
          <w:lang w:val="en-US"/>
        </w:rPr>
      </w:pPr>
      <w:r w:rsidRPr="00654762">
        <w:rPr>
          <w:szCs w:val="14"/>
          <w:lang w:val="en-US"/>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C20063" w:rsidRPr="00A47279" w14:paraId="5D81D5D2" w14:textId="77777777" w:rsidTr="00DC062C">
        <w:trPr>
          <w:trHeight w:val="238"/>
          <w:jc w:val="center"/>
        </w:trPr>
        <w:tc>
          <w:tcPr>
            <w:tcW w:w="3882" w:type="dxa"/>
            <w:gridSpan w:val="3"/>
            <w:tcBorders>
              <w:top w:val="single" w:sz="2" w:space="0" w:color="1F4E79" w:themeColor="accent1" w:themeShade="80"/>
              <w:bottom w:val="nil"/>
            </w:tcBorders>
            <w:shd w:val="clear" w:color="auto" w:fill="auto"/>
          </w:tcPr>
          <w:p w14:paraId="064E8582" w14:textId="77777777" w:rsidR="00C20063" w:rsidRPr="00654762" w:rsidRDefault="00C20063" w:rsidP="00DC062C">
            <w:pPr>
              <w:keepNext/>
              <w:keepLines/>
              <w:tabs>
                <w:tab w:val="left" w:pos="2244"/>
                <w:tab w:val="center" w:pos="3294"/>
                <w:tab w:val="left" w:pos="4208"/>
                <w:tab w:val="left" w:pos="5816"/>
                <w:tab w:val="left" w:pos="5872"/>
              </w:tabs>
              <w:spacing w:before="40" w:after="40"/>
              <w:rPr>
                <w:rFonts w:cs="Arial"/>
                <w:b/>
                <w:spacing w:val="-2"/>
                <w:sz w:val="14"/>
                <w:szCs w:val="14"/>
                <w:lang w:val="en-US"/>
              </w:rPr>
            </w:pPr>
          </w:p>
        </w:tc>
        <w:tc>
          <w:tcPr>
            <w:tcW w:w="2798" w:type="dxa"/>
            <w:gridSpan w:val="3"/>
            <w:tcBorders>
              <w:top w:val="single" w:sz="2" w:space="0" w:color="1F4E79" w:themeColor="accent1" w:themeShade="80"/>
              <w:bottom w:val="nil"/>
            </w:tcBorders>
            <w:shd w:val="clear" w:color="auto" w:fill="auto"/>
            <w:vAlign w:val="center"/>
          </w:tcPr>
          <w:p w14:paraId="0D647451" w14:textId="77777777" w:rsidR="00C20063" w:rsidRPr="00654762" w:rsidRDefault="00C20063" w:rsidP="00DC062C">
            <w:pPr>
              <w:keepNext/>
              <w:keepLines/>
              <w:spacing w:before="40" w:after="40"/>
              <w:jc w:val="center"/>
              <w:rPr>
                <w:rFonts w:cs="Arial"/>
                <w:b/>
                <w:spacing w:val="-2"/>
                <w:sz w:val="14"/>
                <w:szCs w:val="14"/>
                <w:lang w:val="en-US"/>
              </w:rPr>
            </w:pPr>
          </w:p>
        </w:tc>
        <w:tc>
          <w:tcPr>
            <w:tcW w:w="2959" w:type="dxa"/>
            <w:gridSpan w:val="2"/>
            <w:tcBorders>
              <w:top w:val="single" w:sz="2" w:space="0" w:color="1F4E79" w:themeColor="accent1" w:themeShade="80"/>
              <w:bottom w:val="single" w:sz="4" w:space="0" w:color="1F4E79" w:themeColor="accent1" w:themeShade="80"/>
            </w:tcBorders>
            <w:shd w:val="clear" w:color="auto" w:fill="auto"/>
            <w:vAlign w:val="center"/>
          </w:tcPr>
          <w:p w14:paraId="61CF01B8" w14:textId="77777777" w:rsidR="00C20063" w:rsidRPr="0087229B" w:rsidRDefault="00C20063" w:rsidP="00DC062C">
            <w:pPr>
              <w:keepNext/>
              <w:keepLines/>
              <w:spacing w:before="40" w:after="40"/>
              <w:jc w:val="center"/>
              <w:rPr>
                <w:rFonts w:cs="Arial"/>
                <w:b/>
                <w:bCs/>
                <w:spacing w:val="-2"/>
                <w:sz w:val="14"/>
                <w:szCs w:val="14"/>
              </w:rPr>
            </w:pPr>
            <w:r w:rsidRPr="0087229B">
              <w:rPr>
                <w:rFonts w:cs="Arial"/>
                <w:b/>
                <w:bCs/>
                <w:spacing w:val="-2"/>
                <w:sz w:val="14"/>
                <w:szCs w:val="14"/>
              </w:rPr>
              <w:t>Consolidated</w:t>
            </w:r>
          </w:p>
        </w:tc>
      </w:tr>
      <w:tr w:rsidR="00C20063" w:rsidRPr="009A7D77" w14:paraId="7876AEBA" w14:textId="77777777" w:rsidTr="00DC062C">
        <w:trPr>
          <w:trHeight w:val="238"/>
          <w:jc w:val="center"/>
        </w:trPr>
        <w:tc>
          <w:tcPr>
            <w:tcW w:w="3050" w:type="dxa"/>
            <w:tcBorders>
              <w:top w:val="nil"/>
              <w:bottom w:val="single" w:sz="2" w:space="0" w:color="1F4E79" w:themeColor="accent1" w:themeShade="80"/>
            </w:tcBorders>
            <w:shd w:val="clear" w:color="auto" w:fill="auto"/>
          </w:tcPr>
          <w:p w14:paraId="58F4BB4B" w14:textId="77777777" w:rsidR="00C20063" w:rsidRPr="009A7D77" w:rsidRDefault="00C20063" w:rsidP="00DC062C">
            <w:pPr>
              <w:keepNext/>
              <w:keepLines/>
              <w:tabs>
                <w:tab w:val="left" w:pos="2244"/>
                <w:tab w:val="center" w:pos="3294"/>
                <w:tab w:val="left" w:pos="4208"/>
                <w:tab w:val="left" w:pos="5816"/>
                <w:tab w:val="left" w:pos="5872"/>
              </w:tabs>
              <w:spacing w:before="40" w:after="40"/>
              <w:jc w:val="right"/>
              <w:rPr>
                <w:rFonts w:cs="Arial"/>
                <w:b/>
                <w:spacing w:val="-2"/>
                <w:sz w:val="14"/>
                <w:szCs w:val="14"/>
              </w:rPr>
            </w:pPr>
          </w:p>
        </w:tc>
        <w:tc>
          <w:tcPr>
            <w:tcW w:w="488" w:type="dxa"/>
            <w:tcBorders>
              <w:top w:val="nil"/>
              <w:bottom w:val="single" w:sz="2" w:space="0" w:color="1F4E79" w:themeColor="accent1" w:themeShade="80"/>
            </w:tcBorders>
            <w:shd w:val="clear" w:color="auto" w:fill="auto"/>
          </w:tcPr>
          <w:p w14:paraId="3FC21C90" w14:textId="77777777" w:rsidR="00C20063" w:rsidRPr="009A7D77" w:rsidRDefault="00C20063" w:rsidP="00DC062C">
            <w:pPr>
              <w:keepNext/>
              <w:keepLines/>
              <w:spacing w:before="40" w:after="40"/>
              <w:rPr>
                <w:rFonts w:cs="Arial"/>
                <w:b/>
                <w:spacing w:val="-2"/>
                <w:sz w:val="14"/>
                <w:szCs w:val="14"/>
              </w:rPr>
            </w:pPr>
          </w:p>
        </w:tc>
        <w:tc>
          <w:tcPr>
            <w:tcW w:w="1397" w:type="dxa"/>
            <w:gridSpan w:val="2"/>
            <w:tcBorders>
              <w:top w:val="nil"/>
              <w:bottom w:val="single" w:sz="4" w:space="0" w:color="auto"/>
            </w:tcBorders>
            <w:shd w:val="clear" w:color="auto" w:fill="auto"/>
          </w:tcPr>
          <w:p w14:paraId="14CEA4DF" w14:textId="77777777" w:rsidR="00C20063" w:rsidRPr="009A7D77" w:rsidRDefault="00C20063" w:rsidP="00DC062C">
            <w:pPr>
              <w:keepNext/>
              <w:keepLines/>
              <w:spacing w:before="40" w:after="40"/>
              <w:jc w:val="right"/>
              <w:rPr>
                <w:rFonts w:cs="Arial"/>
                <w:b/>
                <w:spacing w:val="-2"/>
                <w:sz w:val="14"/>
                <w:szCs w:val="14"/>
              </w:rPr>
            </w:pPr>
          </w:p>
        </w:tc>
        <w:tc>
          <w:tcPr>
            <w:tcW w:w="1507" w:type="dxa"/>
            <w:tcBorders>
              <w:top w:val="nil"/>
              <w:bottom w:val="single" w:sz="4" w:space="0" w:color="auto"/>
            </w:tcBorders>
            <w:shd w:val="clear" w:color="auto" w:fill="auto"/>
          </w:tcPr>
          <w:p w14:paraId="5697A958" w14:textId="77777777" w:rsidR="00C20063" w:rsidRPr="009A7D77" w:rsidRDefault="00C20063" w:rsidP="00DC062C">
            <w:pPr>
              <w:keepNext/>
              <w:keepLines/>
              <w:spacing w:before="40" w:after="40"/>
              <w:jc w:val="right"/>
              <w:rPr>
                <w:rFonts w:cs="Arial"/>
                <w:b/>
                <w:spacing w:val="-2"/>
                <w:sz w:val="14"/>
                <w:szCs w:val="14"/>
              </w:rPr>
            </w:pPr>
          </w:p>
        </w:tc>
        <w:tc>
          <w:tcPr>
            <w:tcW w:w="238" w:type="dxa"/>
            <w:tcBorders>
              <w:top w:val="nil"/>
              <w:bottom w:val="single" w:sz="2" w:space="0" w:color="1F4E79" w:themeColor="accent1" w:themeShade="80"/>
            </w:tcBorders>
            <w:shd w:val="clear" w:color="auto" w:fill="auto"/>
            <w:vAlign w:val="center"/>
          </w:tcPr>
          <w:p w14:paraId="134886DD" w14:textId="77777777" w:rsidR="00C20063" w:rsidRPr="009A7D77" w:rsidRDefault="00C20063" w:rsidP="00DC062C">
            <w:pPr>
              <w:keepNext/>
              <w:keepLines/>
              <w:spacing w:before="40" w:after="40"/>
              <w:jc w:val="right"/>
              <w:rPr>
                <w:rFonts w:cs="Arial"/>
                <w:b/>
                <w:spacing w:val="-2"/>
                <w:sz w:val="14"/>
                <w:szCs w:val="14"/>
              </w:rPr>
            </w:pPr>
          </w:p>
        </w:tc>
        <w:tc>
          <w:tcPr>
            <w:tcW w:w="1401" w:type="dxa"/>
            <w:tcBorders>
              <w:top w:val="single" w:sz="4" w:space="0" w:color="1F4E79" w:themeColor="accent1" w:themeShade="80"/>
              <w:bottom w:val="single" w:sz="2" w:space="0" w:color="1F4E79" w:themeColor="accent1" w:themeShade="80"/>
            </w:tcBorders>
            <w:shd w:val="clear" w:color="auto" w:fill="auto"/>
          </w:tcPr>
          <w:p w14:paraId="606A835B" w14:textId="77777777" w:rsidR="00C20063" w:rsidRPr="009A7D77" w:rsidRDefault="00C20063" w:rsidP="00DC062C">
            <w:pPr>
              <w:keepNext/>
              <w:keepLines/>
              <w:spacing w:before="40" w:after="40"/>
              <w:jc w:val="right"/>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Quarter 202</w:t>
            </w:r>
            <w:r>
              <w:rPr>
                <w:rFonts w:cs="Arial"/>
                <w:b/>
                <w:sz w:val="14"/>
                <w:szCs w:val="14"/>
              </w:rPr>
              <w:t>3</w:t>
            </w:r>
          </w:p>
        </w:tc>
        <w:tc>
          <w:tcPr>
            <w:tcW w:w="1558" w:type="dxa"/>
            <w:tcBorders>
              <w:top w:val="single" w:sz="4" w:space="0" w:color="1F4E79" w:themeColor="accent1" w:themeShade="80"/>
              <w:bottom w:val="single" w:sz="2" w:space="0" w:color="1F4E79" w:themeColor="accent1" w:themeShade="80"/>
            </w:tcBorders>
            <w:shd w:val="clear" w:color="auto" w:fill="auto"/>
          </w:tcPr>
          <w:p w14:paraId="713E274D" w14:textId="77777777" w:rsidR="00C20063" w:rsidRPr="009A7D77" w:rsidRDefault="00C20063" w:rsidP="00DC062C">
            <w:pPr>
              <w:keepNext/>
              <w:keepLines/>
              <w:spacing w:before="40" w:after="40"/>
              <w:jc w:val="right"/>
              <w:rPr>
                <w:rFonts w:cs="Arial"/>
                <w:b/>
                <w:spacing w:val="-2"/>
                <w:sz w:val="14"/>
                <w:szCs w:val="14"/>
              </w:rPr>
            </w:pPr>
            <w:r w:rsidRPr="001821C3">
              <w:rPr>
                <w:rFonts w:cs="Arial"/>
                <w:b/>
                <w:sz w:val="14"/>
                <w:szCs w:val="14"/>
              </w:rPr>
              <w:t>1</w:t>
            </w:r>
            <w:r w:rsidRPr="001821C3">
              <w:rPr>
                <w:rFonts w:cs="Arial"/>
                <w:b/>
                <w:sz w:val="14"/>
                <w:szCs w:val="14"/>
                <w:vertAlign w:val="superscript"/>
              </w:rPr>
              <w:t>st</w:t>
            </w:r>
            <w:r w:rsidRPr="001821C3">
              <w:rPr>
                <w:rFonts w:cs="Arial"/>
                <w:b/>
                <w:sz w:val="14"/>
                <w:szCs w:val="14"/>
              </w:rPr>
              <w:t xml:space="preserve"> Quarter 2022</w:t>
            </w:r>
          </w:p>
        </w:tc>
      </w:tr>
      <w:tr w:rsidR="00C20063" w:rsidRPr="00A47279" w14:paraId="288B2B19" w14:textId="77777777" w:rsidTr="00DC062C">
        <w:trPr>
          <w:trHeight w:val="238"/>
          <w:jc w:val="center"/>
        </w:trPr>
        <w:tc>
          <w:tcPr>
            <w:tcW w:w="3050" w:type="dxa"/>
            <w:tcBorders>
              <w:top w:val="single" w:sz="2" w:space="0" w:color="1F4E79" w:themeColor="accent1" w:themeShade="80"/>
              <w:bottom w:val="nil"/>
            </w:tcBorders>
            <w:shd w:val="clear" w:color="auto" w:fill="auto"/>
          </w:tcPr>
          <w:p w14:paraId="7C1A1C37" w14:textId="77777777" w:rsidR="00C20063" w:rsidRPr="00A47279" w:rsidRDefault="00C20063" w:rsidP="00DC062C">
            <w:pPr>
              <w:pStyle w:val="08-Tabelageral"/>
              <w:jc w:val="left"/>
              <w:rPr>
                <w:rFonts w:cs="Arial"/>
                <w:szCs w:val="14"/>
                <w:vertAlign w:val="superscript"/>
              </w:rPr>
            </w:pPr>
            <w:r w:rsidRPr="00A370E1">
              <w:rPr>
                <w:rFonts w:cs="Arial"/>
                <w:szCs w:val="14"/>
              </w:rPr>
              <w:t>Administrative cost products</w:t>
            </w:r>
          </w:p>
        </w:tc>
        <w:tc>
          <w:tcPr>
            <w:tcW w:w="488" w:type="dxa"/>
            <w:tcBorders>
              <w:top w:val="single" w:sz="2" w:space="0" w:color="1F4E79" w:themeColor="accent1" w:themeShade="80"/>
              <w:bottom w:val="nil"/>
            </w:tcBorders>
            <w:shd w:val="clear" w:color="auto" w:fill="auto"/>
          </w:tcPr>
          <w:p w14:paraId="10B9538F" w14:textId="77777777" w:rsidR="00C20063" w:rsidRPr="00A47279" w:rsidRDefault="00C20063" w:rsidP="00DC062C">
            <w:pPr>
              <w:pStyle w:val="08-Tabelageral"/>
              <w:rPr>
                <w:rFonts w:cs="Arial"/>
                <w:szCs w:val="14"/>
              </w:rPr>
            </w:pPr>
          </w:p>
        </w:tc>
        <w:tc>
          <w:tcPr>
            <w:tcW w:w="1397" w:type="dxa"/>
            <w:gridSpan w:val="2"/>
            <w:tcBorders>
              <w:top w:val="single" w:sz="2" w:space="0" w:color="1F4E79" w:themeColor="accent1" w:themeShade="80"/>
            </w:tcBorders>
            <w:shd w:val="clear" w:color="auto" w:fill="auto"/>
            <w:vAlign w:val="center"/>
          </w:tcPr>
          <w:p w14:paraId="30C745E1" w14:textId="77777777" w:rsidR="00C20063" w:rsidRPr="00A47279" w:rsidRDefault="00C20063" w:rsidP="00DC062C">
            <w:pPr>
              <w:pStyle w:val="08-Tabelageral"/>
            </w:pPr>
          </w:p>
        </w:tc>
        <w:tc>
          <w:tcPr>
            <w:tcW w:w="1507" w:type="dxa"/>
            <w:tcBorders>
              <w:top w:val="single" w:sz="2" w:space="0" w:color="1F4E79" w:themeColor="accent1" w:themeShade="80"/>
            </w:tcBorders>
            <w:shd w:val="clear" w:color="auto" w:fill="auto"/>
            <w:vAlign w:val="center"/>
          </w:tcPr>
          <w:p w14:paraId="67D093AA" w14:textId="77777777" w:rsidR="00C20063" w:rsidRPr="00A47279" w:rsidRDefault="00C20063" w:rsidP="00DC062C">
            <w:pPr>
              <w:pStyle w:val="08-Tabelageral"/>
            </w:pPr>
          </w:p>
        </w:tc>
        <w:tc>
          <w:tcPr>
            <w:tcW w:w="238" w:type="dxa"/>
            <w:tcBorders>
              <w:top w:val="single" w:sz="2" w:space="0" w:color="1F4E79" w:themeColor="accent1" w:themeShade="80"/>
              <w:bottom w:val="nil"/>
            </w:tcBorders>
            <w:shd w:val="clear" w:color="auto" w:fill="auto"/>
            <w:vAlign w:val="center"/>
          </w:tcPr>
          <w:p w14:paraId="47BDD32C" w14:textId="77777777" w:rsidR="00C20063" w:rsidRPr="00A47279" w:rsidRDefault="00C20063" w:rsidP="00DC062C">
            <w:pPr>
              <w:pStyle w:val="08-Tabelageral"/>
              <w:rPr>
                <w:rFonts w:cs="Arial"/>
                <w:szCs w:val="14"/>
              </w:rPr>
            </w:pPr>
          </w:p>
        </w:tc>
        <w:tc>
          <w:tcPr>
            <w:tcW w:w="1401" w:type="dxa"/>
            <w:tcBorders>
              <w:top w:val="single" w:sz="2" w:space="0" w:color="1F4E79" w:themeColor="accent1" w:themeShade="80"/>
            </w:tcBorders>
            <w:shd w:val="clear" w:color="auto" w:fill="auto"/>
            <w:vAlign w:val="center"/>
          </w:tcPr>
          <w:p w14:paraId="585B26D5" w14:textId="77777777" w:rsidR="00C20063" w:rsidRPr="00A47279" w:rsidRDefault="00C20063" w:rsidP="00DC062C">
            <w:pPr>
              <w:pStyle w:val="08-Tabelageral"/>
            </w:pPr>
            <w:r>
              <w:t>(32.602)</w:t>
            </w:r>
          </w:p>
        </w:tc>
        <w:tc>
          <w:tcPr>
            <w:tcW w:w="1558" w:type="dxa"/>
            <w:tcBorders>
              <w:top w:val="single" w:sz="2" w:space="0" w:color="1F4E79" w:themeColor="accent1" w:themeShade="80"/>
              <w:bottom w:val="nil"/>
            </w:tcBorders>
            <w:shd w:val="clear" w:color="auto" w:fill="auto"/>
          </w:tcPr>
          <w:p w14:paraId="3BEDB024" w14:textId="77777777" w:rsidR="00C20063" w:rsidRPr="00A47279" w:rsidRDefault="00C20063" w:rsidP="00DC062C">
            <w:pPr>
              <w:pStyle w:val="08-Tabelageral"/>
            </w:pPr>
            <w:r w:rsidRPr="00E35AB6">
              <w:t>(31.136)</w:t>
            </w:r>
          </w:p>
        </w:tc>
      </w:tr>
      <w:tr w:rsidR="00C20063" w:rsidRPr="00A47279" w14:paraId="58274C57" w14:textId="77777777" w:rsidTr="00DC062C">
        <w:trPr>
          <w:trHeight w:val="238"/>
          <w:jc w:val="center"/>
        </w:trPr>
        <w:tc>
          <w:tcPr>
            <w:tcW w:w="3050" w:type="dxa"/>
            <w:tcBorders>
              <w:top w:val="nil"/>
            </w:tcBorders>
            <w:shd w:val="clear" w:color="auto" w:fill="auto"/>
          </w:tcPr>
          <w:p w14:paraId="7E0125A3" w14:textId="77777777" w:rsidR="00C20063" w:rsidRPr="00A47279" w:rsidRDefault="00C20063" w:rsidP="00DC062C">
            <w:pPr>
              <w:pStyle w:val="08-Tabelageral"/>
              <w:jc w:val="left"/>
              <w:rPr>
                <w:rFonts w:cs="Arial"/>
                <w:szCs w:val="14"/>
              </w:rPr>
            </w:pPr>
            <w:r w:rsidRPr="00A370E1">
              <w:rPr>
                <w:rFonts w:cs="Arial"/>
                <w:szCs w:val="14"/>
              </w:rPr>
              <w:t>Operational support cost</w:t>
            </w:r>
          </w:p>
        </w:tc>
        <w:tc>
          <w:tcPr>
            <w:tcW w:w="488" w:type="dxa"/>
            <w:tcBorders>
              <w:top w:val="nil"/>
            </w:tcBorders>
            <w:shd w:val="clear" w:color="auto" w:fill="auto"/>
          </w:tcPr>
          <w:p w14:paraId="0D0DC9F7" w14:textId="77777777" w:rsidR="00C20063" w:rsidRPr="00A47279" w:rsidRDefault="00C20063" w:rsidP="00DC062C">
            <w:pPr>
              <w:pStyle w:val="08-Tabelageral"/>
              <w:rPr>
                <w:rFonts w:cs="Arial"/>
                <w:szCs w:val="14"/>
              </w:rPr>
            </w:pPr>
          </w:p>
        </w:tc>
        <w:tc>
          <w:tcPr>
            <w:tcW w:w="1397" w:type="dxa"/>
            <w:gridSpan w:val="2"/>
            <w:shd w:val="clear" w:color="auto" w:fill="auto"/>
            <w:vAlign w:val="center"/>
          </w:tcPr>
          <w:p w14:paraId="6509C3FF" w14:textId="77777777" w:rsidR="00C20063" w:rsidRPr="00A47279" w:rsidRDefault="00C20063" w:rsidP="00DC062C">
            <w:pPr>
              <w:pStyle w:val="08-Tabelageral"/>
            </w:pPr>
          </w:p>
        </w:tc>
        <w:tc>
          <w:tcPr>
            <w:tcW w:w="1507" w:type="dxa"/>
            <w:shd w:val="clear" w:color="auto" w:fill="auto"/>
            <w:vAlign w:val="center"/>
          </w:tcPr>
          <w:p w14:paraId="42B1017A" w14:textId="77777777" w:rsidR="00C20063" w:rsidRPr="00A47279" w:rsidRDefault="00C20063" w:rsidP="00DC062C">
            <w:pPr>
              <w:pStyle w:val="08-Tabelageral"/>
            </w:pPr>
          </w:p>
        </w:tc>
        <w:tc>
          <w:tcPr>
            <w:tcW w:w="238" w:type="dxa"/>
            <w:tcBorders>
              <w:top w:val="nil"/>
            </w:tcBorders>
            <w:shd w:val="clear" w:color="auto" w:fill="auto"/>
            <w:vAlign w:val="center"/>
          </w:tcPr>
          <w:p w14:paraId="1B92781E" w14:textId="77777777" w:rsidR="00C20063" w:rsidRPr="00A47279" w:rsidRDefault="00C20063" w:rsidP="00DC062C">
            <w:pPr>
              <w:pStyle w:val="08-Tabelageral"/>
              <w:rPr>
                <w:rFonts w:cs="Arial"/>
                <w:szCs w:val="14"/>
              </w:rPr>
            </w:pPr>
          </w:p>
        </w:tc>
        <w:tc>
          <w:tcPr>
            <w:tcW w:w="1401" w:type="dxa"/>
            <w:shd w:val="clear" w:color="auto" w:fill="auto"/>
            <w:vAlign w:val="center"/>
          </w:tcPr>
          <w:p w14:paraId="5D16E5B9" w14:textId="77777777" w:rsidR="00C20063" w:rsidRPr="00A47279" w:rsidRDefault="00C20063" w:rsidP="00DC062C">
            <w:pPr>
              <w:pStyle w:val="08-Tabelageral"/>
            </w:pPr>
            <w:r>
              <w:t>(11.995)</w:t>
            </w:r>
          </w:p>
        </w:tc>
        <w:tc>
          <w:tcPr>
            <w:tcW w:w="1558" w:type="dxa"/>
            <w:tcBorders>
              <w:top w:val="nil"/>
            </w:tcBorders>
            <w:shd w:val="clear" w:color="auto" w:fill="auto"/>
          </w:tcPr>
          <w:p w14:paraId="5277C758" w14:textId="77777777" w:rsidR="00C20063" w:rsidRPr="00A47279" w:rsidRDefault="00C20063" w:rsidP="00DC062C">
            <w:pPr>
              <w:pStyle w:val="08-Tabelageral"/>
            </w:pPr>
            <w:r w:rsidRPr="00E35AB6">
              <w:t>(13.234)</w:t>
            </w:r>
          </w:p>
        </w:tc>
      </w:tr>
      <w:tr w:rsidR="00C20063" w:rsidRPr="00A47279" w14:paraId="60E3F3EF" w14:textId="77777777" w:rsidTr="00DC062C">
        <w:trPr>
          <w:trHeight w:val="238"/>
          <w:jc w:val="center"/>
        </w:trPr>
        <w:tc>
          <w:tcPr>
            <w:tcW w:w="3050" w:type="dxa"/>
            <w:tcBorders>
              <w:bottom w:val="nil"/>
            </w:tcBorders>
            <w:shd w:val="clear" w:color="auto" w:fill="auto"/>
          </w:tcPr>
          <w:p w14:paraId="76A8897B" w14:textId="77777777" w:rsidR="00C20063" w:rsidRPr="00A47279" w:rsidRDefault="00C20063" w:rsidP="00DC062C">
            <w:pPr>
              <w:pStyle w:val="08-Tabelageral"/>
              <w:jc w:val="left"/>
              <w:rPr>
                <w:rFonts w:cs="Arial"/>
                <w:szCs w:val="14"/>
              </w:rPr>
            </w:pPr>
            <w:r w:rsidRPr="00A370E1">
              <w:rPr>
                <w:rFonts w:cs="Arial"/>
                <w:szCs w:val="14"/>
              </w:rPr>
              <w:t>Cost of data processing</w:t>
            </w:r>
          </w:p>
        </w:tc>
        <w:tc>
          <w:tcPr>
            <w:tcW w:w="488" w:type="dxa"/>
            <w:tcBorders>
              <w:bottom w:val="nil"/>
            </w:tcBorders>
            <w:shd w:val="clear" w:color="auto" w:fill="auto"/>
          </w:tcPr>
          <w:p w14:paraId="3AAF38C2" w14:textId="77777777" w:rsidR="00C20063" w:rsidRPr="00A47279" w:rsidRDefault="00C20063" w:rsidP="00DC062C">
            <w:pPr>
              <w:pStyle w:val="08-Tabelageral"/>
              <w:rPr>
                <w:rFonts w:cs="Arial"/>
                <w:szCs w:val="14"/>
              </w:rPr>
            </w:pPr>
          </w:p>
        </w:tc>
        <w:tc>
          <w:tcPr>
            <w:tcW w:w="1397" w:type="dxa"/>
            <w:gridSpan w:val="2"/>
            <w:tcBorders>
              <w:bottom w:val="nil"/>
            </w:tcBorders>
            <w:shd w:val="clear" w:color="auto" w:fill="auto"/>
            <w:vAlign w:val="center"/>
          </w:tcPr>
          <w:p w14:paraId="6F2134BA" w14:textId="77777777" w:rsidR="00C20063" w:rsidRPr="00A47279" w:rsidRDefault="00C20063" w:rsidP="00DC062C">
            <w:pPr>
              <w:pStyle w:val="08-Tabelageral"/>
            </w:pPr>
          </w:p>
        </w:tc>
        <w:tc>
          <w:tcPr>
            <w:tcW w:w="1507" w:type="dxa"/>
            <w:tcBorders>
              <w:bottom w:val="nil"/>
            </w:tcBorders>
            <w:shd w:val="clear" w:color="auto" w:fill="auto"/>
            <w:vAlign w:val="center"/>
          </w:tcPr>
          <w:p w14:paraId="67F0C3FF" w14:textId="77777777" w:rsidR="00C20063" w:rsidRPr="00A47279" w:rsidRDefault="00C20063" w:rsidP="00DC062C">
            <w:pPr>
              <w:pStyle w:val="08-Tabelageral"/>
            </w:pPr>
          </w:p>
        </w:tc>
        <w:tc>
          <w:tcPr>
            <w:tcW w:w="238" w:type="dxa"/>
            <w:tcBorders>
              <w:bottom w:val="nil"/>
            </w:tcBorders>
            <w:shd w:val="clear" w:color="auto" w:fill="auto"/>
            <w:vAlign w:val="center"/>
          </w:tcPr>
          <w:p w14:paraId="1A9BF45E" w14:textId="77777777" w:rsidR="00C20063" w:rsidRPr="00A47279" w:rsidRDefault="00C20063" w:rsidP="00DC062C">
            <w:pPr>
              <w:pStyle w:val="08-Tabelageral"/>
              <w:rPr>
                <w:rFonts w:cs="Arial"/>
                <w:szCs w:val="14"/>
              </w:rPr>
            </w:pPr>
          </w:p>
        </w:tc>
        <w:tc>
          <w:tcPr>
            <w:tcW w:w="1401" w:type="dxa"/>
            <w:tcBorders>
              <w:bottom w:val="nil"/>
            </w:tcBorders>
            <w:shd w:val="clear" w:color="auto" w:fill="auto"/>
            <w:vAlign w:val="center"/>
          </w:tcPr>
          <w:p w14:paraId="6BFA6EBF" w14:textId="77777777" w:rsidR="00C20063" w:rsidRPr="00A47279" w:rsidRDefault="00C20063" w:rsidP="00DC062C">
            <w:pPr>
              <w:pStyle w:val="08-Tabelageral"/>
            </w:pPr>
            <w:r>
              <w:t>(6.127)</w:t>
            </w:r>
          </w:p>
        </w:tc>
        <w:tc>
          <w:tcPr>
            <w:tcW w:w="1558" w:type="dxa"/>
            <w:tcBorders>
              <w:bottom w:val="nil"/>
            </w:tcBorders>
            <w:shd w:val="clear" w:color="auto" w:fill="auto"/>
          </w:tcPr>
          <w:p w14:paraId="017782DC" w14:textId="77777777" w:rsidR="00C20063" w:rsidRPr="00A47279" w:rsidRDefault="00C20063" w:rsidP="00DC062C">
            <w:pPr>
              <w:pStyle w:val="08-Tabelageral"/>
            </w:pPr>
            <w:r w:rsidRPr="00E35AB6">
              <w:t>(3.668)</w:t>
            </w:r>
          </w:p>
        </w:tc>
      </w:tr>
      <w:tr w:rsidR="00C20063" w:rsidRPr="00FA3D92" w14:paraId="472F160F" w14:textId="77777777" w:rsidTr="00DC062C">
        <w:trPr>
          <w:trHeight w:val="238"/>
          <w:jc w:val="center"/>
        </w:trPr>
        <w:tc>
          <w:tcPr>
            <w:tcW w:w="3050" w:type="dxa"/>
            <w:tcBorders>
              <w:top w:val="nil"/>
              <w:bottom w:val="single" w:sz="2" w:space="0" w:color="1F4E79" w:themeColor="accent1" w:themeShade="80"/>
            </w:tcBorders>
            <w:shd w:val="clear" w:color="auto" w:fill="auto"/>
          </w:tcPr>
          <w:p w14:paraId="2411F2A4" w14:textId="77777777" w:rsidR="00C20063" w:rsidRPr="00FA3D92" w:rsidRDefault="00C20063" w:rsidP="00DC062C">
            <w:pPr>
              <w:keepNext/>
              <w:keepLines/>
              <w:spacing w:before="40" w:after="40"/>
              <w:rPr>
                <w:rFonts w:cs="Arial"/>
                <w:b/>
                <w:bCs/>
                <w:spacing w:val="-2"/>
                <w:sz w:val="14"/>
                <w:szCs w:val="14"/>
              </w:rPr>
            </w:pPr>
            <w:r w:rsidRPr="00FA3D92">
              <w:rPr>
                <w:rFonts w:cs="Arial"/>
                <w:b/>
                <w:bCs/>
                <w:spacing w:val="-2"/>
                <w:sz w:val="14"/>
                <w:szCs w:val="14"/>
              </w:rPr>
              <w:t>Total</w:t>
            </w:r>
          </w:p>
        </w:tc>
        <w:tc>
          <w:tcPr>
            <w:tcW w:w="488" w:type="dxa"/>
            <w:tcBorders>
              <w:top w:val="nil"/>
              <w:bottom w:val="single" w:sz="2" w:space="0" w:color="1F4E79" w:themeColor="accent1" w:themeShade="80"/>
            </w:tcBorders>
            <w:shd w:val="clear" w:color="auto" w:fill="auto"/>
          </w:tcPr>
          <w:p w14:paraId="5F964236" w14:textId="77777777" w:rsidR="00C20063" w:rsidRPr="00FA3D92" w:rsidRDefault="00C20063" w:rsidP="00DC062C">
            <w:pPr>
              <w:keepNext/>
              <w:keepLines/>
              <w:spacing w:before="40" w:after="40"/>
              <w:jc w:val="center"/>
              <w:rPr>
                <w:rFonts w:cs="Arial"/>
                <w:b/>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2276FA25" w14:textId="77777777" w:rsidR="00C20063" w:rsidRPr="00FA3D92" w:rsidRDefault="00C20063" w:rsidP="00DC062C">
            <w:pPr>
              <w:pStyle w:val="08-Tabelageral"/>
              <w:rPr>
                <w:b/>
                <w:bCs/>
              </w:rPr>
            </w:pPr>
          </w:p>
        </w:tc>
        <w:tc>
          <w:tcPr>
            <w:tcW w:w="1507" w:type="dxa"/>
            <w:tcBorders>
              <w:top w:val="nil"/>
              <w:bottom w:val="single" w:sz="2" w:space="0" w:color="1F4E79" w:themeColor="accent1" w:themeShade="80"/>
            </w:tcBorders>
            <w:shd w:val="clear" w:color="auto" w:fill="auto"/>
            <w:vAlign w:val="center"/>
          </w:tcPr>
          <w:p w14:paraId="49671FD4" w14:textId="77777777" w:rsidR="00C20063" w:rsidRPr="00FA3D92" w:rsidRDefault="00C20063" w:rsidP="00DC062C">
            <w:pPr>
              <w:pStyle w:val="08-Tabelageral"/>
              <w:rPr>
                <w:b/>
                <w:bCs/>
              </w:rPr>
            </w:pPr>
          </w:p>
        </w:tc>
        <w:tc>
          <w:tcPr>
            <w:tcW w:w="238" w:type="dxa"/>
            <w:tcBorders>
              <w:top w:val="nil"/>
              <w:bottom w:val="single" w:sz="2" w:space="0" w:color="1F4E79" w:themeColor="accent1" w:themeShade="80"/>
            </w:tcBorders>
            <w:shd w:val="clear" w:color="auto" w:fill="auto"/>
            <w:vAlign w:val="center"/>
          </w:tcPr>
          <w:p w14:paraId="143CDF4F" w14:textId="77777777" w:rsidR="00C20063" w:rsidRPr="00FA3D92" w:rsidRDefault="00C20063" w:rsidP="00DC062C">
            <w:pPr>
              <w:keepNext/>
              <w:keepLines/>
              <w:spacing w:before="40" w:after="40"/>
              <w:jc w:val="right"/>
              <w:rPr>
                <w:rFonts w:cs="Arial"/>
                <w:b/>
                <w:bCs/>
                <w:spacing w:val="-2"/>
                <w:sz w:val="14"/>
                <w:szCs w:val="14"/>
              </w:rPr>
            </w:pPr>
          </w:p>
        </w:tc>
        <w:tc>
          <w:tcPr>
            <w:tcW w:w="1401" w:type="dxa"/>
            <w:tcBorders>
              <w:top w:val="nil"/>
              <w:bottom w:val="single" w:sz="2" w:space="0" w:color="1F4E79" w:themeColor="accent1" w:themeShade="80"/>
            </w:tcBorders>
            <w:shd w:val="clear" w:color="auto" w:fill="auto"/>
            <w:vAlign w:val="center"/>
          </w:tcPr>
          <w:p w14:paraId="7E4FA4A0" w14:textId="77777777" w:rsidR="00C20063" w:rsidRPr="00FA3D92" w:rsidRDefault="00C20063" w:rsidP="00DC062C">
            <w:pPr>
              <w:pStyle w:val="08-Tabelageral"/>
              <w:rPr>
                <w:b/>
                <w:bCs/>
              </w:rPr>
            </w:pPr>
            <w:r>
              <w:rPr>
                <w:b/>
                <w:bCs/>
              </w:rPr>
              <w:t>(50.723)</w:t>
            </w:r>
          </w:p>
        </w:tc>
        <w:tc>
          <w:tcPr>
            <w:tcW w:w="1558" w:type="dxa"/>
            <w:tcBorders>
              <w:top w:val="nil"/>
              <w:bottom w:val="single" w:sz="2" w:space="0" w:color="1F4E79" w:themeColor="accent1" w:themeShade="80"/>
            </w:tcBorders>
            <w:shd w:val="clear" w:color="auto" w:fill="auto"/>
          </w:tcPr>
          <w:p w14:paraId="506B808A" w14:textId="77777777" w:rsidR="00C20063" w:rsidRPr="00FA3D92" w:rsidRDefault="00C20063" w:rsidP="00DC062C">
            <w:pPr>
              <w:pStyle w:val="08-Tabelageral"/>
              <w:rPr>
                <w:b/>
                <w:bCs/>
              </w:rPr>
            </w:pPr>
            <w:r w:rsidRPr="00E35AB6">
              <w:rPr>
                <w:b/>
              </w:rPr>
              <w:t>(48.038)</w:t>
            </w:r>
          </w:p>
        </w:tc>
      </w:tr>
    </w:tbl>
    <w:p w14:paraId="746E14D0" w14:textId="77777777" w:rsidR="00C20063" w:rsidRPr="00654762" w:rsidRDefault="00C20063" w:rsidP="00DC062C">
      <w:pPr>
        <w:pStyle w:val="01-TtulodeNota"/>
        <w:jc w:val="left"/>
        <w:rPr>
          <w:color w:val="1F4E79" w:themeColor="accent1" w:themeShade="80"/>
          <w:lang w:val="en-US"/>
        </w:rPr>
      </w:pPr>
      <w:r w:rsidRPr="00654762">
        <w:rPr>
          <w:b w:val="0"/>
          <w:sz w:val="18"/>
          <w:szCs w:val="18"/>
          <w:lang w:val="en-US"/>
        </w:rPr>
        <w:t>There are no service costs provided in Parent</w:t>
      </w:r>
      <w:r>
        <w:rPr>
          <w:b w:val="0"/>
          <w:sz w:val="18"/>
          <w:szCs w:val="18"/>
          <w:lang w:val="en-US"/>
        </w:rPr>
        <w:t>.</w:t>
      </w:r>
    </w:p>
    <w:p w14:paraId="0F3F4F69" w14:textId="35C64FE0" w:rsidR="00C20063" w:rsidRPr="0042627D" w:rsidRDefault="00C20063" w:rsidP="00DC062C">
      <w:pPr>
        <w:pStyle w:val="Ttulo1"/>
        <w:rPr>
          <w:b w:val="0"/>
          <w:bCs w:val="0"/>
        </w:rPr>
      </w:pPr>
      <w:bookmarkStart w:id="35" w:name="_Toc134823574"/>
      <w:r w:rsidRPr="0042627D">
        <w:t>10 – PERSONNEL EXPENSES</w:t>
      </w:r>
      <w:bookmarkEnd w:id="35"/>
    </w:p>
    <w:p w14:paraId="0AD6240C" w14:textId="77777777" w:rsidR="00C20063" w:rsidRPr="002A40FF" w:rsidRDefault="00C20063" w:rsidP="00DC062C">
      <w:pPr>
        <w:pStyle w:val="01-TtulodeNota"/>
        <w:spacing w:before="0" w:after="0"/>
        <w:jc w:val="right"/>
        <w:rPr>
          <w:rFonts w:cs="Arial"/>
          <w:sz w:val="14"/>
          <w:szCs w:val="14"/>
        </w:rPr>
      </w:pPr>
      <w:bookmarkStart w:id="36" w:name="_Hlk109722255"/>
      <w:r w:rsidRPr="002A40FF">
        <w:rPr>
          <w:rFonts w:cs="Arial"/>
          <w:sz w:val="14"/>
          <w:szCs w:val="14"/>
        </w:rPr>
        <w:t>R$ thousand</w:t>
      </w:r>
    </w:p>
    <w:tbl>
      <w:tblPr>
        <w:tblStyle w:val="TabeladeLista6Colorida-nfase510"/>
        <w:tblW w:w="9639" w:type="dxa"/>
        <w:tblInd w:w="108" w:type="dxa"/>
        <w:tblLook w:val="04A0" w:firstRow="1" w:lastRow="0" w:firstColumn="1" w:lastColumn="0" w:noHBand="0" w:noVBand="1"/>
      </w:tblPr>
      <w:tblGrid>
        <w:gridCol w:w="850"/>
        <w:gridCol w:w="2244"/>
        <w:gridCol w:w="604"/>
        <w:gridCol w:w="1411"/>
        <w:gridCol w:w="1412"/>
        <w:gridCol w:w="283"/>
        <w:gridCol w:w="1417"/>
        <w:gridCol w:w="1418"/>
      </w:tblGrid>
      <w:tr w:rsidR="00C20063" w:rsidRPr="002A40FF" w14:paraId="0A02DCB6" w14:textId="77777777" w:rsidTr="00DC062C">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54319CFA" w14:textId="77777777" w:rsidR="00C20063" w:rsidRPr="002A40FF" w:rsidRDefault="00C20063" w:rsidP="00DC062C">
            <w:pPr>
              <w:pStyle w:val="08-Tabelageral"/>
              <w:jc w:val="center"/>
              <w:rPr>
                <w:rFonts w:cs="Arial"/>
                <w:szCs w:val="14"/>
              </w:rPr>
            </w:pPr>
            <w:bookmarkStart w:id="37" w:name="_Hlk109722238"/>
            <w:bookmarkEnd w:id="36"/>
          </w:p>
        </w:tc>
        <w:tc>
          <w:tcPr>
            <w:tcW w:w="2848" w:type="dxa"/>
            <w:gridSpan w:val="2"/>
            <w:tcBorders>
              <w:top w:val="single" w:sz="2" w:space="0" w:color="1F4E79" w:themeColor="accent1" w:themeShade="80"/>
              <w:bottom w:val="nil"/>
            </w:tcBorders>
            <w:shd w:val="clear" w:color="auto" w:fill="auto"/>
          </w:tcPr>
          <w:p w14:paraId="0E5FFAA4" w14:textId="77777777" w:rsidR="00C20063" w:rsidRPr="002A40FF" w:rsidRDefault="00C20063" w:rsidP="00DC062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131F1490" w14:textId="77777777" w:rsidR="00C20063" w:rsidRPr="002A40FF" w:rsidRDefault="00C20063" w:rsidP="00DC062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2A648785" w14:textId="77777777" w:rsidR="00C20063" w:rsidRPr="002A40FF" w:rsidRDefault="00C20063" w:rsidP="00DC062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6DAFBD6C" w14:textId="77777777" w:rsidR="00C20063" w:rsidRPr="002A40FF" w:rsidRDefault="00C20063" w:rsidP="00DC062C">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C20063" w:rsidRPr="002A40FF" w14:paraId="5C128D56" w14:textId="77777777" w:rsidTr="00DC062C">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2AD9EAFD" w14:textId="77777777" w:rsidR="00C20063" w:rsidRPr="002A40FF" w:rsidRDefault="00C20063" w:rsidP="00DC062C">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0518C095" w14:textId="77777777" w:rsidR="00C20063" w:rsidRPr="002A40FF" w:rsidRDefault="00C20063" w:rsidP="00DC062C">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21A0D159" w14:textId="77777777" w:rsidR="00C20063" w:rsidRPr="002A40FF" w:rsidRDefault="00C20063" w:rsidP="00DC062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F74EC0">
              <w:rPr>
                <w:rFonts w:cs="Arial"/>
                <w:b/>
                <w:spacing w:val="-2"/>
                <w:sz w:val="14"/>
                <w:szCs w:val="14"/>
              </w:rPr>
              <w:t>1</w:t>
            </w:r>
            <w:r w:rsidRPr="00F74EC0">
              <w:rPr>
                <w:rFonts w:cs="Arial"/>
                <w:b/>
                <w:spacing w:val="-2"/>
                <w:sz w:val="14"/>
                <w:szCs w:val="14"/>
                <w:vertAlign w:val="superscript"/>
              </w:rPr>
              <w:t>st</w:t>
            </w:r>
            <w:r w:rsidRPr="00F74EC0">
              <w:rPr>
                <w:rFonts w:cs="Arial"/>
                <w:b/>
                <w:spacing w:val="-2"/>
                <w:sz w:val="14"/>
                <w:szCs w:val="14"/>
              </w:rPr>
              <w:t xml:space="preserve"> Quarter 202</w:t>
            </w:r>
            <w:r>
              <w:rPr>
                <w:rFonts w:cs="Arial"/>
                <w:b/>
                <w:spacing w:val="-2"/>
                <w:sz w:val="14"/>
                <w:szCs w:val="14"/>
              </w:rPr>
              <w:t>3</w:t>
            </w:r>
          </w:p>
        </w:tc>
        <w:tc>
          <w:tcPr>
            <w:tcW w:w="1412" w:type="dxa"/>
            <w:tcBorders>
              <w:top w:val="single" w:sz="4" w:space="0" w:color="1F4E79" w:themeColor="accent1" w:themeShade="80"/>
              <w:bottom w:val="single" w:sz="2" w:space="0" w:color="1F4E79" w:themeColor="accent1" w:themeShade="80"/>
            </w:tcBorders>
            <w:shd w:val="clear" w:color="auto" w:fill="auto"/>
          </w:tcPr>
          <w:p w14:paraId="318C062B" w14:textId="77777777" w:rsidR="00C20063" w:rsidRPr="002A40FF" w:rsidRDefault="00C20063" w:rsidP="00DC062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F74EC0">
              <w:rPr>
                <w:rFonts w:cs="Arial"/>
                <w:b/>
                <w:spacing w:val="-2"/>
                <w:sz w:val="14"/>
                <w:szCs w:val="14"/>
              </w:rPr>
              <w:t>1</w:t>
            </w:r>
            <w:r w:rsidRPr="00453228">
              <w:rPr>
                <w:rFonts w:cs="Arial"/>
                <w:b/>
                <w:spacing w:val="-2"/>
                <w:sz w:val="14"/>
                <w:szCs w:val="14"/>
                <w:vertAlign w:val="superscript"/>
              </w:rPr>
              <w:t>st</w:t>
            </w:r>
            <w:r w:rsidRPr="00F74EC0">
              <w:rPr>
                <w:rFonts w:cs="Arial"/>
                <w:b/>
                <w:spacing w:val="-2"/>
                <w:sz w:val="14"/>
                <w:szCs w:val="14"/>
              </w:rPr>
              <w:t xml:space="preserve"> Quarter 202</w:t>
            </w:r>
            <w:r>
              <w:rPr>
                <w:rFonts w:cs="Arial"/>
                <w:b/>
                <w:spacing w:val="-2"/>
                <w:sz w:val="14"/>
                <w:szCs w:val="14"/>
              </w:rPr>
              <w:t>2</w:t>
            </w:r>
          </w:p>
        </w:tc>
        <w:tc>
          <w:tcPr>
            <w:tcW w:w="283" w:type="dxa"/>
            <w:tcBorders>
              <w:top w:val="nil"/>
              <w:bottom w:val="single" w:sz="2" w:space="0" w:color="1F4E79" w:themeColor="accent1" w:themeShade="80"/>
            </w:tcBorders>
            <w:shd w:val="clear" w:color="auto" w:fill="auto"/>
            <w:vAlign w:val="center"/>
          </w:tcPr>
          <w:p w14:paraId="63D57A5B" w14:textId="77777777" w:rsidR="00C20063" w:rsidRPr="002A40FF" w:rsidRDefault="00C20063" w:rsidP="00DC062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0FC3F3FE" w14:textId="77777777" w:rsidR="00C20063" w:rsidRPr="002A40FF" w:rsidRDefault="00C20063" w:rsidP="00DC062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F74EC0">
              <w:rPr>
                <w:rFonts w:cs="Arial"/>
                <w:b/>
                <w:spacing w:val="-2"/>
                <w:sz w:val="14"/>
                <w:szCs w:val="14"/>
              </w:rPr>
              <w:t>1</w:t>
            </w:r>
            <w:r w:rsidRPr="00F74EC0">
              <w:rPr>
                <w:rFonts w:cs="Arial"/>
                <w:b/>
                <w:spacing w:val="-2"/>
                <w:sz w:val="14"/>
                <w:szCs w:val="14"/>
                <w:vertAlign w:val="superscript"/>
              </w:rPr>
              <w:t>st</w:t>
            </w:r>
            <w:r w:rsidRPr="00F74EC0">
              <w:rPr>
                <w:rFonts w:cs="Arial"/>
                <w:b/>
                <w:spacing w:val="-2"/>
                <w:sz w:val="14"/>
                <w:szCs w:val="14"/>
              </w:rPr>
              <w:t xml:space="preserve"> Quarter 202</w:t>
            </w:r>
            <w:r>
              <w:rPr>
                <w:rFonts w:cs="Arial"/>
                <w:b/>
                <w:spacing w:val="-2"/>
                <w:sz w:val="14"/>
                <w:szCs w:val="14"/>
              </w:rPr>
              <w:t>3</w:t>
            </w:r>
          </w:p>
        </w:tc>
        <w:tc>
          <w:tcPr>
            <w:tcW w:w="1418" w:type="dxa"/>
            <w:tcBorders>
              <w:top w:val="single" w:sz="4" w:space="0" w:color="1F4E79" w:themeColor="accent1" w:themeShade="80"/>
              <w:bottom w:val="single" w:sz="2" w:space="0" w:color="1F4E79" w:themeColor="accent1" w:themeShade="80"/>
            </w:tcBorders>
            <w:shd w:val="clear" w:color="auto" w:fill="auto"/>
          </w:tcPr>
          <w:p w14:paraId="6B73FF35" w14:textId="77777777" w:rsidR="00C20063" w:rsidRPr="002A40FF" w:rsidRDefault="00C20063" w:rsidP="00DC062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F74EC0">
              <w:rPr>
                <w:rFonts w:cs="Arial"/>
                <w:b/>
                <w:spacing w:val="-2"/>
                <w:sz w:val="14"/>
                <w:szCs w:val="14"/>
              </w:rPr>
              <w:t>1</w:t>
            </w:r>
            <w:r w:rsidRPr="00453228">
              <w:rPr>
                <w:rFonts w:cs="Arial"/>
                <w:b/>
                <w:spacing w:val="-2"/>
                <w:sz w:val="14"/>
                <w:szCs w:val="14"/>
                <w:vertAlign w:val="superscript"/>
              </w:rPr>
              <w:t xml:space="preserve">st </w:t>
            </w:r>
            <w:r w:rsidRPr="00F74EC0">
              <w:rPr>
                <w:rFonts w:cs="Arial"/>
                <w:b/>
                <w:spacing w:val="-2"/>
                <w:sz w:val="14"/>
                <w:szCs w:val="14"/>
              </w:rPr>
              <w:t>Quarter 202</w:t>
            </w:r>
            <w:r>
              <w:rPr>
                <w:rFonts w:cs="Arial"/>
                <w:b/>
                <w:spacing w:val="-2"/>
                <w:sz w:val="14"/>
                <w:szCs w:val="14"/>
              </w:rPr>
              <w:t>2</w:t>
            </w:r>
          </w:p>
        </w:tc>
      </w:tr>
      <w:tr w:rsidR="00C20063" w:rsidRPr="002A40FF" w14:paraId="46D44A74" w14:textId="77777777" w:rsidTr="00DC06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4EC50A76" w14:textId="77777777" w:rsidR="00C20063" w:rsidRPr="00F74EC0" w:rsidRDefault="00C20063" w:rsidP="00DC062C">
            <w:pPr>
              <w:pStyle w:val="08-Tabelageral"/>
              <w:jc w:val="left"/>
              <w:rPr>
                <w:b w:val="0"/>
                <w:bCs w:val="0"/>
              </w:rPr>
            </w:pPr>
            <w:r w:rsidRPr="00F74EC0">
              <w:rPr>
                <w:b w:val="0"/>
                <w:bCs w:val="0"/>
              </w:rPr>
              <w:t xml:space="preserve">Salaries </w:t>
            </w:r>
          </w:p>
        </w:tc>
        <w:tc>
          <w:tcPr>
            <w:tcW w:w="604" w:type="dxa"/>
            <w:tcBorders>
              <w:top w:val="single" w:sz="2" w:space="0" w:color="1F4E79" w:themeColor="accent1" w:themeShade="80"/>
              <w:bottom w:val="nil"/>
            </w:tcBorders>
            <w:shd w:val="clear" w:color="auto" w:fill="auto"/>
            <w:vAlign w:val="center"/>
          </w:tcPr>
          <w:p w14:paraId="782F321F"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 xml:space="preserve">  </w:t>
            </w:r>
          </w:p>
        </w:tc>
        <w:tc>
          <w:tcPr>
            <w:tcW w:w="1411" w:type="dxa"/>
            <w:tcBorders>
              <w:top w:val="single" w:sz="2" w:space="0" w:color="1F4E79" w:themeColor="accent1" w:themeShade="80"/>
              <w:bottom w:val="nil"/>
            </w:tcBorders>
            <w:shd w:val="clear" w:color="auto" w:fill="auto"/>
            <w:vAlign w:val="center"/>
          </w:tcPr>
          <w:p w14:paraId="45A2C69F"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(1,873)</w:t>
            </w:r>
          </w:p>
        </w:tc>
        <w:tc>
          <w:tcPr>
            <w:tcW w:w="1412" w:type="dxa"/>
            <w:tcBorders>
              <w:top w:val="single" w:sz="2" w:space="0" w:color="1F4E79" w:themeColor="accent1" w:themeShade="80"/>
              <w:bottom w:val="nil"/>
            </w:tcBorders>
            <w:shd w:val="clear" w:color="auto" w:fill="auto"/>
            <w:vAlign w:val="center"/>
          </w:tcPr>
          <w:p w14:paraId="10AAA93E"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(1,721)</w:t>
            </w:r>
          </w:p>
        </w:tc>
        <w:tc>
          <w:tcPr>
            <w:tcW w:w="283" w:type="dxa"/>
            <w:tcBorders>
              <w:top w:val="single" w:sz="2" w:space="0" w:color="1F4E79" w:themeColor="accent1" w:themeShade="80"/>
              <w:bottom w:val="nil"/>
            </w:tcBorders>
            <w:shd w:val="clear" w:color="auto" w:fill="auto"/>
            <w:vAlign w:val="center"/>
          </w:tcPr>
          <w:p w14:paraId="7E2B5D14"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609EB2E3"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(10,497)</w:t>
            </w:r>
          </w:p>
        </w:tc>
        <w:tc>
          <w:tcPr>
            <w:tcW w:w="1418" w:type="dxa"/>
            <w:tcBorders>
              <w:top w:val="single" w:sz="2" w:space="0" w:color="1F4E79" w:themeColor="accent1" w:themeShade="80"/>
              <w:bottom w:val="nil"/>
            </w:tcBorders>
            <w:shd w:val="clear" w:color="auto" w:fill="auto"/>
            <w:vAlign w:val="center"/>
          </w:tcPr>
          <w:p w14:paraId="43419A96"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(8,952)</w:t>
            </w:r>
          </w:p>
        </w:tc>
      </w:tr>
      <w:tr w:rsidR="00C20063" w:rsidRPr="002A40FF" w14:paraId="1605EE22" w14:textId="77777777" w:rsidTr="00DC062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59391570" w14:textId="77777777" w:rsidR="00C20063" w:rsidRPr="00F74EC0" w:rsidRDefault="00C20063" w:rsidP="00DC062C">
            <w:pPr>
              <w:pStyle w:val="08-Tabelageral"/>
              <w:jc w:val="left"/>
              <w:rPr>
                <w:b w:val="0"/>
                <w:bCs w:val="0"/>
              </w:rPr>
            </w:pPr>
            <w:r w:rsidRPr="00F74EC0">
              <w:rPr>
                <w:b w:val="0"/>
                <w:bCs w:val="0"/>
              </w:rPr>
              <w:t>Social security costs</w:t>
            </w:r>
          </w:p>
        </w:tc>
        <w:tc>
          <w:tcPr>
            <w:tcW w:w="604" w:type="dxa"/>
            <w:tcBorders>
              <w:top w:val="nil"/>
              <w:bottom w:val="nil"/>
            </w:tcBorders>
            <w:shd w:val="clear" w:color="auto" w:fill="auto"/>
            <w:vAlign w:val="center"/>
          </w:tcPr>
          <w:p w14:paraId="7DF84698"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tcBorders>
              <w:top w:val="nil"/>
            </w:tcBorders>
            <w:shd w:val="clear" w:color="auto" w:fill="auto"/>
            <w:vAlign w:val="center"/>
          </w:tcPr>
          <w:p w14:paraId="38B93E6A"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(1,138)</w:t>
            </w:r>
          </w:p>
        </w:tc>
        <w:tc>
          <w:tcPr>
            <w:tcW w:w="1412" w:type="dxa"/>
            <w:tcBorders>
              <w:top w:val="nil"/>
            </w:tcBorders>
            <w:shd w:val="clear" w:color="auto" w:fill="auto"/>
            <w:vAlign w:val="center"/>
          </w:tcPr>
          <w:p w14:paraId="359C3277"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(940)</w:t>
            </w:r>
          </w:p>
        </w:tc>
        <w:tc>
          <w:tcPr>
            <w:tcW w:w="283" w:type="dxa"/>
            <w:tcBorders>
              <w:top w:val="nil"/>
            </w:tcBorders>
            <w:shd w:val="clear" w:color="auto" w:fill="auto"/>
            <w:vAlign w:val="center"/>
          </w:tcPr>
          <w:p w14:paraId="4448BD6C"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3597A8EF"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(6,069)</w:t>
            </w:r>
          </w:p>
        </w:tc>
        <w:tc>
          <w:tcPr>
            <w:tcW w:w="1418" w:type="dxa"/>
            <w:tcBorders>
              <w:top w:val="nil"/>
            </w:tcBorders>
            <w:shd w:val="clear" w:color="auto" w:fill="auto"/>
            <w:vAlign w:val="center"/>
          </w:tcPr>
          <w:p w14:paraId="1638A45B"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(4,755)</w:t>
            </w:r>
          </w:p>
        </w:tc>
      </w:tr>
      <w:tr w:rsidR="00C20063" w:rsidRPr="002A40FF" w14:paraId="401935C9" w14:textId="77777777" w:rsidTr="00DC06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7C8D553B" w14:textId="77777777" w:rsidR="00C20063" w:rsidRPr="00F74EC0" w:rsidRDefault="00C20063" w:rsidP="00DC062C">
            <w:pPr>
              <w:pStyle w:val="08-Tabelageral"/>
              <w:jc w:val="left"/>
              <w:rPr>
                <w:b w:val="0"/>
                <w:bCs w:val="0"/>
              </w:rPr>
            </w:pPr>
            <w:r w:rsidRPr="00F74EC0">
              <w:rPr>
                <w:b w:val="0"/>
                <w:bCs w:val="0"/>
              </w:rPr>
              <w:t>Benefits</w:t>
            </w:r>
          </w:p>
        </w:tc>
        <w:tc>
          <w:tcPr>
            <w:tcW w:w="604" w:type="dxa"/>
            <w:shd w:val="clear" w:color="auto" w:fill="auto"/>
            <w:vAlign w:val="center"/>
          </w:tcPr>
          <w:p w14:paraId="550BB231"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vAlign w:val="center"/>
          </w:tcPr>
          <w:p w14:paraId="3CBFE216"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(300)</w:t>
            </w:r>
          </w:p>
        </w:tc>
        <w:tc>
          <w:tcPr>
            <w:tcW w:w="1412" w:type="dxa"/>
            <w:shd w:val="clear" w:color="auto" w:fill="auto"/>
            <w:vAlign w:val="center"/>
          </w:tcPr>
          <w:p w14:paraId="28512921"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(266)</w:t>
            </w:r>
          </w:p>
        </w:tc>
        <w:tc>
          <w:tcPr>
            <w:tcW w:w="283" w:type="dxa"/>
            <w:shd w:val="clear" w:color="auto" w:fill="auto"/>
            <w:vAlign w:val="center"/>
          </w:tcPr>
          <w:p w14:paraId="4CA3A73C"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3D53973E"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(1,823)</w:t>
            </w:r>
          </w:p>
        </w:tc>
        <w:tc>
          <w:tcPr>
            <w:tcW w:w="1418" w:type="dxa"/>
            <w:shd w:val="clear" w:color="auto" w:fill="auto"/>
            <w:vAlign w:val="center"/>
          </w:tcPr>
          <w:p w14:paraId="4ADDF552"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(1,569)</w:t>
            </w:r>
          </w:p>
        </w:tc>
      </w:tr>
      <w:tr w:rsidR="00C20063" w:rsidRPr="002A40FF" w14:paraId="691B9F45" w14:textId="77777777" w:rsidTr="00DC062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2231488C" w14:textId="77777777" w:rsidR="00C20063" w:rsidRPr="00F74EC0" w:rsidRDefault="00C20063" w:rsidP="00DC062C">
            <w:pPr>
              <w:pStyle w:val="08-Tabelageral"/>
              <w:jc w:val="left"/>
              <w:rPr>
                <w:b w:val="0"/>
                <w:bCs w:val="0"/>
              </w:rPr>
            </w:pPr>
            <w:r w:rsidRPr="00F74EC0">
              <w:rPr>
                <w:b w:val="0"/>
                <w:bCs w:val="0"/>
              </w:rPr>
              <w:t xml:space="preserve">Fees </w:t>
            </w:r>
          </w:p>
        </w:tc>
        <w:tc>
          <w:tcPr>
            <w:tcW w:w="604" w:type="dxa"/>
            <w:tcBorders>
              <w:top w:val="nil"/>
              <w:bottom w:val="nil"/>
            </w:tcBorders>
            <w:shd w:val="clear" w:color="auto" w:fill="auto"/>
            <w:vAlign w:val="center"/>
          </w:tcPr>
          <w:p w14:paraId="57B8E53F"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vAlign w:val="center"/>
          </w:tcPr>
          <w:p w14:paraId="6B3F792D"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(302)</w:t>
            </w:r>
          </w:p>
        </w:tc>
        <w:tc>
          <w:tcPr>
            <w:tcW w:w="1412" w:type="dxa"/>
            <w:shd w:val="clear" w:color="auto" w:fill="auto"/>
            <w:vAlign w:val="center"/>
          </w:tcPr>
          <w:p w14:paraId="7D18A4A3"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(355)</w:t>
            </w:r>
          </w:p>
        </w:tc>
        <w:tc>
          <w:tcPr>
            <w:tcW w:w="283" w:type="dxa"/>
            <w:shd w:val="clear" w:color="auto" w:fill="auto"/>
            <w:vAlign w:val="center"/>
          </w:tcPr>
          <w:p w14:paraId="3570F3A2"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493F4F6A"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(1,045)</w:t>
            </w:r>
          </w:p>
        </w:tc>
        <w:tc>
          <w:tcPr>
            <w:tcW w:w="1418" w:type="dxa"/>
            <w:shd w:val="clear" w:color="auto" w:fill="auto"/>
            <w:vAlign w:val="center"/>
          </w:tcPr>
          <w:p w14:paraId="1CD66CE0"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pPr>
            <w:r w:rsidRPr="00F74EC0">
              <w:t>(951)</w:t>
            </w:r>
          </w:p>
        </w:tc>
      </w:tr>
      <w:tr w:rsidR="00C20063" w:rsidRPr="002A40FF" w14:paraId="7BFBB1F6" w14:textId="77777777" w:rsidTr="00DC062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63BA085C" w14:textId="77777777" w:rsidR="00C20063" w:rsidRPr="00F74EC0" w:rsidRDefault="00C20063" w:rsidP="00DC062C">
            <w:pPr>
              <w:pStyle w:val="08-Tabelageral"/>
              <w:jc w:val="left"/>
              <w:rPr>
                <w:b w:val="0"/>
                <w:bCs w:val="0"/>
              </w:rPr>
            </w:pPr>
            <w:r w:rsidRPr="00F74EC0">
              <w:rPr>
                <w:b w:val="0"/>
                <w:bCs w:val="0"/>
              </w:rPr>
              <w:t>Training</w:t>
            </w:r>
          </w:p>
        </w:tc>
        <w:tc>
          <w:tcPr>
            <w:tcW w:w="604" w:type="dxa"/>
            <w:tcBorders>
              <w:top w:val="nil"/>
              <w:bottom w:val="nil"/>
            </w:tcBorders>
            <w:shd w:val="clear" w:color="auto" w:fill="auto"/>
            <w:vAlign w:val="center"/>
          </w:tcPr>
          <w:p w14:paraId="72DF99A5"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vAlign w:val="center"/>
          </w:tcPr>
          <w:p w14:paraId="0716422F"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(27)</w:t>
            </w:r>
          </w:p>
        </w:tc>
        <w:tc>
          <w:tcPr>
            <w:tcW w:w="1412" w:type="dxa"/>
            <w:tcBorders>
              <w:bottom w:val="nil"/>
            </w:tcBorders>
            <w:shd w:val="clear" w:color="auto" w:fill="auto"/>
            <w:vAlign w:val="center"/>
          </w:tcPr>
          <w:p w14:paraId="7BF5C6A2"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(24)</w:t>
            </w:r>
          </w:p>
        </w:tc>
        <w:tc>
          <w:tcPr>
            <w:tcW w:w="283" w:type="dxa"/>
            <w:tcBorders>
              <w:bottom w:val="nil"/>
            </w:tcBorders>
            <w:shd w:val="clear" w:color="auto" w:fill="auto"/>
            <w:vAlign w:val="center"/>
          </w:tcPr>
          <w:p w14:paraId="1ED23295"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00EB502E"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(129)</w:t>
            </w:r>
          </w:p>
        </w:tc>
        <w:tc>
          <w:tcPr>
            <w:tcW w:w="1418" w:type="dxa"/>
            <w:tcBorders>
              <w:bottom w:val="nil"/>
            </w:tcBorders>
            <w:shd w:val="clear" w:color="auto" w:fill="auto"/>
            <w:vAlign w:val="center"/>
          </w:tcPr>
          <w:p w14:paraId="5E6FA437" w14:textId="77777777" w:rsidR="00C20063" w:rsidRPr="00F74EC0" w:rsidRDefault="00C20063" w:rsidP="00DC062C">
            <w:pPr>
              <w:pStyle w:val="08-Tabelageral"/>
              <w:cnfStyle w:val="000000010000" w:firstRow="0" w:lastRow="0" w:firstColumn="0" w:lastColumn="0" w:oddVBand="0" w:evenVBand="0" w:oddHBand="0" w:evenHBand="1" w:firstRowFirstColumn="0" w:firstRowLastColumn="0" w:lastRowFirstColumn="0" w:lastRowLastColumn="0"/>
            </w:pPr>
            <w:r w:rsidRPr="00F74EC0">
              <w:t>(163)</w:t>
            </w:r>
          </w:p>
        </w:tc>
      </w:tr>
      <w:tr w:rsidR="00C20063" w:rsidRPr="00F74EC0" w14:paraId="0263FE97" w14:textId="77777777" w:rsidTr="00DC062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01E729D3" w14:textId="77777777" w:rsidR="00C20063" w:rsidRPr="00F74EC0" w:rsidRDefault="00C20063" w:rsidP="00DC062C">
            <w:pPr>
              <w:pStyle w:val="08-Tabelageral"/>
              <w:jc w:val="left"/>
            </w:pPr>
            <w:r w:rsidRPr="00F74EC0">
              <w:t>Total</w:t>
            </w:r>
          </w:p>
        </w:tc>
        <w:tc>
          <w:tcPr>
            <w:tcW w:w="604" w:type="dxa"/>
            <w:tcBorders>
              <w:top w:val="nil"/>
              <w:bottom w:val="single" w:sz="2" w:space="0" w:color="1F4E79" w:themeColor="accent1" w:themeShade="80"/>
            </w:tcBorders>
            <w:shd w:val="clear" w:color="auto" w:fill="auto"/>
            <w:vAlign w:val="center"/>
          </w:tcPr>
          <w:p w14:paraId="1C3C3615"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1" w:type="dxa"/>
            <w:tcBorders>
              <w:top w:val="nil"/>
              <w:bottom w:val="single" w:sz="2" w:space="0" w:color="1F4E79" w:themeColor="accent1" w:themeShade="80"/>
            </w:tcBorders>
            <w:shd w:val="clear" w:color="auto" w:fill="auto"/>
            <w:vAlign w:val="center"/>
          </w:tcPr>
          <w:p w14:paraId="4CF38079"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rPr>
                <w:b/>
                <w:bCs/>
              </w:rPr>
            </w:pPr>
            <w:r w:rsidRPr="00F74EC0">
              <w:rPr>
                <w:b/>
                <w:bCs/>
              </w:rPr>
              <w:t>(3,640)</w:t>
            </w:r>
          </w:p>
        </w:tc>
        <w:tc>
          <w:tcPr>
            <w:tcW w:w="1412" w:type="dxa"/>
            <w:tcBorders>
              <w:top w:val="nil"/>
              <w:bottom w:val="single" w:sz="2" w:space="0" w:color="1F4E79" w:themeColor="accent1" w:themeShade="80"/>
            </w:tcBorders>
            <w:shd w:val="clear" w:color="auto" w:fill="auto"/>
            <w:vAlign w:val="center"/>
          </w:tcPr>
          <w:p w14:paraId="34947F52"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rPr>
                <w:b/>
                <w:bCs/>
              </w:rPr>
            </w:pPr>
            <w:r w:rsidRPr="00F74EC0">
              <w:rPr>
                <w:b/>
                <w:bCs/>
              </w:rPr>
              <w:t>(3,306)</w:t>
            </w:r>
          </w:p>
        </w:tc>
        <w:tc>
          <w:tcPr>
            <w:tcW w:w="283" w:type="dxa"/>
            <w:tcBorders>
              <w:top w:val="nil"/>
              <w:bottom w:val="single" w:sz="2" w:space="0" w:color="1F4E79" w:themeColor="accent1" w:themeShade="80"/>
            </w:tcBorders>
            <w:shd w:val="clear" w:color="auto" w:fill="auto"/>
            <w:vAlign w:val="center"/>
          </w:tcPr>
          <w:p w14:paraId="3FE52CB4"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55F0CCE8"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rPr>
                <w:b/>
                <w:bCs/>
              </w:rPr>
            </w:pPr>
            <w:r w:rsidRPr="00F74EC0">
              <w:rPr>
                <w:b/>
                <w:bCs/>
              </w:rPr>
              <w:t>(19,563)</w:t>
            </w:r>
          </w:p>
        </w:tc>
        <w:tc>
          <w:tcPr>
            <w:tcW w:w="1418" w:type="dxa"/>
            <w:tcBorders>
              <w:top w:val="nil"/>
              <w:bottom w:val="single" w:sz="2" w:space="0" w:color="1F4E79" w:themeColor="accent1" w:themeShade="80"/>
            </w:tcBorders>
            <w:shd w:val="clear" w:color="auto" w:fill="auto"/>
            <w:vAlign w:val="center"/>
          </w:tcPr>
          <w:p w14:paraId="11F1C01E" w14:textId="77777777" w:rsidR="00C20063" w:rsidRPr="00F74EC0" w:rsidRDefault="00C20063" w:rsidP="00DC062C">
            <w:pPr>
              <w:pStyle w:val="08-Tabelageral"/>
              <w:cnfStyle w:val="000000100000" w:firstRow="0" w:lastRow="0" w:firstColumn="0" w:lastColumn="0" w:oddVBand="0" w:evenVBand="0" w:oddHBand="1" w:evenHBand="0" w:firstRowFirstColumn="0" w:firstRowLastColumn="0" w:lastRowFirstColumn="0" w:lastRowLastColumn="0"/>
              <w:rPr>
                <w:b/>
                <w:bCs/>
              </w:rPr>
            </w:pPr>
            <w:r w:rsidRPr="00F74EC0">
              <w:rPr>
                <w:b/>
                <w:bCs/>
              </w:rPr>
              <w:t>(16,390)</w:t>
            </w:r>
          </w:p>
        </w:tc>
      </w:tr>
      <w:bookmarkEnd w:id="37"/>
    </w:tbl>
    <w:p w14:paraId="512AA977" w14:textId="77777777" w:rsidR="00C20063" w:rsidRDefault="00C20063" w:rsidP="00DC062C">
      <w:pPr>
        <w:pStyle w:val="01-TtulodeNota"/>
        <w:spacing w:before="0" w:after="0"/>
        <w:jc w:val="right"/>
        <w:rPr>
          <w:rFonts w:cs="Arial"/>
          <w:sz w:val="14"/>
          <w:szCs w:val="14"/>
        </w:rPr>
      </w:pPr>
    </w:p>
    <w:p w14:paraId="56B0BC0E" w14:textId="5DFA57C1" w:rsidR="00C20063" w:rsidRPr="00D44157" w:rsidRDefault="00C20063" w:rsidP="00DC062C">
      <w:pPr>
        <w:pStyle w:val="Ttulo1"/>
        <w:rPr>
          <w:b w:val="0"/>
          <w:bCs w:val="0"/>
        </w:rPr>
      </w:pPr>
      <w:bookmarkStart w:id="38" w:name="_Toc134823575"/>
      <w:r w:rsidRPr="00D44157">
        <w:t>11 – ADMINISTRATIVE EXPENSES AND SALES</w:t>
      </w:r>
      <w:bookmarkEnd w:id="38"/>
    </w:p>
    <w:p w14:paraId="552B516E" w14:textId="77777777" w:rsidR="00C20063" w:rsidRPr="00FE2DBE" w:rsidRDefault="00C20063" w:rsidP="00DC062C">
      <w:pPr>
        <w:spacing w:after="0" w:line="240" w:lineRule="auto"/>
        <w:jc w:val="right"/>
        <w:rPr>
          <w:rFonts w:cs="Arial"/>
          <w:b/>
          <w:color w:val="0D0D0D" w:themeColor="text1" w:themeTint="F2"/>
          <w:sz w:val="14"/>
          <w:szCs w:val="14"/>
        </w:rPr>
      </w:pPr>
      <w:r w:rsidRPr="00FE2DBE">
        <w:rPr>
          <w:rFonts w:cs="Arial"/>
          <w:b/>
          <w:color w:val="0D0D0D" w:themeColor="text1" w:themeTint="F2"/>
          <w:sz w:val="14"/>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C20063" w:rsidRPr="004078D0" w14:paraId="6E58E348" w14:textId="77777777" w:rsidTr="00DC062C">
        <w:trPr>
          <w:trHeight w:val="238"/>
          <w:jc w:val="center"/>
        </w:trPr>
        <w:tc>
          <w:tcPr>
            <w:tcW w:w="742" w:type="dxa"/>
            <w:tcBorders>
              <w:top w:val="single" w:sz="2" w:space="0" w:color="1F4E79" w:themeColor="accent1" w:themeShade="80"/>
              <w:bottom w:val="nil"/>
            </w:tcBorders>
            <w:shd w:val="clear" w:color="auto" w:fill="auto"/>
          </w:tcPr>
          <w:p w14:paraId="79DFDBD3" w14:textId="77777777" w:rsidR="00C20063" w:rsidRPr="004078D0" w:rsidRDefault="00C20063" w:rsidP="00DC062C">
            <w:pPr>
              <w:keepNext/>
              <w:keepLines/>
              <w:spacing w:before="40" w:after="40"/>
              <w:jc w:val="center"/>
              <w:rPr>
                <w:rFonts w:cs="Arial"/>
                <w:b/>
                <w:bCs/>
                <w:spacing w:val="-2"/>
                <w:sz w:val="14"/>
                <w:szCs w:val="14"/>
              </w:rPr>
            </w:pPr>
          </w:p>
        </w:tc>
        <w:tc>
          <w:tcPr>
            <w:tcW w:w="2848" w:type="dxa"/>
            <w:gridSpan w:val="3"/>
            <w:tcBorders>
              <w:top w:val="single" w:sz="2" w:space="0" w:color="1F4E79" w:themeColor="accent1" w:themeShade="80"/>
              <w:bottom w:val="nil"/>
            </w:tcBorders>
            <w:shd w:val="clear" w:color="auto" w:fill="auto"/>
          </w:tcPr>
          <w:p w14:paraId="1C0118F4" w14:textId="77777777" w:rsidR="00C20063" w:rsidRPr="004078D0" w:rsidRDefault="00C20063" w:rsidP="00DC062C">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7127004F" w14:textId="77777777" w:rsidR="00C20063" w:rsidRPr="009D7709" w:rsidRDefault="00C20063" w:rsidP="00DC062C">
            <w:pPr>
              <w:keepNext/>
              <w:keepLines/>
              <w:spacing w:before="40" w:after="40"/>
              <w:jc w:val="center"/>
              <w:rPr>
                <w:rFonts w:cs="Arial"/>
                <w:b/>
                <w:spacing w:val="-2"/>
                <w:sz w:val="14"/>
                <w:szCs w:val="14"/>
              </w:rPr>
            </w:pPr>
            <w:r w:rsidRPr="009D7709">
              <w:rPr>
                <w:rFonts w:cs="Arial"/>
                <w:b/>
                <w:sz w:val="14"/>
                <w:szCs w:val="14"/>
              </w:rPr>
              <w:t>Parent</w:t>
            </w:r>
          </w:p>
        </w:tc>
        <w:tc>
          <w:tcPr>
            <w:tcW w:w="283" w:type="dxa"/>
            <w:gridSpan w:val="2"/>
            <w:tcBorders>
              <w:top w:val="single" w:sz="2" w:space="0" w:color="1F4E79" w:themeColor="accent1" w:themeShade="80"/>
              <w:bottom w:val="nil"/>
            </w:tcBorders>
            <w:shd w:val="clear" w:color="auto" w:fill="auto"/>
            <w:vAlign w:val="center"/>
          </w:tcPr>
          <w:p w14:paraId="0043D555" w14:textId="77777777" w:rsidR="00C20063" w:rsidRPr="009D7709" w:rsidRDefault="00C20063" w:rsidP="00DC062C">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455BD075" w14:textId="77777777" w:rsidR="00C20063" w:rsidRPr="009D7709" w:rsidRDefault="00C20063" w:rsidP="00DC062C">
            <w:pPr>
              <w:keepNext/>
              <w:keepLines/>
              <w:spacing w:before="40" w:after="40"/>
              <w:jc w:val="center"/>
              <w:rPr>
                <w:rFonts w:cs="Arial"/>
                <w:b/>
                <w:spacing w:val="-2"/>
                <w:sz w:val="14"/>
                <w:szCs w:val="14"/>
              </w:rPr>
            </w:pPr>
            <w:r w:rsidRPr="009D7709">
              <w:rPr>
                <w:rFonts w:cs="Arial"/>
                <w:b/>
                <w:sz w:val="14"/>
                <w:szCs w:val="14"/>
              </w:rPr>
              <w:t>Consolidated</w:t>
            </w:r>
          </w:p>
        </w:tc>
      </w:tr>
      <w:tr w:rsidR="00C20063" w:rsidRPr="004078D0" w14:paraId="723FC212" w14:textId="77777777" w:rsidTr="00DC062C">
        <w:trPr>
          <w:trHeight w:val="238"/>
          <w:jc w:val="center"/>
        </w:trPr>
        <w:tc>
          <w:tcPr>
            <w:tcW w:w="2986" w:type="dxa"/>
            <w:gridSpan w:val="2"/>
            <w:tcBorders>
              <w:top w:val="nil"/>
              <w:bottom w:val="single" w:sz="2" w:space="0" w:color="1F4E79" w:themeColor="accent1" w:themeShade="80"/>
            </w:tcBorders>
            <w:shd w:val="clear" w:color="auto" w:fill="auto"/>
          </w:tcPr>
          <w:p w14:paraId="63143405" w14:textId="77777777" w:rsidR="00C20063" w:rsidRPr="004078D0" w:rsidRDefault="00C20063" w:rsidP="00DC062C">
            <w:pPr>
              <w:keepNext/>
              <w:keepLines/>
              <w:spacing w:before="40" w:after="40"/>
              <w:rPr>
                <w:rFonts w:cs="Arial"/>
                <w:b/>
                <w:spacing w:val="-2"/>
                <w:sz w:val="14"/>
                <w:szCs w:val="14"/>
              </w:rPr>
            </w:pPr>
          </w:p>
        </w:tc>
        <w:tc>
          <w:tcPr>
            <w:tcW w:w="417" w:type="dxa"/>
            <w:tcBorders>
              <w:top w:val="nil"/>
              <w:bottom w:val="single" w:sz="2" w:space="0" w:color="1F4E79" w:themeColor="accent1" w:themeShade="80"/>
            </w:tcBorders>
            <w:shd w:val="clear" w:color="auto" w:fill="auto"/>
          </w:tcPr>
          <w:p w14:paraId="191C8F31" w14:textId="77777777" w:rsidR="00C20063" w:rsidRPr="004078D0" w:rsidRDefault="00C20063" w:rsidP="00DC062C">
            <w:pPr>
              <w:keepNext/>
              <w:keepLines/>
              <w:spacing w:before="40" w:after="40"/>
              <w:rPr>
                <w:rFonts w:cs="Arial"/>
                <w:b/>
                <w:spacing w:val="-2"/>
                <w:sz w:val="14"/>
                <w:szCs w:val="14"/>
              </w:rPr>
            </w:pPr>
          </w:p>
        </w:tc>
        <w:tc>
          <w:tcPr>
            <w:tcW w:w="1598" w:type="dxa"/>
            <w:gridSpan w:val="2"/>
            <w:tcBorders>
              <w:top w:val="single" w:sz="4" w:space="0" w:color="1F4E79" w:themeColor="accent1" w:themeShade="80"/>
              <w:bottom w:val="single" w:sz="2" w:space="0" w:color="1F4E79" w:themeColor="accent1" w:themeShade="80"/>
            </w:tcBorders>
            <w:shd w:val="clear" w:color="auto" w:fill="auto"/>
          </w:tcPr>
          <w:p w14:paraId="77AE0970" w14:textId="77777777" w:rsidR="00C20063" w:rsidRPr="004078D0" w:rsidRDefault="00C20063" w:rsidP="00DC062C">
            <w:pPr>
              <w:keepNext/>
              <w:keepLines/>
              <w:spacing w:before="40" w:after="40"/>
              <w:jc w:val="right"/>
              <w:rPr>
                <w:rFonts w:cs="Arial"/>
                <w:b/>
                <w:spacing w:val="-2"/>
                <w:sz w:val="14"/>
                <w:szCs w:val="18"/>
              </w:rPr>
            </w:pPr>
            <w:r w:rsidRPr="00CB7397">
              <w:rPr>
                <w:rFonts w:cs="Arial"/>
                <w:b/>
                <w:spacing w:val="-2"/>
                <w:sz w:val="14"/>
                <w:szCs w:val="18"/>
              </w:rPr>
              <w:t>1</w:t>
            </w:r>
            <w:r w:rsidRPr="00CB7397">
              <w:rPr>
                <w:rFonts w:cs="Arial"/>
                <w:b/>
                <w:spacing w:val="-2"/>
                <w:sz w:val="14"/>
                <w:szCs w:val="18"/>
                <w:vertAlign w:val="superscript"/>
              </w:rPr>
              <w:t>st</w:t>
            </w:r>
            <w:r w:rsidRPr="00CB7397">
              <w:rPr>
                <w:rFonts w:cs="Arial"/>
                <w:b/>
                <w:spacing w:val="-2"/>
                <w:sz w:val="14"/>
                <w:szCs w:val="18"/>
              </w:rPr>
              <w:t xml:space="preserve"> Quarter 202</w:t>
            </w:r>
            <w:r>
              <w:rPr>
                <w:rFonts w:cs="Arial"/>
                <w:b/>
                <w:spacing w:val="-2"/>
                <w:sz w:val="14"/>
                <w:szCs w:val="18"/>
              </w:rPr>
              <w:t>3</w:t>
            </w:r>
          </w:p>
        </w:tc>
        <w:tc>
          <w:tcPr>
            <w:tcW w:w="1412" w:type="dxa"/>
            <w:tcBorders>
              <w:top w:val="single" w:sz="4" w:space="0" w:color="1F4E79" w:themeColor="accent1" w:themeShade="80"/>
              <w:bottom w:val="single" w:sz="2" w:space="0" w:color="1F4E79" w:themeColor="accent1" w:themeShade="80"/>
            </w:tcBorders>
            <w:shd w:val="clear" w:color="auto" w:fill="auto"/>
          </w:tcPr>
          <w:p w14:paraId="6AAD0831" w14:textId="77777777" w:rsidR="00C20063" w:rsidRPr="004078D0" w:rsidRDefault="00C20063" w:rsidP="00DC062C">
            <w:pPr>
              <w:keepNext/>
              <w:keepLines/>
              <w:spacing w:before="40" w:after="40"/>
              <w:jc w:val="right"/>
              <w:rPr>
                <w:rFonts w:cs="Arial"/>
                <w:b/>
                <w:spacing w:val="-2"/>
                <w:sz w:val="14"/>
                <w:szCs w:val="18"/>
              </w:rPr>
            </w:pPr>
            <w:r w:rsidRPr="00CB7397">
              <w:rPr>
                <w:rFonts w:cs="Arial"/>
                <w:b/>
                <w:spacing w:val="-2"/>
                <w:sz w:val="14"/>
                <w:szCs w:val="18"/>
              </w:rPr>
              <w:t>1</w:t>
            </w:r>
            <w:r w:rsidRPr="00CB7397">
              <w:rPr>
                <w:rFonts w:cs="Arial"/>
                <w:b/>
                <w:spacing w:val="-2"/>
                <w:sz w:val="14"/>
                <w:szCs w:val="18"/>
                <w:vertAlign w:val="superscript"/>
              </w:rPr>
              <w:t>st</w:t>
            </w:r>
            <w:r w:rsidRPr="00CB7397">
              <w:rPr>
                <w:rFonts w:cs="Arial"/>
                <w:b/>
                <w:spacing w:val="-2"/>
                <w:sz w:val="14"/>
                <w:szCs w:val="18"/>
              </w:rPr>
              <w:t xml:space="preserve"> Quarter 202</w:t>
            </w:r>
            <w:r>
              <w:rPr>
                <w:rFonts w:cs="Arial"/>
                <w:b/>
                <w:spacing w:val="-2"/>
                <w:sz w:val="14"/>
                <w:szCs w:val="18"/>
              </w:rPr>
              <w:t>2</w:t>
            </w:r>
          </w:p>
        </w:tc>
        <w:tc>
          <w:tcPr>
            <w:tcW w:w="251" w:type="dxa"/>
            <w:tcBorders>
              <w:top w:val="nil"/>
              <w:bottom w:val="single" w:sz="2" w:space="0" w:color="1F4E79" w:themeColor="accent1" w:themeShade="80"/>
            </w:tcBorders>
            <w:shd w:val="clear" w:color="auto" w:fill="auto"/>
            <w:vAlign w:val="center"/>
          </w:tcPr>
          <w:p w14:paraId="0B203F68" w14:textId="77777777" w:rsidR="00C20063" w:rsidRPr="004078D0" w:rsidRDefault="00C20063" w:rsidP="00DC062C">
            <w:pPr>
              <w:keepNext/>
              <w:keepLines/>
              <w:spacing w:before="40" w:after="40"/>
              <w:jc w:val="right"/>
              <w:rPr>
                <w:rFonts w:cs="Arial"/>
                <w:b/>
                <w:spacing w:val="-2"/>
                <w:sz w:val="14"/>
                <w:szCs w:val="18"/>
              </w:rPr>
            </w:pPr>
          </w:p>
        </w:tc>
        <w:tc>
          <w:tcPr>
            <w:tcW w:w="1449" w:type="dxa"/>
            <w:gridSpan w:val="2"/>
            <w:tcBorders>
              <w:top w:val="single" w:sz="4" w:space="0" w:color="1F4E79" w:themeColor="accent1" w:themeShade="80"/>
              <w:bottom w:val="single" w:sz="2" w:space="0" w:color="1F4E79" w:themeColor="accent1" w:themeShade="80"/>
            </w:tcBorders>
            <w:shd w:val="clear" w:color="auto" w:fill="auto"/>
          </w:tcPr>
          <w:p w14:paraId="6F2D3911" w14:textId="77777777" w:rsidR="00C20063" w:rsidRPr="004078D0" w:rsidRDefault="00C20063" w:rsidP="00DC062C">
            <w:pPr>
              <w:keepNext/>
              <w:keepLines/>
              <w:spacing w:before="40" w:after="40"/>
              <w:jc w:val="right"/>
              <w:rPr>
                <w:rFonts w:cs="Arial"/>
                <w:b/>
                <w:spacing w:val="-2"/>
                <w:sz w:val="14"/>
                <w:szCs w:val="18"/>
              </w:rPr>
            </w:pPr>
            <w:r w:rsidRPr="00CB7397">
              <w:rPr>
                <w:rFonts w:cs="Arial"/>
                <w:b/>
                <w:spacing w:val="-2"/>
                <w:sz w:val="14"/>
                <w:szCs w:val="18"/>
              </w:rPr>
              <w:t>1</w:t>
            </w:r>
            <w:r w:rsidRPr="00CB7397">
              <w:rPr>
                <w:rFonts w:cs="Arial"/>
                <w:b/>
                <w:spacing w:val="-2"/>
                <w:sz w:val="14"/>
                <w:szCs w:val="18"/>
                <w:vertAlign w:val="superscript"/>
              </w:rPr>
              <w:t>st</w:t>
            </w:r>
            <w:r w:rsidRPr="00CB7397">
              <w:rPr>
                <w:rFonts w:cs="Arial"/>
                <w:b/>
                <w:spacing w:val="-2"/>
                <w:sz w:val="14"/>
                <w:szCs w:val="18"/>
              </w:rPr>
              <w:t xml:space="preserve"> Quarter 202</w:t>
            </w:r>
            <w:r>
              <w:rPr>
                <w:rFonts w:cs="Arial"/>
                <w:b/>
                <w:spacing w:val="-2"/>
                <w:sz w:val="14"/>
                <w:szCs w:val="18"/>
              </w:rPr>
              <w:t>3</w:t>
            </w:r>
          </w:p>
        </w:tc>
        <w:tc>
          <w:tcPr>
            <w:tcW w:w="1526" w:type="dxa"/>
            <w:tcBorders>
              <w:top w:val="single" w:sz="4" w:space="0" w:color="1F4E79" w:themeColor="accent1" w:themeShade="80"/>
              <w:bottom w:val="single" w:sz="2" w:space="0" w:color="1F4E79" w:themeColor="accent1" w:themeShade="80"/>
            </w:tcBorders>
            <w:shd w:val="clear" w:color="auto" w:fill="auto"/>
          </w:tcPr>
          <w:p w14:paraId="34F33B89" w14:textId="77777777" w:rsidR="00C20063" w:rsidRPr="004078D0" w:rsidRDefault="00C20063" w:rsidP="00DC062C">
            <w:pPr>
              <w:keepNext/>
              <w:keepLines/>
              <w:spacing w:before="40" w:after="40"/>
              <w:jc w:val="right"/>
              <w:rPr>
                <w:rFonts w:cs="Arial"/>
                <w:b/>
                <w:spacing w:val="-2"/>
                <w:sz w:val="14"/>
                <w:szCs w:val="18"/>
              </w:rPr>
            </w:pPr>
            <w:r w:rsidRPr="00CB7397">
              <w:rPr>
                <w:rFonts w:cs="Arial"/>
                <w:b/>
                <w:spacing w:val="-2"/>
                <w:sz w:val="14"/>
                <w:szCs w:val="18"/>
              </w:rPr>
              <w:t>1</w:t>
            </w:r>
            <w:r w:rsidRPr="00CB7397">
              <w:rPr>
                <w:rFonts w:cs="Arial"/>
                <w:b/>
                <w:spacing w:val="-2"/>
                <w:sz w:val="14"/>
                <w:szCs w:val="18"/>
                <w:vertAlign w:val="superscript"/>
              </w:rPr>
              <w:t>st</w:t>
            </w:r>
            <w:r w:rsidRPr="00CB7397">
              <w:rPr>
                <w:rFonts w:cs="Arial"/>
                <w:b/>
                <w:spacing w:val="-2"/>
                <w:sz w:val="14"/>
                <w:szCs w:val="18"/>
              </w:rPr>
              <w:t xml:space="preserve"> Quarter 202</w:t>
            </w:r>
            <w:r>
              <w:rPr>
                <w:rFonts w:cs="Arial"/>
                <w:b/>
                <w:spacing w:val="-2"/>
                <w:sz w:val="14"/>
                <w:szCs w:val="18"/>
              </w:rPr>
              <w:t>2</w:t>
            </w:r>
          </w:p>
        </w:tc>
      </w:tr>
      <w:tr w:rsidR="00C20063" w:rsidRPr="004078D0" w14:paraId="140671C2" w14:textId="77777777" w:rsidTr="00DC062C">
        <w:trPr>
          <w:trHeight w:val="238"/>
          <w:jc w:val="center"/>
        </w:trPr>
        <w:tc>
          <w:tcPr>
            <w:tcW w:w="2986" w:type="dxa"/>
            <w:gridSpan w:val="2"/>
            <w:tcBorders>
              <w:top w:val="nil"/>
            </w:tcBorders>
            <w:shd w:val="clear" w:color="auto" w:fill="auto"/>
          </w:tcPr>
          <w:p w14:paraId="13051B70" w14:textId="77777777" w:rsidR="00C20063" w:rsidRPr="00FE2DBE" w:rsidRDefault="00C20063" w:rsidP="00DC062C">
            <w:pPr>
              <w:pStyle w:val="08-Tabelageral"/>
              <w:jc w:val="left"/>
            </w:pPr>
            <w:r w:rsidRPr="00CB7397">
              <w:t>Data processing</w:t>
            </w:r>
          </w:p>
        </w:tc>
        <w:tc>
          <w:tcPr>
            <w:tcW w:w="417" w:type="dxa"/>
            <w:tcBorders>
              <w:top w:val="nil"/>
            </w:tcBorders>
            <w:shd w:val="clear" w:color="auto" w:fill="auto"/>
            <w:vAlign w:val="center"/>
          </w:tcPr>
          <w:p w14:paraId="45FA4492"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2D256750" w14:textId="77777777" w:rsidR="00C20063" w:rsidRPr="006468C2" w:rsidRDefault="00C20063" w:rsidP="00DC062C">
            <w:pPr>
              <w:pStyle w:val="08-Tabelageral"/>
              <w:rPr>
                <w:rFonts w:cs="Arial"/>
                <w:szCs w:val="14"/>
              </w:rPr>
            </w:pPr>
            <w:r>
              <w:rPr>
                <w:rFonts w:cs="Arial"/>
                <w:szCs w:val="14"/>
              </w:rPr>
              <w:t>(177)</w:t>
            </w:r>
          </w:p>
        </w:tc>
        <w:tc>
          <w:tcPr>
            <w:tcW w:w="1412" w:type="dxa"/>
            <w:tcBorders>
              <w:top w:val="nil"/>
            </w:tcBorders>
            <w:shd w:val="clear" w:color="auto" w:fill="auto"/>
          </w:tcPr>
          <w:p w14:paraId="0EF92C7A" w14:textId="77777777" w:rsidR="00C20063" w:rsidRPr="006468C2" w:rsidRDefault="00C20063" w:rsidP="00DC062C">
            <w:pPr>
              <w:pStyle w:val="08-Tabelageral"/>
            </w:pPr>
            <w:r w:rsidRPr="00306AF6">
              <w:t>(139)</w:t>
            </w:r>
          </w:p>
        </w:tc>
        <w:tc>
          <w:tcPr>
            <w:tcW w:w="251" w:type="dxa"/>
            <w:tcBorders>
              <w:top w:val="nil"/>
            </w:tcBorders>
            <w:shd w:val="clear" w:color="auto" w:fill="auto"/>
            <w:vAlign w:val="center"/>
          </w:tcPr>
          <w:p w14:paraId="082BF195"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18DF8985" w14:textId="77777777" w:rsidR="00C20063" w:rsidRPr="006468C2" w:rsidRDefault="00C20063" w:rsidP="00DC062C">
            <w:pPr>
              <w:pStyle w:val="08-Tabelageral"/>
              <w:rPr>
                <w:rFonts w:cs="Arial"/>
                <w:szCs w:val="14"/>
              </w:rPr>
            </w:pPr>
            <w:r>
              <w:rPr>
                <w:rFonts w:cs="Arial"/>
                <w:szCs w:val="14"/>
              </w:rPr>
              <w:t>(2,653)</w:t>
            </w:r>
          </w:p>
        </w:tc>
        <w:tc>
          <w:tcPr>
            <w:tcW w:w="1526" w:type="dxa"/>
            <w:tcBorders>
              <w:top w:val="nil"/>
            </w:tcBorders>
            <w:shd w:val="clear" w:color="auto" w:fill="auto"/>
          </w:tcPr>
          <w:p w14:paraId="52AB631F" w14:textId="77777777" w:rsidR="00C20063" w:rsidRPr="004078D0" w:rsidRDefault="00C20063" w:rsidP="00DC062C">
            <w:pPr>
              <w:pStyle w:val="08-Tabelageral"/>
              <w:rPr>
                <w:rFonts w:cs="Arial"/>
                <w:szCs w:val="14"/>
              </w:rPr>
            </w:pPr>
            <w:r w:rsidRPr="00C27607">
              <w:t>(1</w:t>
            </w:r>
            <w:r>
              <w:t>,</w:t>
            </w:r>
            <w:r w:rsidRPr="00C27607">
              <w:t>713)</w:t>
            </w:r>
          </w:p>
        </w:tc>
      </w:tr>
      <w:tr w:rsidR="00C20063" w:rsidRPr="004078D0" w14:paraId="3700993E" w14:textId="77777777" w:rsidTr="00DC062C">
        <w:trPr>
          <w:trHeight w:val="238"/>
          <w:jc w:val="center"/>
        </w:trPr>
        <w:tc>
          <w:tcPr>
            <w:tcW w:w="2986" w:type="dxa"/>
            <w:gridSpan w:val="2"/>
            <w:tcBorders>
              <w:top w:val="nil"/>
            </w:tcBorders>
            <w:shd w:val="clear" w:color="auto" w:fill="auto"/>
          </w:tcPr>
          <w:p w14:paraId="5646DC9E" w14:textId="77777777" w:rsidR="00C20063" w:rsidRPr="00FE2DBE" w:rsidRDefault="00C20063" w:rsidP="00DC062C">
            <w:pPr>
              <w:pStyle w:val="08-Tabelageral"/>
              <w:jc w:val="left"/>
            </w:pPr>
            <w:r w:rsidRPr="00FE2DBE">
              <w:t>Selling expenses</w:t>
            </w:r>
            <w:r>
              <w:t xml:space="preserve"> </w:t>
            </w:r>
            <w:r w:rsidRPr="00323ECF">
              <w:rPr>
                <w:vertAlign w:val="superscript"/>
              </w:rPr>
              <w:t>(</w:t>
            </w:r>
            <w:r>
              <w:rPr>
                <w:vertAlign w:val="superscript"/>
              </w:rPr>
              <w:t>1</w:t>
            </w:r>
            <w:r w:rsidRPr="00323ECF">
              <w:rPr>
                <w:vertAlign w:val="superscript"/>
              </w:rPr>
              <w:t>)</w:t>
            </w:r>
          </w:p>
        </w:tc>
        <w:tc>
          <w:tcPr>
            <w:tcW w:w="417" w:type="dxa"/>
            <w:tcBorders>
              <w:top w:val="nil"/>
            </w:tcBorders>
            <w:shd w:val="clear" w:color="auto" w:fill="auto"/>
            <w:vAlign w:val="center"/>
          </w:tcPr>
          <w:p w14:paraId="778A7BA0"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16B5AE5A" w14:textId="77777777" w:rsidR="00C20063" w:rsidRPr="006468C2" w:rsidRDefault="00C20063" w:rsidP="00DC062C">
            <w:pPr>
              <w:pStyle w:val="08-Tabelageral"/>
              <w:rPr>
                <w:rFonts w:cs="Arial"/>
                <w:szCs w:val="14"/>
              </w:rPr>
            </w:pPr>
            <w:r>
              <w:rPr>
                <w:rFonts w:cs="Arial"/>
                <w:szCs w:val="14"/>
              </w:rPr>
              <w:t>--</w:t>
            </w:r>
          </w:p>
        </w:tc>
        <w:tc>
          <w:tcPr>
            <w:tcW w:w="1412" w:type="dxa"/>
            <w:tcBorders>
              <w:top w:val="nil"/>
            </w:tcBorders>
            <w:shd w:val="clear" w:color="auto" w:fill="auto"/>
          </w:tcPr>
          <w:p w14:paraId="52EE64AC" w14:textId="77777777" w:rsidR="00C20063" w:rsidRPr="006468C2" w:rsidRDefault="00C20063" w:rsidP="00DC062C">
            <w:pPr>
              <w:pStyle w:val="08-Tabelageral"/>
            </w:pPr>
            <w:r w:rsidRPr="00306AF6">
              <w:t>--</w:t>
            </w:r>
          </w:p>
        </w:tc>
        <w:tc>
          <w:tcPr>
            <w:tcW w:w="251" w:type="dxa"/>
            <w:tcBorders>
              <w:top w:val="nil"/>
            </w:tcBorders>
            <w:shd w:val="clear" w:color="auto" w:fill="auto"/>
            <w:vAlign w:val="center"/>
          </w:tcPr>
          <w:p w14:paraId="1E98FA3F"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6DC4FB9B" w14:textId="77777777" w:rsidR="00C20063" w:rsidRPr="006468C2" w:rsidRDefault="00C20063" w:rsidP="00DC062C">
            <w:pPr>
              <w:pStyle w:val="08-Tabelageral"/>
              <w:rPr>
                <w:rFonts w:cs="Arial"/>
                <w:szCs w:val="14"/>
              </w:rPr>
            </w:pPr>
            <w:r>
              <w:rPr>
                <w:rFonts w:cs="Arial"/>
                <w:szCs w:val="14"/>
              </w:rPr>
              <w:t>(2,611)</w:t>
            </w:r>
          </w:p>
        </w:tc>
        <w:tc>
          <w:tcPr>
            <w:tcW w:w="1526" w:type="dxa"/>
            <w:tcBorders>
              <w:top w:val="nil"/>
            </w:tcBorders>
            <w:shd w:val="clear" w:color="auto" w:fill="auto"/>
          </w:tcPr>
          <w:p w14:paraId="38F55668" w14:textId="77777777" w:rsidR="00C20063" w:rsidRPr="004078D0" w:rsidRDefault="00C20063" w:rsidP="00DC062C">
            <w:pPr>
              <w:pStyle w:val="08-Tabelageral"/>
              <w:rPr>
                <w:rFonts w:cs="Arial"/>
                <w:szCs w:val="14"/>
              </w:rPr>
            </w:pPr>
            <w:r w:rsidRPr="00C27607">
              <w:t>(1</w:t>
            </w:r>
            <w:r>
              <w:t>,</w:t>
            </w:r>
            <w:r w:rsidRPr="00C27607">
              <w:t>311)</w:t>
            </w:r>
          </w:p>
        </w:tc>
      </w:tr>
      <w:tr w:rsidR="00C20063" w:rsidRPr="004078D0" w14:paraId="55D5449D" w14:textId="77777777" w:rsidTr="00DC062C">
        <w:trPr>
          <w:trHeight w:val="238"/>
          <w:jc w:val="center"/>
        </w:trPr>
        <w:tc>
          <w:tcPr>
            <w:tcW w:w="2986" w:type="dxa"/>
            <w:gridSpan w:val="2"/>
            <w:tcBorders>
              <w:top w:val="nil"/>
            </w:tcBorders>
            <w:shd w:val="clear" w:color="auto" w:fill="auto"/>
          </w:tcPr>
          <w:p w14:paraId="2D03A19D" w14:textId="77777777" w:rsidR="00C20063" w:rsidRPr="00FE2DBE" w:rsidRDefault="00C20063" w:rsidP="00DC062C">
            <w:pPr>
              <w:pStyle w:val="08-Tabelageral"/>
              <w:jc w:val="left"/>
            </w:pPr>
            <w:r w:rsidRPr="00C009BA">
              <w:t>Rent expenses and condominium fee</w:t>
            </w:r>
          </w:p>
        </w:tc>
        <w:tc>
          <w:tcPr>
            <w:tcW w:w="417" w:type="dxa"/>
            <w:tcBorders>
              <w:top w:val="nil"/>
            </w:tcBorders>
            <w:shd w:val="clear" w:color="auto" w:fill="auto"/>
            <w:vAlign w:val="center"/>
          </w:tcPr>
          <w:p w14:paraId="7F5BBF73"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7DCCA08D" w14:textId="77777777" w:rsidR="00C20063" w:rsidRPr="006468C2" w:rsidRDefault="00C20063" w:rsidP="00DC062C">
            <w:pPr>
              <w:pStyle w:val="08-Tabelageral"/>
              <w:rPr>
                <w:rFonts w:cs="Arial"/>
                <w:szCs w:val="14"/>
              </w:rPr>
            </w:pPr>
            <w:r>
              <w:rPr>
                <w:rFonts w:cs="Arial"/>
                <w:szCs w:val="14"/>
              </w:rPr>
              <w:t>(320)</w:t>
            </w:r>
          </w:p>
        </w:tc>
        <w:tc>
          <w:tcPr>
            <w:tcW w:w="1412" w:type="dxa"/>
            <w:tcBorders>
              <w:top w:val="nil"/>
            </w:tcBorders>
            <w:shd w:val="clear" w:color="auto" w:fill="auto"/>
          </w:tcPr>
          <w:p w14:paraId="2E383224" w14:textId="77777777" w:rsidR="00C20063" w:rsidRPr="006468C2" w:rsidRDefault="00C20063" w:rsidP="00DC062C">
            <w:pPr>
              <w:pStyle w:val="08-Tabelageral"/>
            </w:pPr>
            <w:r w:rsidRPr="00306AF6">
              <w:t>(310)</w:t>
            </w:r>
          </w:p>
        </w:tc>
        <w:tc>
          <w:tcPr>
            <w:tcW w:w="251" w:type="dxa"/>
            <w:tcBorders>
              <w:top w:val="nil"/>
            </w:tcBorders>
            <w:shd w:val="clear" w:color="auto" w:fill="auto"/>
            <w:vAlign w:val="center"/>
          </w:tcPr>
          <w:p w14:paraId="3CE85EBA"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3986E2A2" w14:textId="77777777" w:rsidR="00C20063" w:rsidRPr="006468C2" w:rsidRDefault="00C20063" w:rsidP="00DC062C">
            <w:pPr>
              <w:pStyle w:val="08-Tabelageral"/>
              <w:rPr>
                <w:rFonts w:cs="Arial"/>
                <w:szCs w:val="14"/>
              </w:rPr>
            </w:pPr>
            <w:r>
              <w:rPr>
                <w:rFonts w:cs="Arial"/>
                <w:szCs w:val="14"/>
              </w:rPr>
              <w:t>(1,344)</w:t>
            </w:r>
          </w:p>
        </w:tc>
        <w:tc>
          <w:tcPr>
            <w:tcW w:w="1526" w:type="dxa"/>
            <w:tcBorders>
              <w:top w:val="nil"/>
            </w:tcBorders>
            <w:shd w:val="clear" w:color="auto" w:fill="auto"/>
          </w:tcPr>
          <w:p w14:paraId="06B12B42" w14:textId="77777777" w:rsidR="00C20063" w:rsidRPr="004078D0" w:rsidRDefault="00C20063" w:rsidP="00DC062C">
            <w:pPr>
              <w:pStyle w:val="08-Tabelageral"/>
              <w:rPr>
                <w:rFonts w:cs="Arial"/>
                <w:szCs w:val="14"/>
              </w:rPr>
            </w:pPr>
            <w:r w:rsidRPr="00C27607">
              <w:t>(1</w:t>
            </w:r>
            <w:r>
              <w:t>,</w:t>
            </w:r>
            <w:r w:rsidRPr="00C27607">
              <w:t>380)</w:t>
            </w:r>
          </w:p>
        </w:tc>
      </w:tr>
      <w:tr w:rsidR="00C20063" w:rsidRPr="004078D0" w14:paraId="5D6AE859" w14:textId="77777777" w:rsidTr="00DC062C">
        <w:trPr>
          <w:trHeight w:val="238"/>
          <w:jc w:val="center"/>
        </w:trPr>
        <w:tc>
          <w:tcPr>
            <w:tcW w:w="2986" w:type="dxa"/>
            <w:gridSpan w:val="2"/>
            <w:tcBorders>
              <w:top w:val="nil"/>
            </w:tcBorders>
            <w:shd w:val="clear" w:color="auto" w:fill="auto"/>
          </w:tcPr>
          <w:p w14:paraId="71B6195E" w14:textId="77777777" w:rsidR="00C20063" w:rsidRPr="00FE2DBE" w:rsidRDefault="00C20063" w:rsidP="00DC062C">
            <w:pPr>
              <w:pStyle w:val="08-Tabelageral"/>
              <w:jc w:val="left"/>
            </w:pPr>
            <w:r>
              <w:t>Judicial conviction</w:t>
            </w:r>
          </w:p>
        </w:tc>
        <w:tc>
          <w:tcPr>
            <w:tcW w:w="417" w:type="dxa"/>
            <w:tcBorders>
              <w:top w:val="nil"/>
            </w:tcBorders>
            <w:shd w:val="clear" w:color="auto" w:fill="auto"/>
            <w:vAlign w:val="center"/>
          </w:tcPr>
          <w:p w14:paraId="71F81F49"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56D52256" w14:textId="77777777" w:rsidR="00C20063" w:rsidRPr="006468C2" w:rsidRDefault="00C20063" w:rsidP="00DC062C">
            <w:pPr>
              <w:pStyle w:val="08-Tabelageral"/>
              <w:rPr>
                <w:rFonts w:cs="Arial"/>
                <w:szCs w:val="14"/>
              </w:rPr>
            </w:pPr>
            <w:r>
              <w:rPr>
                <w:rFonts w:cs="Arial"/>
                <w:szCs w:val="14"/>
              </w:rPr>
              <w:t>--</w:t>
            </w:r>
          </w:p>
        </w:tc>
        <w:tc>
          <w:tcPr>
            <w:tcW w:w="1412" w:type="dxa"/>
            <w:tcBorders>
              <w:top w:val="nil"/>
            </w:tcBorders>
            <w:shd w:val="clear" w:color="auto" w:fill="auto"/>
          </w:tcPr>
          <w:p w14:paraId="49932FF5" w14:textId="77777777" w:rsidR="00C20063" w:rsidRPr="006468C2" w:rsidRDefault="00C20063" w:rsidP="00DC062C">
            <w:pPr>
              <w:pStyle w:val="08-Tabelageral"/>
            </w:pPr>
            <w:r>
              <w:t>--</w:t>
            </w:r>
          </w:p>
        </w:tc>
        <w:tc>
          <w:tcPr>
            <w:tcW w:w="251" w:type="dxa"/>
            <w:tcBorders>
              <w:top w:val="nil"/>
            </w:tcBorders>
            <w:shd w:val="clear" w:color="auto" w:fill="auto"/>
            <w:vAlign w:val="center"/>
          </w:tcPr>
          <w:p w14:paraId="2EA3A75E"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57588110" w14:textId="77777777" w:rsidR="00C20063" w:rsidRPr="006468C2" w:rsidRDefault="00C20063" w:rsidP="00DC062C">
            <w:pPr>
              <w:pStyle w:val="08-Tabelageral"/>
              <w:rPr>
                <w:rFonts w:cs="Arial"/>
                <w:szCs w:val="14"/>
              </w:rPr>
            </w:pPr>
            <w:r>
              <w:rPr>
                <w:rFonts w:cs="Arial"/>
                <w:szCs w:val="14"/>
              </w:rPr>
              <w:t>(736)</w:t>
            </w:r>
          </w:p>
        </w:tc>
        <w:tc>
          <w:tcPr>
            <w:tcW w:w="1526" w:type="dxa"/>
            <w:tcBorders>
              <w:top w:val="nil"/>
            </w:tcBorders>
            <w:shd w:val="clear" w:color="auto" w:fill="auto"/>
          </w:tcPr>
          <w:p w14:paraId="795C1A53" w14:textId="77777777" w:rsidR="00C20063" w:rsidRPr="004078D0" w:rsidRDefault="00C20063" w:rsidP="00DC062C">
            <w:pPr>
              <w:pStyle w:val="08-Tabelageral"/>
              <w:rPr>
                <w:rFonts w:cs="Arial"/>
                <w:szCs w:val="14"/>
              </w:rPr>
            </w:pPr>
            <w:r>
              <w:t>(13)</w:t>
            </w:r>
          </w:p>
        </w:tc>
      </w:tr>
      <w:tr w:rsidR="00C20063" w:rsidRPr="004078D0" w14:paraId="6A43AE3D" w14:textId="77777777" w:rsidTr="00DC062C">
        <w:trPr>
          <w:trHeight w:val="238"/>
          <w:jc w:val="center"/>
        </w:trPr>
        <w:tc>
          <w:tcPr>
            <w:tcW w:w="2986" w:type="dxa"/>
            <w:gridSpan w:val="2"/>
            <w:tcBorders>
              <w:top w:val="nil"/>
            </w:tcBorders>
            <w:shd w:val="clear" w:color="auto" w:fill="auto"/>
          </w:tcPr>
          <w:p w14:paraId="69608475" w14:textId="77777777" w:rsidR="00C20063" w:rsidRPr="00FE2DBE" w:rsidRDefault="00C20063" w:rsidP="00DC062C">
            <w:pPr>
              <w:pStyle w:val="08-Tabelageral"/>
              <w:jc w:val="left"/>
            </w:pPr>
            <w:r>
              <w:t>P</w:t>
            </w:r>
            <w:r w:rsidRPr="006718F3">
              <w:t>romotions and public relations</w:t>
            </w:r>
          </w:p>
        </w:tc>
        <w:tc>
          <w:tcPr>
            <w:tcW w:w="417" w:type="dxa"/>
            <w:tcBorders>
              <w:top w:val="nil"/>
            </w:tcBorders>
            <w:shd w:val="clear" w:color="auto" w:fill="auto"/>
            <w:vAlign w:val="center"/>
          </w:tcPr>
          <w:p w14:paraId="36C66C73"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753B397D" w14:textId="77777777" w:rsidR="00C20063" w:rsidRPr="006468C2" w:rsidRDefault="00C20063" w:rsidP="00DC062C">
            <w:pPr>
              <w:pStyle w:val="08-Tabelageral"/>
              <w:rPr>
                <w:rFonts w:cs="Arial"/>
                <w:szCs w:val="14"/>
              </w:rPr>
            </w:pPr>
            <w:r>
              <w:rPr>
                <w:rFonts w:cs="Arial"/>
                <w:szCs w:val="14"/>
              </w:rPr>
              <w:t>(7)</w:t>
            </w:r>
          </w:p>
        </w:tc>
        <w:tc>
          <w:tcPr>
            <w:tcW w:w="1412" w:type="dxa"/>
            <w:tcBorders>
              <w:top w:val="nil"/>
            </w:tcBorders>
            <w:shd w:val="clear" w:color="auto" w:fill="auto"/>
          </w:tcPr>
          <w:p w14:paraId="7C1955B6" w14:textId="77777777" w:rsidR="00C20063" w:rsidRPr="006468C2" w:rsidRDefault="00C20063" w:rsidP="00DC062C">
            <w:pPr>
              <w:pStyle w:val="08-Tabelageral"/>
            </w:pPr>
            <w:r>
              <w:t>(2)</w:t>
            </w:r>
          </w:p>
        </w:tc>
        <w:tc>
          <w:tcPr>
            <w:tcW w:w="251" w:type="dxa"/>
            <w:tcBorders>
              <w:top w:val="nil"/>
            </w:tcBorders>
            <w:shd w:val="clear" w:color="auto" w:fill="auto"/>
            <w:vAlign w:val="center"/>
          </w:tcPr>
          <w:p w14:paraId="72FA1722"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7F566277" w14:textId="77777777" w:rsidR="00C20063" w:rsidRPr="006468C2" w:rsidRDefault="00C20063" w:rsidP="00DC062C">
            <w:pPr>
              <w:pStyle w:val="08-Tabelageral"/>
              <w:rPr>
                <w:rFonts w:cs="Arial"/>
                <w:szCs w:val="14"/>
              </w:rPr>
            </w:pPr>
            <w:r>
              <w:rPr>
                <w:rFonts w:cs="Arial"/>
                <w:szCs w:val="14"/>
              </w:rPr>
              <w:t>(554)</w:t>
            </w:r>
          </w:p>
        </w:tc>
        <w:tc>
          <w:tcPr>
            <w:tcW w:w="1526" w:type="dxa"/>
            <w:tcBorders>
              <w:top w:val="nil"/>
            </w:tcBorders>
            <w:shd w:val="clear" w:color="auto" w:fill="auto"/>
          </w:tcPr>
          <w:p w14:paraId="300C7DD2" w14:textId="77777777" w:rsidR="00C20063" w:rsidRPr="004078D0" w:rsidRDefault="00C20063" w:rsidP="00DC062C">
            <w:pPr>
              <w:pStyle w:val="08-Tabelageral"/>
              <w:rPr>
                <w:rFonts w:cs="Arial"/>
                <w:szCs w:val="14"/>
              </w:rPr>
            </w:pPr>
            <w:r>
              <w:t>(25)</w:t>
            </w:r>
          </w:p>
        </w:tc>
      </w:tr>
      <w:tr w:rsidR="00C20063" w:rsidRPr="004078D0" w14:paraId="1795E6F4" w14:textId="77777777" w:rsidTr="00DC062C">
        <w:trPr>
          <w:trHeight w:val="238"/>
          <w:jc w:val="center"/>
        </w:trPr>
        <w:tc>
          <w:tcPr>
            <w:tcW w:w="2986" w:type="dxa"/>
            <w:gridSpan w:val="2"/>
            <w:tcBorders>
              <w:top w:val="nil"/>
            </w:tcBorders>
            <w:shd w:val="clear" w:color="auto" w:fill="auto"/>
          </w:tcPr>
          <w:p w14:paraId="418048E8" w14:textId="77777777" w:rsidR="00C20063" w:rsidRPr="00FE2DBE" w:rsidRDefault="00C20063" w:rsidP="00DC062C">
            <w:pPr>
              <w:pStyle w:val="08-Tabelageral"/>
              <w:jc w:val="left"/>
            </w:pPr>
            <w:r w:rsidRPr="003B51B0">
              <w:t>Specialized technical services</w:t>
            </w:r>
          </w:p>
        </w:tc>
        <w:tc>
          <w:tcPr>
            <w:tcW w:w="417" w:type="dxa"/>
            <w:tcBorders>
              <w:top w:val="nil"/>
            </w:tcBorders>
            <w:shd w:val="clear" w:color="auto" w:fill="auto"/>
            <w:vAlign w:val="center"/>
          </w:tcPr>
          <w:p w14:paraId="7179B196"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649EC85E" w14:textId="77777777" w:rsidR="00C20063" w:rsidRPr="006468C2" w:rsidRDefault="00C20063" w:rsidP="00DC062C">
            <w:pPr>
              <w:pStyle w:val="08-Tabelageral"/>
              <w:rPr>
                <w:rFonts w:cs="Arial"/>
                <w:szCs w:val="14"/>
              </w:rPr>
            </w:pPr>
            <w:r>
              <w:rPr>
                <w:rFonts w:cs="Arial"/>
                <w:szCs w:val="14"/>
              </w:rPr>
              <w:t>(59)</w:t>
            </w:r>
          </w:p>
        </w:tc>
        <w:tc>
          <w:tcPr>
            <w:tcW w:w="1412" w:type="dxa"/>
            <w:tcBorders>
              <w:top w:val="nil"/>
            </w:tcBorders>
            <w:shd w:val="clear" w:color="auto" w:fill="auto"/>
          </w:tcPr>
          <w:p w14:paraId="3A79A82C" w14:textId="77777777" w:rsidR="00C20063" w:rsidRPr="006468C2" w:rsidRDefault="00C20063" w:rsidP="00DC062C">
            <w:pPr>
              <w:pStyle w:val="08-Tabelageral"/>
            </w:pPr>
            <w:r w:rsidRPr="00306AF6">
              <w:t>(95)</w:t>
            </w:r>
          </w:p>
        </w:tc>
        <w:tc>
          <w:tcPr>
            <w:tcW w:w="251" w:type="dxa"/>
            <w:tcBorders>
              <w:top w:val="nil"/>
            </w:tcBorders>
            <w:shd w:val="clear" w:color="auto" w:fill="auto"/>
            <w:vAlign w:val="center"/>
          </w:tcPr>
          <w:p w14:paraId="68357AA5"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66AF03E6" w14:textId="77777777" w:rsidR="00C20063" w:rsidRPr="006468C2" w:rsidRDefault="00C20063" w:rsidP="00DC062C">
            <w:pPr>
              <w:pStyle w:val="08-Tabelageral"/>
              <w:rPr>
                <w:rFonts w:cs="Arial"/>
                <w:szCs w:val="14"/>
              </w:rPr>
            </w:pPr>
            <w:r>
              <w:rPr>
                <w:rFonts w:cs="Arial"/>
                <w:szCs w:val="14"/>
              </w:rPr>
              <w:t>(370)</w:t>
            </w:r>
          </w:p>
        </w:tc>
        <w:tc>
          <w:tcPr>
            <w:tcW w:w="1526" w:type="dxa"/>
            <w:tcBorders>
              <w:top w:val="nil"/>
            </w:tcBorders>
            <w:shd w:val="clear" w:color="auto" w:fill="auto"/>
          </w:tcPr>
          <w:p w14:paraId="63358756" w14:textId="77777777" w:rsidR="00C20063" w:rsidRPr="004078D0" w:rsidRDefault="00C20063" w:rsidP="00DC062C">
            <w:pPr>
              <w:pStyle w:val="08-Tabelageral"/>
              <w:rPr>
                <w:rFonts w:cs="Arial"/>
                <w:szCs w:val="14"/>
              </w:rPr>
            </w:pPr>
            <w:r w:rsidRPr="00C27607">
              <w:t>(662)</w:t>
            </w:r>
          </w:p>
        </w:tc>
      </w:tr>
      <w:tr w:rsidR="00C20063" w:rsidRPr="004078D0" w14:paraId="3C4A290F" w14:textId="77777777" w:rsidTr="00DC062C">
        <w:trPr>
          <w:trHeight w:val="238"/>
          <w:jc w:val="center"/>
        </w:trPr>
        <w:tc>
          <w:tcPr>
            <w:tcW w:w="2986" w:type="dxa"/>
            <w:gridSpan w:val="2"/>
            <w:tcBorders>
              <w:top w:val="nil"/>
            </w:tcBorders>
            <w:shd w:val="clear" w:color="auto" w:fill="auto"/>
          </w:tcPr>
          <w:p w14:paraId="6CC9EA04" w14:textId="77777777" w:rsidR="00C20063" w:rsidRPr="00FE2DBE" w:rsidRDefault="00C20063" w:rsidP="00DC062C">
            <w:pPr>
              <w:pStyle w:val="08-Tabelageral"/>
              <w:jc w:val="left"/>
            </w:pPr>
            <w:r w:rsidRPr="003B51B0">
              <w:t>Service travel</w:t>
            </w:r>
          </w:p>
        </w:tc>
        <w:tc>
          <w:tcPr>
            <w:tcW w:w="417" w:type="dxa"/>
            <w:tcBorders>
              <w:top w:val="nil"/>
            </w:tcBorders>
            <w:shd w:val="clear" w:color="auto" w:fill="auto"/>
            <w:vAlign w:val="center"/>
          </w:tcPr>
          <w:p w14:paraId="19239151"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048A9FA1" w14:textId="77777777" w:rsidR="00C20063" w:rsidRPr="006468C2" w:rsidRDefault="00C20063" w:rsidP="00DC062C">
            <w:pPr>
              <w:pStyle w:val="08-Tabelageral"/>
              <w:rPr>
                <w:rFonts w:cs="Arial"/>
                <w:szCs w:val="14"/>
              </w:rPr>
            </w:pPr>
            <w:r>
              <w:rPr>
                <w:rFonts w:cs="Arial"/>
                <w:szCs w:val="14"/>
              </w:rPr>
              <w:t>(85)</w:t>
            </w:r>
          </w:p>
        </w:tc>
        <w:tc>
          <w:tcPr>
            <w:tcW w:w="1412" w:type="dxa"/>
            <w:tcBorders>
              <w:top w:val="nil"/>
            </w:tcBorders>
            <w:shd w:val="clear" w:color="auto" w:fill="auto"/>
          </w:tcPr>
          <w:p w14:paraId="551A96BD" w14:textId="77777777" w:rsidR="00C20063" w:rsidRPr="006468C2" w:rsidRDefault="00C20063" w:rsidP="00DC062C">
            <w:pPr>
              <w:pStyle w:val="08-Tabelageral"/>
            </w:pPr>
            <w:r w:rsidRPr="00306AF6">
              <w:t>(23)</w:t>
            </w:r>
          </w:p>
        </w:tc>
        <w:tc>
          <w:tcPr>
            <w:tcW w:w="251" w:type="dxa"/>
            <w:tcBorders>
              <w:top w:val="nil"/>
            </w:tcBorders>
            <w:shd w:val="clear" w:color="auto" w:fill="auto"/>
            <w:vAlign w:val="center"/>
          </w:tcPr>
          <w:p w14:paraId="7815B3CA"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739F3222" w14:textId="77777777" w:rsidR="00C20063" w:rsidRPr="006468C2" w:rsidRDefault="00C20063" w:rsidP="00DC062C">
            <w:pPr>
              <w:pStyle w:val="08-Tabelageral"/>
              <w:rPr>
                <w:rFonts w:cs="Arial"/>
                <w:szCs w:val="14"/>
              </w:rPr>
            </w:pPr>
            <w:r>
              <w:rPr>
                <w:rFonts w:cs="Arial"/>
                <w:szCs w:val="14"/>
              </w:rPr>
              <w:t>(342)</w:t>
            </w:r>
          </w:p>
        </w:tc>
        <w:tc>
          <w:tcPr>
            <w:tcW w:w="1526" w:type="dxa"/>
            <w:tcBorders>
              <w:top w:val="nil"/>
            </w:tcBorders>
            <w:shd w:val="clear" w:color="auto" w:fill="auto"/>
          </w:tcPr>
          <w:p w14:paraId="3D5335F7" w14:textId="77777777" w:rsidR="00C20063" w:rsidRPr="004078D0" w:rsidRDefault="00C20063" w:rsidP="00DC062C">
            <w:pPr>
              <w:pStyle w:val="08-Tabelageral"/>
              <w:rPr>
                <w:rFonts w:cs="Arial"/>
                <w:szCs w:val="14"/>
              </w:rPr>
            </w:pPr>
            <w:r w:rsidRPr="00C27607">
              <w:t>(201)</w:t>
            </w:r>
          </w:p>
        </w:tc>
      </w:tr>
      <w:tr w:rsidR="00C20063" w:rsidRPr="004078D0" w14:paraId="0402D9F2" w14:textId="77777777" w:rsidTr="00DC062C">
        <w:trPr>
          <w:trHeight w:val="238"/>
          <w:jc w:val="center"/>
        </w:trPr>
        <w:tc>
          <w:tcPr>
            <w:tcW w:w="2986" w:type="dxa"/>
            <w:gridSpan w:val="2"/>
            <w:tcBorders>
              <w:top w:val="nil"/>
            </w:tcBorders>
            <w:shd w:val="clear" w:color="auto" w:fill="auto"/>
          </w:tcPr>
          <w:p w14:paraId="0416069C" w14:textId="77777777" w:rsidR="00C20063" w:rsidRPr="00FE2DBE" w:rsidRDefault="00C20063" w:rsidP="00DC062C">
            <w:pPr>
              <w:pStyle w:val="08-Tabelageral"/>
              <w:jc w:val="left"/>
            </w:pPr>
            <w:r w:rsidRPr="003B51B0">
              <w:t>Costs communicating</w:t>
            </w:r>
          </w:p>
        </w:tc>
        <w:tc>
          <w:tcPr>
            <w:tcW w:w="417" w:type="dxa"/>
            <w:tcBorders>
              <w:top w:val="nil"/>
            </w:tcBorders>
            <w:shd w:val="clear" w:color="auto" w:fill="auto"/>
            <w:vAlign w:val="center"/>
          </w:tcPr>
          <w:p w14:paraId="5C084033" w14:textId="77777777" w:rsidR="00C20063" w:rsidRPr="006468C2" w:rsidRDefault="00C20063" w:rsidP="00DC062C">
            <w:pPr>
              <w:pStyle w:val="08-Tabelageral"/>
              <w:rPr>
                <w:rFonts w:cs="Arial"/>
                <w:szCs w:val="14"/>
              </w:rPr>
            </w:pPr>
          </w:p>
        </w:tc>
        <w:tc>
          <w:tcPr>
            <w:tcW w:w="1598" w:type="dxa"/>
            <w:gridSpan w:val="2"/>
            <w:tcBorders>
              <w:top w:val="nil"/>
            </w:tcBorders>
            <w:shd w:val="clear" w:color="auto" w:fill="auto"/>
          </w:tcPr>
          <w:p w14:paraId="4393C0D7" w14:textId="77777777" w:rsidR="00C20063" w:rsidRPr="006468C2" w:rsidRDefault="00C20063" w:rsidP="00DC062C">
            <w:pPr>
              <w:pStyle w:val="08-Tabelageral"/>
              <w:rPr>
                <w:rFonts w:cs="Arial"/>
                <w:szCs w:val="14"/>
              </w:rPr>
            </w:pPr>
            <w:r>
              <w:rPr>
                <w:rFonts w:cs="Arial"/>
                <w:szCs w:val="14"/>
              </w:rPr>
              <w:t>(13)</w:t>
            </w:r>
          </w:p>
        </w:tc>
        <w:tc>
          <w:tcPr>
            <w:tcW w:w="1412" w:type="dxa"/>
            <w:tcBorders>
              <w:top w:val="nil"/>
            </w:tcBorders>
            <w:shd w:val="clear" w:color="auto" w:fill="auto"/>
          </w:tcPr>
          <w:p w14:paraId="1659C98E" w14:textId="77777777" w:rsidR="00C20063" w:rsidRPr="006468C2" w:rsidRDefault="00C20063" w:rsidP="00DC062C">
            <w:pPr>
              <w:pStyle w:val="08-Tabelageral"/>
            </w:pPr>
            <w:r w:rsidRPr="00306AF6">
              <w:t>(12)</w:t>
            </w:r>
          </w:p>
        </w:tc>
        <w:tc>
          <w:tcPr>
            <w:tcW w:w="251" w:type="dxa"/>
            <w:tcBorders>
              <w:top w:val="nil"/>
            </w:tcBorders>
            <w:shd w:val="clear" w:color="auto" w:fill="auto"/>
            <w:vAlign w:val="center"/>
          </w:tcPr>
          <w:p w14:paraId="0D961113" w14:textId="77777777" w:rsidR="00C20063" w:rsidRPr="006468C2" w:rsidRDefault="00C20063" w:rsidP="00DC062C">
            <w:pPr>
              <w:pStyle w:val="08-Tabelageral"/>
              <w:rPr>
                <w:rFonts w:cs="Arial"/>
                <w:szCs w:val="14"/>
              </w:rPr>
            </w:pPr>
          </w:p>
        </w:tc>
        <w:tc>
          <w:tcPr>
            <w:tcW w:w="1449" w:type="dxa"/>
            <w:gridSpan w:val="2"/>
            <w:tcBorders>
              <w:top w:val="nil"/>
            </w:tcBorders>
            <w:shd w:val="clear" w:color="auto" w:fill="auto"/>
          </w:tcPr>
          <w:p w14:paraId="5119BA20" w14:textId="77777777" w:rsidR="00C20063" w:rsidRPr="006468C2" w:rsidRDefault="00C20063" w:rsidP="00DC062C">
            <w:pPr>
              <w:pStyle w:val="08-Tabelageral"/>
              <w:rPr>
                <w:rFonts w:cs="Arial"/>
                <w:szCs w:val="14"/>
              </w:rPr>
            </w:pPr>
            <w:r>
              <w:rPr>
                <w:rFonts w:cs="Arial"/>
                <w:szCs w:val="14"/>
              </w:rPr>
              <w:t>(83)</w:t>
            </w:r>
          </w:p>
        </w:tc>
        <w:tc>
          <w:tcPr>
            <w:tcW w:w="1526" w:type="dxa"/>
            <w:tcBorders>
              <w:top w:val="nil"/>
            </w:tcBorders>
            <w:shd w:val="clear" w:color="auto" w:fill="auto"/>
          </w:tcPr>
          <w:p w14:paraId="63064E9D" w14:textId="77777777" w:rsidR="00C20063" w:rsidRPr="004078D0" w:rsidRDefault="00C20063" w:rsidP="00DC062C">
            <w:pPr>
              <w:pStyle w:val="08-Tabelageral"/>
              <w:rPr>
                <w:rFonts w:cs="Arial"/>
                <w:szCs w:val="14"/>
              </w:rPr>
            </w:pPr>
            <w:r w:rsidRPr="00C27607">
              <w:t>(92)</w:t>
            </w:r>
          </w:p>
        </w:tc>
      </w:tr>
      <w:tr w:rsidR="00C20063" w:rsidRPr="004078D0" w14:paraId="44272397" w14:textId="77777777" w:rsidTr="00DC062C">
        <w:trPr>
          <w:trHeight w:val="238"/>
          <w:jc w:val="center"/>
        </w:trPr>
        <w:tc>
          <w:tcPr>
            <w:tcW w:w="2986" w:type="dxa"/>
            <w:gridSpan w:val="2"/>
            <w:tcBorders>
              <w:top w:val="nil"/>
              <w:bottom w:val="nil"/>
            </w:tcBorders>
            <w:shd w:val="clear" w:color="auto" w:fill="auto"/>
          </w:tcPr>
          <w:p w14:paraId="7C6FC485" w14:textId="77777777" w:rsidR="00C20063" w:rsidRDefault="00C20063" w:rsidP="00DC062C">
            <w:pPr>
              <w:pStyle w:val="08-Tabelageral"/>
              <w:jc w:val="left"/>
            </w:pPr>
            <w:r w:rsidRPr="00F213A2">
              <w:t>Other</w:t>
            </w:r>
          </w:p>
        </w:tc>
        <w:tc>
          <w:tcPr>
            <w:tcW w:w="417" w:type="dxa"/>
            <w:tcBorders>
              <w:top w:val="nil"/>
              <w:bottom w:val="nil"/>
            </w:tcBorders>
            <w:shd w:val="clear" w:color="auto" w:fill="auto"/>
            <w:vAlign w:val="center"/>
          </w:tcPr>
          <w:p w14:paraId="66D31794" w14:textId="77777777" w:rsidR="00C20063" w:rsidRPr="00714C80" w:rsidRDefault="00C20063" w:rsidP="00DC062C">
            <w:pPr>
              <w:pStyle w:val="08-Tabelageral"/>
              <w:rPr>
                <w:rFonts w:cs="Arial"/>
                <w:szCs w:val="14"/>
              </w:rPr>
            </w:pPr>
          </w:p>
        </w:tc>
        <w:tc>
          <w:tcPr>
            <w:tcW w:w="1598" w:type="dxa"/>
            <w:gridSpan w:val="2"/>
            <w:tcBorders>
              <w:bottom w:val="nil"/>
            </w:tcBorders>
            <w:shd w:val="clear" w:color="auto" w:fill="auto"/>
          </w:tcPr>
          <w:p w14:paraId="4B3C6CF2" w14:textId="77777777" w:rsidR="00C20063" w:rsidRPr="00714C80" w:rsidRDefault="00C20063" w:rsidP="00DC062C">
            <w:pPr>
              <w:pStyle w:val="08-Tabelageral"/>
              <w:rPr>
                <w:rFonts w:cs="Arial"/>
                <w:szCs w:val="14"/>
              </w:rPr>
            </w:pPr>
            <w:r w:rsidRPr="00DD0324">
              <w:rPr>
                <w:rFonts w:cs="Arial"/>
                <w:szCs w:val="14"/>
              </w:rPr>
              <w:t>(60)</w:t>
            </w:r>
          </w:p>
        </w:tc>
        <w:tc>
          <w:tcPr>
            <w:tcW w:w="1412" w:type="dxa"/>
            <w:tcBorders>
              <w:bottom w:val="nil"/>
            </w:tcBorders>
            <w:shd w:val="clear" w:color="auto" w:fill="auto"/>
          </w:tcPr>
          <w:p w14:paraId="682C5422" w14:textId="77777777" w:rsidR="00C20063" w:rsidRPr="00714C80" w:rsidRDefault="00C20063" w:rsidP="00DC062C">
            <w:pPr>
              <w:pStyle w:val="08-Tabelageral"/>
            </w:pPr>
            <w:r w:rsidRPr="00DD0324">
              <w:t>(51)</w:t>
            </w:r>
          </w:p>
        </w:tc>
        <w:tc>
          <w:tcPr>
            <w:tcW w:w="251" w:type="dxa"/>
            <w:tcBorders>
              <w:bottom w:val="nil"/>
            </w:tcBorders>
            <w:shd w:val="clear" w:color="auto" w:fill="auto"/>
            <w:vAlign w:val="center"/>
          </w:tcPr>
          <w:p w14:paraId="07A47C7D" w14:textId="77777777" w:rsidR="00C20063" w:rsidRPr="00714C80" w:rsidRDefault="00C20063" w:rsidP="00DC062C">
            <w:pPr>
              <w:pStyle w:val="08-Tabelageral"/>
              <w:rPr>
                <w:rFonts w:cs="Arial"/>
                <w:szCs w:val="14"/>
              </w:rPr>
            </w:pPr>
          </w:p>
        </w:tc>
        <w:tc>
          <w:tcPr>
            <w:tcW w:w="1449" w:type="dxa"/>
            <w:gridSpan w:val="2"/>
            <w:tcBorders>
              <w:bottom w:val="nil"/>
            </w:tcBorders>
            <w:shd w:val="clear" w:color="auto" w:fill="auto"/>
          </w:tcPr>
          <w:p w14:paraId="4C487C9C" w14:textId="77777777" w:rsidR="00C20063" w:rsidRPr="00714C80" w:rsidRDefault="00C20063" w:rsidP="00DC062C">
            <w:pPr>
              <w:pStyle w:val="08-Tabelageral"/>
              <w:rPr>
                <w:rFonts w:cs="Arial"/>
                <w:szCs w:val="14"/>
              </w:rPr>
            </w:pPr>
            <w:r w:rsidRPr="00DD0324">
              <w:rPr>
                <w:rFonts w:cs="Arial"/>
                <w:szCs w:val="14"/>
              </w:rPr>
              <w:t>(336)</w:t>
            </w:r>
          </w:p>
        </w:tc>
        <w:tc>
          <w:tcPr>
            <w:tcW w:w="1526" w:type="dxa"/>
            <w:tcBorders>
              <w:bottom w:val="nil"/>
            </w:tcBorders>
            <w:shd w:val="clear" w:color="auto" w:fill="auto"/>
          </w:tcPr>
          <w:p w14:paraId="13E1452A" w14:textId="77777777" w:rsidR="00C20063" w:rsidRPr="00714C80" w:rsidRDefault="00C20063" w:rsidP="00DC062C">
            <w:pPr>
              <w:pStyle w:val="08-Tabelageral"/>
              <w:rPr>
                <w:rFonts w:cs="Arial"/>
                <w:szCs w:val="14"/>
              </w:rPr>
            </w:pPr>
            <w:r w:rsidRPr="00DD0324">
              <w:t>(481)</w:t>
            </w:r>
          </w:p>
        </w:tc>
      </w:tr>
      <w:tr w:rsidR="00C20063" w:rsidRPr="002C2608" w14:paraId="34682A29" w14:textId="77777777" w:rsidTr="00DC062C">
        <w:trPr>
          <w:trHeight w:val="238"/>
          <w:jc w:val="center"/>
        </w:trPr>
        <w:tc>
          <w:tcPr>
            <w:tcW w:w="2986" w:type="dxa"/>
            <w:gridSpan w:val="2"/>
            <w:tcBorders>
              <w:top w:val="nil"/>
              <w:bottom w:val="single" w:sz="2" w:space="0" w:color="1F4E79" w:themeColor="accent1" w:themeShade="80"/>
            </w:tcBorders>
            <w:shd w:val="clear" w:color="auto" w:fill="auto"/>
          </w:tcPr>
          <w:p w14:paraId="2C8D2EB3" w14:textId="77777777" w:rsidR="00C20063" w:rsidRPr="002C2608" w:rsidRDefault="00C20063" w:rsidP="00DC062C">
            <w:pPr>
              <w:pStyle w:val="08-Tabelageral"/>
              <w:jc w:val="left"/>
              <w:rPr>
                <w:b/>
              </w:rPr>
            </w:pPr>
            <w:r w:rsidRPr="004D2044">
              <w:rPr>
                <w:b/>
              </w:rPr>
              <w:t>Total</w:t>
            </w:r>
          </w:p>
        </w:tc>
        <w:tc>
          <w:tcPr>
            <w:tcW w:w="417" w:type="dxa"/>
            <w:tcBorders>
              <w:top w:val="nil"/>
              <w:bottom w:val="single" w:sz="2" w:space="0" w:color="1F4E79" w:themeColor="accent1" w:themeShade="80"/>
            </w:tcBorders>
            <w:shd w:val="clear" w:color="auto" w:fill="auto"/>
          </w:tcPr>
          <w:p w14:paraId="3F455082" w14:textId="77777777" w:rsidR="00C20063" w:rsidRPr="002C2608" w:rsidRDefault="00C20063" w:rsidP="00DC062C">
            <w:pPr>
              <w:pStyle w:val="08-Tabelageral"/>
              <w:rPr>
                <w:rFonts w:cs="Arial"/>
                <w:b/>
                <w:szCs w:val="14"/>
              </w:rPr>
            </w:pPr>
          </w:p>
        </w:tc>
        <w:tc>
          <w:tcPr>
            <w:tcW w:w="1598" w:type="dxa"/>
            <w:gridSpan w:val="2"/>
            <w:tcBorders>
              <w:top w:val="nil"/>
              <w:bottom w:val="single" w:sz="2" w:space="0" w:color="1F4E79" w:themeColor="accent1" w:themeShade="80"/>
            </w:tcBorders>
            <w:shd w:val="clear" w:color="auto" w:fill="auto"/>
          </w:tcPr>
          <w:p w14:paraId="612E7001" w14:textId="77777777" w:rsidR="00C20063" w:rsidRPr="002C2608" w:rsidRDefault="00C20063" w:rsidP="00DC062C">
            <w:pPr>
              <w:pStyle w:val="08-Tabelageral"/>
              <w:rPr>
                <w:rFonts w:cs="Arial"/>
                <w:b/>
                <w:szCs w:val="14"/>
              </w:rPr>
            </w:pPr>
            <w:r>
              <w:rPr>
                <w:rFonts w:cs="Arial"/>
                <w:b/>
                <w:bCs/>
                <w:szCs w:val="14"/>
              </w:rPr>
              <w:t>(721)</w:t>
            </w:r>
          </w:p>
        </w:tc>
        <w:tc>
          <w:tcPr>
            <w:tcW w:w="1412" w:type="dxa"/>
            <w:tcBorders>
              <w:top w:val="nil"/>
              <w:bottom w:val="single" w:sz="2" w:space="0" w:color="1F4E79" w:themeColor="accent1" w:themeShade="80"/>
            </w:tcBorders>
            <w:shd w:val="clear" w:color="auto" w:fill="auto"/>
          </w:tcPr>
          <w:p w14:paraId="4D8BBBF7" w14:textId="77777777" w:rsidR="00C20063" w:rsidRPr="002C2608" w:rsidRDefault="00C20063" w:rsidP="00DC062C">
            <w:pPr>
              <w:pStyle w:val="08-Tabelageral"/>
              <w:rPr>
                <w:rFonts w:cs="Arial"/>
                <w:b/>
                <w:szCs w:val="14"/>
              </w:rPr>
            </w:pPr>
            <w:r w:rsidRPr="00C53E95">
              <w:rPr>
                <w:b/>
                <w:bCs/>
              </w:rPr>
              <w:t>(632)</w:t>
            </w:r>
          </w:p>
        </w:tc>
        <w:tc>
          <w:tcPr>
            <w:tcW w:w="251" w:type="dxa"/>
            <w:tcBorders>
              <w:top w:val="nil"/>
              <w:bottom w:val="single" w:sz="2" w:space="0" w:color="1F4E79" w:themeColor="accent1" w:themeShade="80"/>
            </w:tcBorders>
            <w:shd w:val="clear" w:color="auto" w:fill="auto"/>
            <w:vAlign w:val="center"/>
          </w:tcPr>
          <w:p w14:paraId="04B6D843" w14:textId="77777777" w:rsidR="00C20063" w:rsidRPr="002C2608" w:rsidRDefault="00C20063" w:rsidP="00DC062C">
            <w:pPr>
              <w:pStyle w:val="08-Tabelageral"/>
              <w:rPr>
                <w:rFonts w:cs="Arial"/>
                <w:b/>
                <w:szCs w:val="14"/>
              </w:rPr>
            </w:pPr>
          </w:p>
        </w:tc>
        <w:tc>
          <w:tcPr>
            <w:tcW w:w="1449" w:type="dxa"/>
            <w:gridSpan w:val="2"/>
            <w:tcBorders>
              <w:top w:val="nil"/>
              <w:bottom w:val="single" w:sz="2" w:space="0" w:color="1F4E79" w:themeColor="accent1" w:themeShade="80"/>
            </w:tcBorders>
            <w:shd w:val="clear" w:color="auto" w:fill="auto"/>
          </w:tcPr>
          <w:p w14:paraId="75933A88" w14:textId="77777777" w:rsidR="00C20063" w:rsidRPr="002C2608" w:rsidRDefault="00C20063" w:rsidP="00DC062C">
            <w:pPr>
              <w:pStyle w:val="08-Tabelageral"/>
              <w:rPr>
                <w:rFonts w:cs="Arial"/>
                <w:b/>
                <w:szCs w:val="14"/>
              </w:rPr>
            </w:pPr>
            <w:r>
              <w:rPr>
                <w:rFonts w:cs="Arial"/>
                <w:b/>
                <w:bCs/>
                <w:szCs w:val="14"/>
              </w:rPr>
              <w:t>(9,029)</w:t>
            </w:r>
          </w:p>
        </w:tc>
        <w:tc>
          <w:tcPr>
            <w:tcW w:w="1526" w:type="dxa"/>
            <w:tcBorders>
              <w:top w:val="nil"/>
              <w:bottom w:val="single" w:sz="2" w:space="0" w:color="1F4E79" w:themeColor="accent1" w:themeShade="80"/>
            </w:tcBorders>
            <w:shd w:val="clear" w:color="auto" w:fill="auto"/>
          </w:tcPr>
          <w:p w14:paraId="2C397C74" w14:textId="77777777" w:rsidR="00C20063" w:rsidRPr="002C2608" w:rsidRDefault="00C20063" w:rsidP="00DC062C">
            <w:pPr>
              <w:pStyle w:val="08-Tabelageral"/>
              <w:rPr>
                <w:rFonts w:cs="Arial"/>
                <w:b/>
                <w:szCs w:val="14"/>
              </w:rPr>
            </w:pPr>
            <w:r w:rsidRPr="00C53E95">
              <w:rPr>
                <w:b/>
                <w:bCs/>
              </w:rPr>
              <w:t>(5</w:t>
            </w:r>
            <w:r>
              <w:rPr>
                <w:b/>
                <w:bCs/>
              </w:rPr>
              <w:t>,</w:t>
            </w:r>
            <w:r w:rsidRPr="00C53E95">
              <w:rPr>
                <w:b/>
                <w:bCs/>
              </w:rPr>
              <w:t>878)</w:t>
            </w:r>
          </w:p>
        </w:tc>
      </w:tr>
    </w:tbl>
    <w:p w14:paraId="1B262D54" w14:textId="77777777" w:rsidR="00C20063" w:rsidRDefault="00C20063" w:rsidP="00C20063">
      <w:pPr>
        <w:pStyle w:val="PargrafodaLista"/>
        <w:numPr>
          <w:ilvl w:val="0"/>
          <w:numId w:val="28"/>
        </w:numPr>
        <w:spacing w:after="0" w:line="240" w:lineRule="auto"/>
        <w:ind w:left="284" w:hanging="284"/>
        <w:jc w:val="both"/>
        <w:rPr>
          <w:rStyle w:val="q4iawc"/>
          <w:rFonts w:ascii="Arial" w:hAnsi="Arial" w:cs="Arial"/>
          <w:sz w:val="14"/>
          <w:szCs w:val="14"/>
          <w:lang w:val="en"/>
        </w:rPr>
      </w:pPr>
      <w:r w:rsidRPr="003B51B0">
        <w:rPr>
          <w:rStyle w:val="q4iawc"/>
          <w:rFonts w:ascii="Arial" w:hAnsi="Arial" w:cs="Arial"/>
          <w:sz w:val="14"/>
          <w:szCs w:val="14"/>
          <w:lang w:val="en"/>
        </w:rPr>
        <w:t>Refers to expenses with partnerships signed with correspondents, in new channels, for the sale of insurance products, and sales incentive commercial campaigns.</w:t>
      </w:r>
    </w:p>
    <w:p w14:paraId="133BB201" w14:textId="1EAE7910" w:rsidR="00C20063" w:rsidRPr="00F110A6" w:rsidRDefault="00C20063" w:rsidP="00DC062C">
      <w:pPr>
        <w:pStyle w:val="Ttulo1"/>
        <w:spacing w:after="200"/>
        <w:rPr>
          <w:b w:val="0"/>
        </w:rPr>
      </w:pPr>
      <w:bookmarkStart w:id="39" w:name="OLE_LINK13"/>
      <w:bookmarkStart w:id="40" w:name="_Toc134823576"/>
      <w:r w:rsidRPr="00F110A6">
        <w:t>12 – TAXES</w:t>
      </w:r>
      <w:bookmarkEnd w:id="40"/>
    </w:p>
    <w:p w14:paraId="742899F1" w14:textId="77777777" w:rsidR="00C20063" w:rsidRPr="00F110A6" w:rsidRDefault="00C20063" w:rsidP="00DC062C">
      <w:pPr>
        <w:spacing w:after="40"/>
        <w:rPr>
          <w:rFonts w:cs="Arial"/>
          <w:b/>
          <w:color w:val="1F4E79" w:themeColor="accent1" w:themeShade="80"/>
          <w:szCs w:val="18"/>
          <w:lang w:val="en-US"/>
        </w:rPr>
      </w:pPr>
      <w:r w:rsidRPr="00F110A6">
        <w:rPr>
          <w:rFonts w:cs="Arial"/>
          <w:b/>
          <w:color w:val="1F4E79" w:themeColor="accent1" w:themeShade="80"/>
          <w:szCs w:val="18"/>
          <w:lang w:val="en-US"/>
        </w:rPr>
        <w:t xml:space="preserve">a) </w:t>
      </w:r>
      <w:r w:rsidRPr="00662308">
        <w:rPr>
          <w:rFonts w:cs="Arial"/>
          <w:b/>
          <w:color w:val="1F4E79" w:themeColor="accent1" w:themeShade="80"/>
          <w:szCs w:val="18"/>
          <w:lang w:val="en-US"/>
        </w:rPr>
        <w:t>Breakdown of income tax (IR) and social contribution expenses (CSLL)</w:t>
      </w:r>
    </w:p>
    <w:p w14:paraId="54A69AA0" w14:textId="77777777" w:rsidR="00C20063" w:rsidRPr="00FF3D4B" w:rsidRDefault="00C20063" w:rsidP="00DC062C">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C20063" w:rsidRPr="003F4B3F" w14:paraId="03E8DE45" w14:textId="77777777" w:rsidTr="00DC062C">
        <w:trPr>
          <w:trHeight w:val="238"/>
        </w:trPr>
        <w:tc>
          <w:tcPr>
            <w:tcW w:w="3094" w:type="dxa"/>
            <w:tcBorders>
              <w:top w:val="single" w:sz="2" w:space="0" w:color="1F4E79" w:themeColor="accent1" w:themeShade="80"/>
              <w:bottom w:val="nil"/>
            </w:tcBorders>
            <w:shd w:val="clear" w:color="auto" w:fill="auto"/>
            <w:vAlign w:val="center"/>
          </w:tcPr>
          <w:p w14:paraId="1686D181" w14:textId="77777777" w:rsidR="00C20063" w:rsidRPr="003F4B3F" w:rsidRDefault="00C20063" w:rsidP="00DC062C">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4D20127C" w14:textId="77777777" w:rsidR="00C20063" w:rsidRPr="003F4B3F" w:rsidRDefault="00C20063" w:rsidP="00DC062C">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27209F8" w14:textId="77777777" w:rsidR="00C20063" w:rsidRPr="00EC4649" w:rsidRDefault="00C20063" w:rsidP="00DC062C">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BF550A6" w14:textId="77777777" w:rsidR="00C20063" w:rsidRPr="003F4B3F" w:rsidRDefault="00C20063" w:rsidP="00DC062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D23DD2E" w14:textId="77777777" w:rsidR="00C20063" w:rsidRPr="00EC4649" w:rsidRDefault="00C20063" w:rsidP="00DC062C">
            <w:pPr>
              <w:spacing w:after="0"/>
              <w:jc w:val="center"/>
              <w:rPr>
                <w:rFonts w:cs="Arial"/>
                <w:b/>
                <w:szCs w:val="18"/>
              </w:rPr>
            </w:pPr>
            <w:r w:rsidRPr="00EC4649">
              <w:rPr>
                <w:rFonts w:cs="Arial"/>
                <w:b/>
                <w:sz w:val="14"/>
                <w:szCs w:val="18"/>
              </w:rPr>
              <w:t>Consolidated</w:t>
            </w:r>
          </w:p>
        </w:tc>
      </w:tr>
      <w:tr w:rsidR="00C20063" w:rsidRPr="003F4B3F" w14:paraId="4BAAB8DD" w14:textId="77777777" w:rsidTr="00DC062C">
        <w:trPr>
          <w:trHeight w:val="238"/>
        </w:trPr>
        <w:tc>
          <w:tcPr>
            <w:tcW w:w="3094" w:type="dxa"/>
            <w:tcBorders>
              <w:top w:val="nil"/>
              <w:bottom w:val="single" w:sz="2" w:space="0" w:color="1F4E79" w:themeColor="accent1" w:themeShade="80"/>
            </w:tcBorders>
            <w:shd w:val="clear" w:color="auto" w:fill="auto"/>
            <w:vAlign w:val="center"/>
          </w:tcPr>
          <w:p w14:paraId="17A3A528" w14:textId="77777777" w:rsidR="00C20063" w:rsidRPr="003F4B3F" w:rsidRDefault="00C20063" w:rsidP="00DC062C">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7C03A9D2" w14:textId="77777777" w:rsidR="00C20063" w:rsidRPr="00874161" w:rsidRDefault="00C20063" w:rsidP="00DC062C">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3396E9A1" w14:textId="77777777" w:rsidR="00C20063" w:rsidRPr="00181FA4" w:rsidRDefault="00C20063" w:rsidP="00DC062C">
            <w:pPr>
              <w:pStyle w:val="08-Tabelageral"/>
              <w:rPr>
                <w:rFonts w:cs="Arial"/>
                <w:b/>
              </w:rPr>
            </w:pPr>
            <w:r>
              <w:rPr>
                <w:b/>
              </w:rPr>
              <w:t>1</w:t>
            </w:r>
            <w:r>
              <w:rPr>
                <w:b/>
                <w:vertAlign w:val="superscript"/>
              </w:rPr>
              <w:t xml:space="preserve">st </w:t>
            </w:r>
            <w:r>
              <w:rPr>
                <w:b/>
              </w:rPr>
              <w:t>Quarter 2023</w:t>
            </w:r>
          </w:p>
        </w:tc>
        <w:tc>
          <w:tcPr>
            <w:tcW w:w="1412" w:type="dxa"/>
            <w:tcBorders>
              <w:top w:val="single" w:sz="2" w:space="0" w:color="1F4E79" w:themeColor="accent1" w:themeShade="80"/>
              <w:bottom w:val="single" w:sz="2" w:space="0" w:color="1F4E79" w:themeColor="accent1" w:themeShade="80"/>
            </w:tcBorders>
            <w:shd w:val="clear" w:color="auto" w:fill="auto"/>
          </w:tcPr>
          <w:p w14:paraId="3F8DA792" w14:textId="77777777" w:rsidR="00C20063" w:rsidRPr="00874161" w:rsidRDefault="00C20063" w:rsidP="00DC062C">
            <w:pPr>
              <w:pStyle w:val="08-Tabelageral"/>
              <w:rPr>
                <w:rFonts w:cs="Arial"/>
                <w:b/>
              </w:rPr>
            </w:pPr>
            <w:r>
              <w:rPr>
                <w:b/>
              </w:rPr>
              <w:t>1</w:t>
            </w:r>
            <w:r>
              <w:rPr>
                <w:b/>
                <w:vertAlign w:val="superscript"/>
              </w:rPr>
              <w:t xml:space="preserve">st </w:t>
            </w:r>
            <w:r>
              <w:rPr>
                <w:b/>
              </w:rPr>
              <w:t>Quarter 2022</w:t>
            </w:r>
          </w:p>
        </w:tc>
        <w:tc>
          <w:tcPr>
            <w:tcW w:w="283" w:type="dxa"/>
            <w:tcBorders>
              <w:top w:val="nil"/>
              <w:bottom w:val="single" w:sz="2" w:space="0" w:color="1F4E79" w:themeColor="accent1" w:themeShade="80"/>
            </w:tcBorders>
            <w:shd w:val="clear" w:color="auto" w:fill="auto"/>
          </w:tcPr>
          <w:p w14:paraId="38625CF6" w14:textId="77777777" w:rsidR="00C20063" w:rsidRPr="00874161" w:rsidRDefault="00C20063"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309529CD" w14:textId="77777777" w:rsidR="00C20063" w:rsidRPr="00874161" w:rsidRDefault="00C20063" w:rsidP="00DC062C">
            <w:pPr>
              <w:pStyle w:val="08-Tabelageral"/>
              <w:rPr>
                <w:rFonts w:cs="Arial"/>
                <w:b/>
              </w:rPr>
            </w:pPr>
            <w:r>
              <w:rPr>
                <w:b/>
              </w:rPr>
              <w:t>1</w:t>
            </w:r>
            <w:r>
              <w:rPr>
                <w:b/>
                <w:vertAlign w:val="superscript"/>
              </w:rPr>
              <w:t xml:space="preserve">st </w:t>
            </w:r>
            <w:r>
              <w:rPr>
                <w:b/>
              </w:rPr>
              <w:t>Quarter 2023</w:t>
            </w:r>
          </w:p>
        </w:tc>
        <w:tc>
          <w:tcPr>
            <w:tcW w:w="1418" w:type="dxa"/>
            <w:tcBorders>
              <w:top w:val="single" w:sz="2" w:space="0" w:color="1F4E79" w:themeColor="accent1" w:themeShade="80"/>
              <w:bottom w:val="single" w:sz="2" w:space="0" w:color="1F4E79" w:themeColor="accent1" w:themeShade="80"/>
            </w:tcBorders>
            <w:shd w:val="clear" w:color="auto" w:fill="auto"/>
          </w:tcPr>
          <w:p w14:paraId="65716E8B" w14:textId="77777777" w:rsidR="00C20063" w:rsidRPr="00874161" w:rsidRDefault="00C20063" w:rsidP="00DC062C">
            <w:pPr>
              <w:pStyle w:val="08-Tabelageral"/>
              <w:rPr>
                <w:rFonts w:cs="Arial"/>
                <w:b/>
              </w:rPr>
            </w:pPr>
            <w:r>
              <w:rPr>
                <w:b/>
              </w:rPr>
              <w:t>1</w:t>
            </w:r>
            <w:r>
              <w:rPr>
                <w:b/>
                <w:vertAlign w:val="superscript"/>
              </w:rPr>
              <w:t xml:space="preserve">st </w:t>
            </w:r>
            <w:r>
              <w:rPr>
                <w:b/>
              </w:rPr>
              <w:t>Quarter 2022</w:t>
            </w:r>
          </w:p>
        </w:tc>
      </w:tr>
      <w:tr w:rsidR="00C20063" w:rsidRPr="003F4B3F" w14:paraId="55054FE9" w14:textId="77777777" w:rsidTr="00DC062C">
        <w:trPr>
          <w:trHeight w:val="238"/>
        </w:trPr>
        <w:tc>
          <w:tcPr>
            <w:tcW w:w="3094" w:type="dxa"/>
            <w:tcBorders>
              <w:top w:val="single" w:sz="2" w:space="0" w:color="1F4E79" w:themeColor="accent1" w:themeShade="80"/>
              <w:bottom w:val="nil"/>
            </w:tcBorders>
            <w:shd w:val="clear" w:color="auto" w:fill="auto"/>
          </w:tcPr>
          <w:p w14:paraId="6F82E57A" w14:textId="77777777" w:rsidR="00C20063" w:rsidRPr="003F4B3F" w:rsidRDefault="00C20063" w:rsidP="00DC062C">
            <w:pPr>
              <w:pStyle w:val="08-Tabelageral"/>
              <w:jc w:val="left"/>
              <w:rPr>
                <w:rFonts w:cs="Arial"/>
                <w:b/>
                <w:bCs/>
                <w:szCs w:val="14"/>
              </w:rPr>
            </w:pPr>
            <w:r>
              <w:rPr>
                <w:rFonts w:cs="Arial"/>
                <w:b/>
                <w:szCs w:val="14"/>
              </w:rPr>
              <w:t>Current values</w:t>
            </w:r>
          </w:p>
        </w:tc>
        <w:tc>
          <w:tcPr>
            <w:tcW w:w="604" w:type="dxa"/>
            <w:tcBorders>
              <w:top w:val="single" w:sz="2" w:space="0" w:color="1F4E79" w:themeColor="accent1" w:themeShade="80"/>
              <w:bottom w:val="nil"/>
            </w:tcBorders>
            <w:shd w:val="clear" w:color="auto" w:fill="auto"/>
          </w:tcPr>
          <w:p w14:paraId="0BAA6871" w14:textId="77777777" w:rsidR="00C20063" w:rsidRPr="003F4B3F" w:rsidRDefault="00C20063" w:rsidP="00DC062C">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237578EA" w14:textId="77777777" w:rsidR="00C20063" w:rsidRPr="003F4B3F" w:rsidRDefault="00C20063" w:rsidP="00DC062C">
            <w:pPr>
              <w:pStyle w:val="08-Tabelageral"/>
              <w:rPr>
                <w:rFonts w:cs="Arial"/>
                <w:b/>
                <w:szCs w:val="14"/>
              </w:rPr>
            </w:pPr>
            <w:r>
              <w:rPr>
                <w:rFonts w:cs="Arial"/>
                <w:b/>
                <w:szCs w:val="14"/>
              </w:rPr>
              <w:t>--</w:t>
            </w:r>
          </w:p>
        </w:tc>
        <w:tc>
          <w:tcPr>
            <w:tcW w:w="1412" w:type="dxa"/>
            <w:tcBorders>
              <w:top w:val="single" w:sz="2" w:space="0" w:color="1F4E79" w:themeColor="accent1" w:themeShade="80"/>
              <w:bottom w:val="nil"/>
            </w:tcBorders>
            <w:shd w:val="clear" w:color="auto" w:fill="auto"/>
            <w:vAlign w:val="center"/>
          </w:tcPr>
          <w:p w14:paraId="6CAC75E2" w14:textId="77777777" w:rsidR="00C20063" w:rsidRPr="003F4B3F" w:rsidRDefault="00C20063" w:rsidP="00DC062C">
            <w:pPr>
              <w:pStyle w:val="08-Tabelageral"/>
              <w:rPr>
                <w:rFonts w:cs="Arial"/>
                <w:b/>
              </w:rPr>
            </w:pPr>
            <w:r>
              <w:rPr>
                <w:rFonts w:cs="Arial"/>
                <w:b/>
                <w:szCs w:val="14"/>
              </w:rPr>
              <w:t>(186)</w:t>
            </w:r>
          </w:p>
        </w:tc>
        <w:tc>
          <w:tcPr>
            <w:tcW w:w="283" w:type="dxa"/>
            <w:tcBorders>
              <w:top w:val="single" w:sz="2" w:space="0" w:color="1F4E79" w:themeColor="accent1" w:themeShade="80"/>
              <w:bottom w:val="nil"/>
            </w:tcBorders>
            <w:shd w:val="clear" w:color="auto" w:fill="auto"/>
            <w:vAlign w:val="center"/>
          </w:tcPr>
          <w:p w14:paraId="2F3346E1" w14:textId="77777777" w:rsidR="00C20063" w:rsidRPr="003F4B3F" w:rsidRDefault="00C20063" w:rsidP="00DC062C">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5D32EF3E" w14:textId="77777777" w:rsidR="00C20063" w:rsidRPr="003F4B3F" w:rsidRDefault="00C20063" w:rsidP="00DC062C">
            <w:pPr>
              <w:pStyle w:val="08-Tabelageral"/>
              <w:rPr>
                <w:rFonts w:cs="Arial"/>
                <w:b/>
                <w:szCs w:val="14"/>
              </w:rPr>
            </w:pPr>
            <w:r>
              <w:rPr>
                <w:rFonts w:cs="Arial"/>
                <w:b/>
                <w:szCs w:val="14"/>
              </w:rPr>
              <w:t>(366,794)</w:t>
            </w:r>
          </w:p>
        </w:tc>
        <w:tc>
          <w:tcPr>
            <w:tcW w:w="1418" w:type="dxa"/>
            <w:tcBorders>
              <w:top w:val="single" w:sz="2" w:space="0" w:color="1F4E79" w:themeColor="accent1" w:themeShade="80"/>
              <w:bottom w:val="nil"/>
            </w:tcBorders>
            <w:shd w:val="clear" w:color="auto" w:fill="auto"/>
            <w:vAlign w:val="center"/>
          </w:tcPr>
          <w:p w14:paraId="0610FEA2" w14:textId="77777777" w:rsidR="00C20063" w:rsidRPr="003F4B3F" w:rsidRDefault="00C20063" w:rsidP="00DC062C">
            <w:pPr>
              <w:pStyle w:val="08-Tabelageral"/>
              <w:rPr>
                <w:rFonts w:cs="Arial"/>
                <w:b/>
              </w:rPr>
            </w:pPr>
            <w:r>
              <w:rPr>
                <w:rFonts w:cs="Arial"/>
                <w:b/>
                <w:szCs w:val="14"/>
              </w:rPr>
              <w:t>(301,150)</w:t>
            </w:r>
          </w:p>
        </w:tc>
      </w:tr>
      <w:tr w:rsidR="00C20063" w:rsidRPr="001D6BE8" w14:paraId="294DCF34" w14:textId="77777777" w:rsidTr="00DC062C">
        <w:trPr>
          <w:trHeight w:val="238"/>
        </w:trPr>
        <w:tc>
          <w:tcPr>
            <w:tcW w:w="3094" w:type="dxa"/>
            <w:tcBorders>
              <w:top w:val="nil"/>
            </w:tcBorders>
            <w:shd w:val="clear" w:color="auto" w:fill="auto"/>
          </w:tcPr>
          <w:p w14:paraId="47D78D4A" w14:textId="77777777" w:rsidR="00C20063" w:rsidRPr="00F110A6" w:rsidRDefault="00C20063" w:rsidP="00DC062C">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shd w:val="clear" w:color="auto" w:fill="auto"/>
          </w:tcPr>
          <w:p w14:paraId="33541C16" w14:textId="77777777" w:rsidR="00C20063" w:rsidRPr="00F110A6" w:rsidRDefault="00C20063" w:rsidP="00DC062C">
            <w:pPr>
              <w:pStyle w:val="08-Tabelageral"/>
              <w:ind w:left="113"/>
              <w:jc w:val="center"/>
              <w:rPr>
                <w:rFonts w:cs="Arial"/>
                <w:szCs w:val="14"/>
                <w:lang w:val="en-US"/>
              </w:rPr>
            </w:pPr>
          </w:p>
        </w:tc>
        <w:tc>
          <w:tcPr>
            <w:tcW w:w="1411" w:type="dxa"/>
            <w:tcBorders>
              <w:top w:val="nil"/>
            </w:tcBorders>
            <w:shd w:val="clear" w:color="auto" w:fill="auto"/>
            <w:vAlign w:val="center"/>
          </w:tcPr>
          <w:p w14:paraId="3CC6476B" w14:textId="77777777" w:rsidR="00C20063" w:rsidRPr="00C806B0" w:rsidRDefault="00C20063" w:rsidP="00DC062C">
            <w:pPr>
              <w:pStyle w:val="08-Tabelageral"/>
              <w:ind w:left="113"/>
              <w:rPr>
                <w:rFonts w:cs="Arial"/>
                <w:szCs w:val="14"/>
              </w:rPr>
            </w:pPr>
            <w:r>
              <w:rPr>
                <w:rFonts w:cs="Arial"/>
                <w:szCs w:val="14"/>
              </w:rPr>
              <w:t>--</w:t>
            </w:r>
          </w:p>
        </w:tc>
        <w:tc>
          <w:tcPr>
            <w:tcW w:w="1412" w:type="dxa"/>
            <w:tcBorders>
              <w:top w:val="nil"/>
            </w:tcBorders>
            <w:shd w:val="clear" w:color="auto" w:fill="auto"/>
            <w:vAlign w:val="center"/>
          </w:tcPr>
          <w:p w14:paraId="1DAE9C08" w14:textId="77777777" w:rsidR="00C20063" w:rsidRPr="00C806B0" w:rsidRDefault="00C20063" w:rsidP="00DC062C">
            <w:pPr>
              <w:pStyle w:val="08-Tabelageral"/>
              <w:rPr>
                <w:rFonts w:cs="Arial"/>
              </w:rPr>
            </w:pPr>
            <w:r>
              <w:rPr>
                <w:rFonts w:cs="Arial"/>
                <w:szCs w:val="14"/>
              </w:rPr>
              <w:t>(186)</w:t>
            </w:r>
          </w:p>
        </w:tc>
        <w:tc>
          <w:tcPr>
            <w:tcW w:w="283" w:type="dxa"/>
            <w:tcBorders>
              <w:top w:val="nil"/>
            </w:tcBorders>
            <w:shd w:val="clear" w:color="auto" w:fill="auto"/>
            <w:vAlign w:val="center"/>
          </w:tcPr>
          <w:p w14:paraId="4EA48F4F" w14:textId="77777777" w:rsidR="00C20063" w:rsidRPr="00C806B0" w:rsidRDefault="00C20063" w:rsidP="00DC062C">
            <w:pPr>
              <w:pStyle w:val="08-Tabelageral"/>
              <w:ind w:left="113"/>
              <w:rPr>
                <w:rFonts w:cs="Arial"/>
                <w:szCs w:val="14"/>
              </w:rPr>
            </w:pPr>
          </w:p>
        </w:tc>
        <w:tc>
          <w:tcPr>
            <w:tcW w:w="1417" w:type="dxa"/>
            <w:tcBorders>
              <w:top w:val="nil"/>
            </w:tcBorders>
            <w:shd w:val="clear" w:color="auto" w:fill="auto"/>
            <w:vAlign w:val="center"/>
          </w:tcPr>
          <w:p w14:paraId="1A1AB094" w14:textId="77777777" w:rsidR="00C20063" w:rsidRPr="00C806B0" w:rsidRDefault="00C20063" w:rsidP="00DC062C">
            <w:pPr>
              <w:pStyle w:val="08-Tabelageral"/>
              <w:ind w:left="113"/>
              <w:rPr>
                <w:rFonts w:cs="Arial"/>
                <w:szCs w:val="14"/>
              </w:rPr>
            </w:pPr>
            <w:r>
              <w:rPr>
                <w:rFonts w:cs="Arial"/>
                <w:szCs w:val="14"/>
              </w:rPr>
              <w:t>(366,794)</w:t>
            </w:r>
          </w:p>
        </w:tc>
        <w:tc>
          <w:tcPr>
            <w:tcW w:w="1418" w:type="dxa"/>
            <w:tcBorders>
              <w:top w:val="nil"/>
            </w:tcBorders>
            <w:shd w:val="clear" w:color="auto" w:fill="auto"/>
            <w:vAlign w:val="center"/>
          </w:tcPr>
          <w:p w14:paraId="0CF4E04E" w14:textId="77777777" w:rsidR="00C20063" w:rsidRPr="00C806B0" w:rsidRDefault="00C20063" w:rsidP="00DC062C">
            <w:pPr>
              <w:pStyle w:val="08-Tabelageral"/>
              <w:rPr>
                <w:rFonts w:cs="Arial"/>
              </w:rPr>
            </w:pPr>
            <w:r>
              <w:rPr>
                <w:rFonts w:cs="Arial"/>
                <w:szCs w:val="14"/>
              </w:rPr>
              <w:t>(301,150)</w:t>
            </w:r>
          </w:p>
        </w:tc>
      </w:tr>
      <w:tr w:rsidR="00C20063" w:rsidRPr="003F4B3F" w14:paraId="313595C0" w14:textId="77777777" w:rsidTr="00DC062C">
        <w:trPr>
          <w:trHeight w:val="238"/>
        </w:trPr>
        <w:tc>
          <w:tcPr>
            <w:tcW w:w="3094" w:type="dxa"/>
            <w:shd w:val="clear" w:color="auto" w:fill="auto"/>
          </w:tcPr>
          <w:p w14:paraId="2912C094" w14:textId="77777777" w:rsidR="00C20063" w:rsidRPr="00425406" w:rsidRDefault="00C20063" w:rsidP="00DC062C">
            <w:pPr>
              <w:pStyle w:val="08-Tabelageral"/>
              <w:jc w:val="left"/>
              <w:rPr>
                <w:rFonts w:cs="Arial"/>
                <w:b/>
                <w:szCs w:val="14"/>
              </w:rPr>
            </w:pPr>
            <w:r w:rsidRPr="00425406">
              <w:rPr>
                <w:rFonts w:cs="Arial"/>
                <w:b/>
                <w:szCs w:val="14"/>
              </w:rPr>
              <w:t>Deferred values</w:t>
            </w:r>
          </w:p>
        </w:tc>
        <w:tc>
          <w:tcPr>
            <w:tcW w:w="604" w:type="dxa"/>
            <w:shd w:val="clear" w:color="auto" w:fill="auto"/>
          </w:tcPr>
          <w:p w14:paraId="4F72BA91" w14:textId="77777777" w:rsidR="00C20063" w:rsidRPr="003F4B3F" w:rsidRDefault="00C20063" w:rsidP="00DC062C">
            <w:pPr>
              <w:pStyle w:val="08-Tabelageral"/>
              <w:jc w:val="center"/>
              <w:rPr>
                <w:rFonts w:cs="Arial"/>
                <w:b/>
                <w:szCs w:val="14"/>
              </w:rPr>
            </w:pPr>
          </w:p>
        </w:tc>
        <w:tc>
          <w:tcPr>
            <w:tcW w:w="1411" w:type="dxa"/>
            <w:tcBorders>
              <w:bottom w:val="nil"/>
            </w:tcBorders>
            <w:shd w:val="clear" w:color="auto" w:fill="auto"/>
            <w:vAlign w:val="center"/>
          </w:tcPr>
          <w:p w14:paraId="7F6C2D7B" w14:textId="77777777" w:rsidR="00C20063" w:rsidRPr="003F4B3F" w:rsidRDefault="00C20063" w:rsidP="00DC062C">
            <w:pPr>
              <w:pStyle w:val="08-Tabelageral"/>
              <w:rPr>
                <w:rFonts w:cs="Arial"/>
                <w:b/>
                <w:szCs w:val="14"/>
              </w:rPr>
            </w:pPr>
            <w:r>
              <w:rPr>
                <w:rFonts w:cs="Arial"/>
                <w:b/>
                <w:szCs w:val="14"/>
              </w:rPr>
              <w:t>--</w:t>
            </w:r>
          </w:p>
        </w:tc>
        <w:tc>
          <w:tcPr>
            <w:tcW w:w="1412" w:type="dxa"/>
            <w:tcBorders>
              <w:bottom w:val="nil"/>
            </w:tcBorders>
            <w:shd w:val="clear" w:color="auto" w:fill="auto"/>
            <w:vAlign w:val="center"/>
          </w:tcPr>
          <w:p w14:paraId="7419BB98" w14:textId="77777777" w:rsidR="00C20063" w:rsidRPr="003F4B3F" w:rsidRDefault="00C20063" w:rsidP="00DC062C">
            <w:pPr>
              <w:pStyle w:val="08-Tabelageral"/>
              <w:rPr>
                <w:rFonts w:cs="Arial"/>
                <w:b/>
              </w:rPr>
            </w:pPr>
            <w:r>
              <w:rPr>
                <w:rFonts w:cs="Arial"/>
                <w:b/>
                <w:szCs w:val="14"/>
              </w:rPr>
              <w:t>--</w:t>
            </w:r>
          </w:p>
        </w:tc>
        <w:tc>
          <w:tcPr>
            <w:tcW w:w="283" w:type="dxa"/>
            <w:tcBorders>
              <w:bottom w:val="nil"/>
            </w:tcBorders>
            <w:shd w:val="clear" w:color="auto" w:fill="auto"/>
            <w:vAlign w:val="center"/>
          </w:tcPr>
          <w:p w14:paraId="1A3EB66C" w14:textId="77777777" w:rsidR="00C20063" w:rsidRPr="003F4B3F" w:rsidRDefault="00C20063" w:rsidP="00DC062C">
            <w:pPr>
              <w:pStyle w:val="08-Tabelageral"/>
              <w:rPr>
                <w:rFonts w:cs="Arial"/>
                <w:b/>
                <w:szCs w:val="14"/>
              </w:rPr>
            </w:pPr>
          </w:p>
        </w:tc>
        <w:tc>
          <w:tcPr>
            <w:tcW w:w="1417" w:type="dxa"/>
            <w:tcBorders>
              <w:bottom w:val="nil"/>
            </w:tcBorders>
            <w:shd w:val="clear" w:color="auto" w:fill="auto"/>
            <w:vAlign w:val="center"/>
          </w:tcPr>
          <w:p w14:paraId="72E91EFA" w14:textId="77777777" w:rsidR="00C20063" w:rsidRPr="003F4B3F" w:rsidRDefault="00C20063" w:rsidP="00DC062C">
            <w:pPr>
              <w:pStyle w:val="08-Tabelageral"/>
              <w:rPr>
                <w:rFonts w:cs="Arial"/>
                <w:b/>
                <w:szCs w:val="14"/>
              </w:rPr>
            </w:pPr>
            <w:r>
              <w:rPr>
                <w:rFonts w:cs="Arial"/>
                <w:b/>
                <w:szCs w:val="14"/>
              </w:rPr>
              <w:t>493</w:t>
            </w:r>
          </w:p>
        </w:tc>
        <w:tc>
          <w:tcPr>
            <w:tcW w:w="1418" w:type="dxa"/>
            <w:tcBorders>
              <w:bottom w:val="nil"/>
            </w:tcBorders>
            <w:shd w:val="clear" w:color="auto" w:fill="auto"/>
            <w:vAlign w:val="center"/>
          </w:tcPr>
          <w:p w14:paraId="7456638A" w14:textId="77777777" w:rsidR="00C20063" w:rsidRPr="003F4B3F" w:rsidRDefault="00C20063" w:rsidP="00DC062C">
            <w:pPr>
              <w:pStyle w:val="08-Tabelageral"/>
              <w:rPr>
                <w:rFonts w:cs="Arial"/>
                <w:b/>
              </w:rPr>
            </w:pPr>
            <w:r>
              <w:rPr>
                <w:rFonts w:cs="Arial"/>
                <w:b/>
                <w:szCs w:val="14"/>
              </w:rPr>
              <w:t>1,830</w:t>
            </w:r>
          </w:p>
        </w:tc>
      </w:tr>
      <w:tr w:rsidR="00C20063" w:rsidRPr="003F4B3F" w14:paraId="198FCC4D" w14:textId="77777777" w:rsidTr="00DC062C">
        <w:trPr>
          <w:trHeight w:val="238"/>
        </w:trPr>
        <w:tc>
          <w:tcPr>
            <w:tcW w:w="3094" w:type="dxa"/>
            <w:shd w:val="clear" w:color="auto" w:fill="auto"/>
          </w:tcPr>
          <w:p w14:paraId="6FBEC0E3" w14:textId="77777777" w:rsidR="00C20063" w:rsidRPr="003F4B3F" w:rsidRDefault="00C20063" w:rsidP="00DC062C">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03FAB204" w14:textId="77777777" w:rsidR="00C20063" w:rsidRPr="003F4B3F" w:rsidRDefault="00C20063" w:rsidP="00DC062C">
            <w:pPr>
              <w:pStyle w:val="08-Tabelageral"/>
              <w:jc w:val="center"/>
              <w:rPr>
                <w:rFonts w:cs="Arial"/>
                <w:b/>
                <w:szCs w:val="14"/>
              </w:rPr>
            </w:pPr>
          </w:p>
        </w:tc>
        <w:tc>
          <w:tcPr>
            <w:tcW w:w="1411" w:type="dxa"/>
            <w:shd w:val="clear" w:color="auto" w:fill="auto"/>
            <w:vAlign w:val="center"/>
          </w:tcPr>
          <w:p w14:paraId="438BE625" w14:textId="77777777" w:rsidR="00C20063" w:rsidRPr="003F4B3F" w:rsidRDefault="00C20063" w:rsidP="00DC062C">
            <w:pPr>
              <w:pStyle w:val="08-Tabelageral"/>
              <w:rPr>
                <w:rFonts w:cs="Arial"/>
                <w:b/>
                <w:szCs w:val="14"/>
              </w:rPr>
            </w:pPr>
            <w:r>
              <w:rPr>
                <w:rFonts w:cs="Arial"/>
                <w:b/>
                <w:szCs w:val="14"/>
              </w:rPr>
              <w:t>--</w:t>
            </w:r>
          </w:p>
        </w:tc>
        <w:tc>
          <w:tcPr>
            <w:tcW w:w="1412" w:type="dxa"/>
            <w:shd w:val="clear" w:color="auto" w:fill="auto"/>
            <w:vAlign w:val="center"/>
          </w:tcPr>
          <w:p w14:paraId="6908F719" w14:textId="77777777" w:rsidR="00C20063" w:rsidRPr="003F4B3F" w:rsidRDefault="00C20063" w:rsidP="00DC062C">
            <w:pPr>
              <w:pStyle w:val="08-Tabelageral"/>
              <w:rPr>
                <w:rFonts w:cs="Arial"/>
                <w:b/>
              </w:rPr>
            </w:pPr>
            <w:r>
              <w:rPr>
                <w:rFonts w:cs="Arial"/>
                <w:b/>
                <w:szCs w:val="14"/>
              </w:rPr>
              <w:t>--</w:t>
            </w:r>
          </w:p>
        </w:tc>
        <w:tc>
          <w:tcPr>
            <w:tcW w:w="283" w:type="dxa"/>
            <w:shd w:val="clear" w:color="auto" w:fill="auto"/>
            <w:vAlign w:val="center"/>
          </w:tcPr>
          <w:p w14:paraId="17FC7C3C" w14:textId="77777777" w:rsidR="00C20063" w:rsidRPr="003F4B3F" w:rsidRDefault="00C20063" w:rsidP="00DC062C">
            <w:pPr>
              <w:pStyle w:val="08-Tabelageral"/>
              <w:rPr>
                <w:rFonts w:cs="Arial"/>
                <w:b/>
                <w:szCs w:val="14"/>
              </w:rPr>
            </w:pPr>
          </w:p>
        </w:tc>
        <w:tc>
          <w:tcPr>
            <w:tcW w:w="1417" w:type="dxa"/>
            <w:shd w:val="clear" w:color="auto" w:fill="auto"/>
            <w:vAlign w:val="center"/>
          </w:tcPr>
          <w:p w14:paraId="4C36D0D4" w14:textId="77777777" w:rsidR="00C20063" w:rsidRPr="003F4B3F" w:rsidRDefault="00C20063" w:rsidP="00DC062C">
            <w:pPr>
              <w:pStyle w:val="08-Tabelageral"/>
              <w:rPr>
                <w:rFonts w:cs="Arial"/>
                <w:b/>
                <w:szCs w:val="14"/>
              </w:rPr>
            </w:pPr>
            <w:r>
              <w:rPr>
                <w:rFonts w:cs="Arial"/>
                <w:b/>
                <w:szCs w:val="14"/>
              </w:rPr>
              <w:t>493</w:t>
            </w:r>
          </w:p>
        </w:tc>
        <w:tc>
          <w:tcPr>
            <w:tcW w:w="1418" w:type="dxa"/>
            <w:shd w:val="clear" w:color="auto" w:fill="auto"/>
            <w:vAlign w:val="center"/>
          </w:tcPr>
          <w:p w14:paraId="6DF63658" w14:textId="77777777" w:rsidR="00C20063" w:rsidRPr="003F4B3F" w:rsidRDefault="00C20063" w:rsidP="00DC062C">
            <w:pPr>
              <w:pStyle w:val="08-Tabelageral"/>
              <w:rPr>
                <w:rFonts w:cs="Arial"/>
                <w:b/>
              </w:rPr>
            </w:pPr>
            <w:r>
              <w:rPr>
                <w:rFonts w:cs="Arial"/>
                <w:b/>
                <w:szCs w:val="14"/>
              </w:rPr>
              <w:t>1,830</w:t>
            </w:r>
          </w:p>
        </w:tc>
      </w:tr>
      <w:tr w:rsidR="00C20063" w:rsidRPr="001D6BE8" w14:paraId="146D2E3D" w14:textId="77777777" w:rsidTr="00DC062C">
        <w:trPr>
          <w:trHeight w:val="238"/>
        </w:trPr>
        <w:tc>
          <w:tcPr>
            <w:tcW w:w="3094" w:type="dxa"/>
            <w:tcBorders>
              <w:bottom w:val="nil"/>
            </w:tcBorders>
            <w:shd w:val="clear" w:color="auto" w:fill="auto"/>
          </w:tcPr>
          <w:p w14:paraId="3C9D630A" w14:textId="77777777" w:rsidR="00C20063" w:rsidRPr="00C806B0" w:rsidRDefault="00C20063" w:rsidP="00DC062C">
            <w:pPr>
              <w:pStyle w:val="08-Tabelageral"/>
              <w:ind w:left="113"/>
              <w:jc w:val="left"/>
              <w:rPr>
                <w:rFonts w:cs="Arial"/>
                <w:b/>
                <w:szCs w:val="14"/>
              </w:rPr>
            </w:pPr>
            <w:r>
              <w:rPr>
                <w:rFonts w:ascii="ArialMT" w:hAnsi="ArialMT" w:cs="ArialMT"/>
                <w:szCs w:val="14"/>
              </w:rPr>
              <w:t>Temporary differences</w:t>
            </w:r>
          </w:p>
        </w:tc>
        <w:tc>
          <w:tcPr>
            <w:tcW w:w="604" w:type="dxa"/>
            <w:tcBorders>
              <w:bottom w:val="nil"/>
            </w:tcBorders>
            <w:shd w:val="clear" w:color="auto" w:fill="auto"/>
          </w:tcPr>
          <w:p w14:paraId="7CED51E4" w14:textId="77777777" w:rsidR="00C20063" w:rsidRPr="00C806B0" w:rsidRDefault="00C20063" w:rsidP="00DC062C">
            <w:pPr>
              <w:pStyle w:val="08-Tabelageral"/>
              <w:ind w:left="113"/>
              <w:jc w:val="center"/>
              <w:rPr>
                <w:rFonts w:cs="Arial"/>
                <w:szCs w:val="14"/>
              </w:rPr>
            </w:pPr>
          </w:p>
        </w:tc>
        <w:tc>
          <w:tcPr>
            <w:tcW w:w="1411" w:type="dxa"/>
            <w:tcBorders>
              <w:bottom w:val="nil"/>
            </w:tcBorders>
            <w:shd w:val="clear" w:color="auto" w:fill="auto"/>
            <w:vAlign w:val="center"/>
          </w:tcPr>
          <w:p w14:paraId="376BA12C" w14:textId="77777777" w:rsidR="00C20063" w:rsidRPr="00C806B0" w:rsidRDefault="00C20063" w:rsidP="00DC062C">
            <w:pPr>
              <w:pStyle w:val="08-Tabelageral"/>
              <w:ind w:left="113"/>
              <w:rPr>
                <w:rFonts w:cs="Arial"/>
                <w:szCs w:val="14"/>
              </w:rPr>
            </w:pPr>
            <w:r>
              <w:rPr>
                <w:rFonts w:cs="Arial"/>
                <w:szCs w:val="14"/>
              </w:rPr>
              <w:t>--</w:t>
            </w:r>
          </w:p>
        </w:tc>
        <w:tc>
          <w:tcPr>
            <w:tcW w:w="1412" w:type="dxa"/>
            <w:tcBorders>
              <w:bottom w:val="nil"/>
            </w:tcBorders>
            <w:shd w:val="clear" w:color="auto" w:fill="auto"/>
            <w:vAlign w:val="center"/>
          </w:tcPr>
          <w:p w14:paraId="3712ECE0" w14:textId="77777777" w:rsidR="00C20063" w:rsidRPr="00C806B0" w:rsidRDefault="00C20063" w:rsidP="00DC062C">
            <w:pPr>
              <w:pStyle w:val="08-Tabelageral"/>
              <w:rPr>
                <w:rFonts w:cs="Arial"/>
              </w:rPr>
            </w:pPr>
            <w:r>
              <w:rPr>
                <w:rFonts w:cs="Arial"/>
                <w:szCs w:val="14"/>
              </w:rPr>
              <w:t>--</w:t>
            </w:r>
          </w:p>
        </w:tc>
        <w:tc>
          <w:tcPr>
            <w:tcW w:w="283" w:type="dxa"/>
            <w:tcBorders>
              <w:bottom w:val="nil"/>
            </w:tcBorders>
            <w:shd w:val="clear" w:color="auto" w:fill="auto"/>
            <w:vAlign w:val="center"/>
          </w:tcPr>
          <w:p w14:paraId="6C1629AF" w14:textId="77777777" w:rsidR="00C20063" w:rsidRPr="00C806B0" w:rsidRDefault="00C20063" w:rsidP="00DC062C">
            <w:pPr>
              <w:pStyle w:val="08-Tabelageral"/>
              <w:ind w:left="113"/>
              <w:rPr>
                <w:rFonts w:cs="Arial"/>
                <w:szCs w:val="14"/>
              </w:rPr>
            </w:pPr>
          </w:p>
        </w:tc>
        <w:tc>
          <w:tcPr>
            <w:tcW w:w="1417" w:type="dxa"/>
            <w:tcBorders>
              <w:bottom w:val="nil"/>
            </w:tcBorders>
            <w:shd w:val="clear" w:color="auto" w:fill="auto"/>
            <w:vAlign w:val="center"/>
          </w:tcPr>
          <w:p w14:paraId="294A1663" w14:textId="77777777" w:rsidR="00C20063" w:rsidRPr="00C806B0" w:rsidRDefault="00C20063" w:rsidP="00DC062C">
            <w:pPr>
              <w:pStyle w:val="08-Tabelageral"/>
              <w:ind w:left="113"/>
              <w:rPr>
                <w:rFonts w:cs="Arial"/>
                <w:szCs w:val="14"/>
              </w:rPr>
            </w:pPr>
            <w:r>
              <w:rPr>
                <w:rFonts w:cs="Arial"/>
                <w:szCs w:val="14"/>
              </w:rPr>
              <w:t>493</w:t>
            </w:r>
          </w:p>
        </w:tc>
        <w:tc>
          <w:tcPr>
            <w:tcW w:w="1418" w:type="dxa"/>
            <w:tcBorders>
              <w:bottom w:val="nil"/>
            </w:tcBorders>
            <w:shd w:val="clear" w:color="auto" w:fill="auto"/>
            <w:vAlign w:val="center"/>
          </w:tcPr>
          <w:p w14:paraId="1A499887" w14:textId="77777777" w:rsidR="00C20063" w:rsidRPr="00C806B0" w:rsidRDefault="00C20063" w:rsidP="00DC062C">
            <w:pPr>
              <w:pStyle w:val="08-Tabelageral"/>
              <w:rPr>
                <w:rFonts w:cs="Arial"/>
              </w:rPr>
            </w:pPr>
            <w:r>
              <w:rPr>
                <w:rFonts w:cs="Arial"/>
                <w:szCs w:val="14"/>
              </w:rPr>
              <w:t>1,830</w:t>
            </w:r>
          </w:p>
        </w:tc>
      </w:tr>
      <w:tr w:rsidR="00C20063" w:rsidRPr="003F4B3F" w14:paraId="1A142C24" w14:textId="77777777" w:rsidTr="00DC062C">
        <w:trPr>
          <w:trHeight w:val="238"/>
        </w:trPr>
        <w:tc>
          <w:tcPr>
            <w:tcW w:w="3094" w:type="dxa"/>
            <w:tcBorders>
              <w:top w:val="nil"/>
              <w:bottom w:val="single" w:sz="2" w:space="0" w:color="1F4E79" w:themeColor="accent1" w:themeShade="80"/>
            </w:tcBorders>
            <w:shd w:val="clear" w:color="auto" w:fill="auto"/>
          </w:tcPr>
          <w:p w14:paraId="3B93A0AB" w14:textId="77777777" w:rsidR="00C20063" w:rsidRPr="003F4B3F" w:rsidRDefault="00C20063" w:rsidP="00DC062C">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2987970A" w14:textId="77777777" w:rsidR="00C20063" w:rsidRPr="003F4B3F" w:rsidRDefault="00C20063" w:rsidP="00DC062C">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51BA2915" w14:textId="77777777" w:rsidR="00C20063" w:rsidRPr="003F4B3F" w:rsidRDefault="00C20063" w:rsidP="00DC062C">
            <w:pPr>
              <w:pStyle w:val="08-Tabelageral"/>
              <w:rPr>
                <w:rFonts w:cs="Arial"/>
                <w:b/>
                <w:szCs w:val="14"/>
              </w:rPr>
            </w:pPr>
            <w:r>
              <w:rPr>
                <w:rFonts w:cs="Arial"/>
                <w:b/>
                <w:szCs w:val="14"/>
              </w:rPr>
              <w:t>--</w:t>
            </w:r>
          </w:p>
        </w:tc>
        <w:tc>
          <w:tcPr>
            <w:tcW w:w="1412" w:type="dxa"/>
            <w:tcBorders>
              <w:top w:val="nil"/>
              <w:bottom w:val="single" w:sz="2" w:space="0" w:color="1F4E79" w:themeColor="accent1" w:themeShade="80"/>
            </w:tcBorders>
            <w:shd w:val="clear" w:color="auto" w:fill="auto"/>
            <w:vAlign w:val="center"/>
          </w:tcPr>
          <w:p w14:paraId="6DC6EB49" w14:textId="77777777" w:rsidR="00C20063" w:rsidRPr="003F4B3F" w:rsidRDefault="00C20063" w:rsidP="00DC062C">
            <w:pPr>
              <w:pStyle w:val="08-Tabelageral"/>
              <w:rPr>
                <w:rFonts w:cs="Arial"/>
                <w:b/>
              </w:rPr>
            </w:pPr>
            <w:r>
              <w:rPr>
                <w:rFonts w:cs="Arial"/>
                <w:b/>
                <w:szCs w:val="14"/>
              </w:rPr>
              <w:t>(186)</w:t>
            </w:r>
          </w:p>
        </w:tc>
        <w:tc>
          <w:tcPr>
            <w:tcW w:w="283" w:type="dxa"/>
            <w:tcBorders>
              <w:top w:val="nil"/>
              <w:bottom w:val="single" w:sz="2" w:space="0" w:color="1F4E79" w:themeColor="accent1" w:themeShade="80"/>
            </w:tcBorders>
            <w:shd w:val="clear" w:color="auto" w:fill="auto"/>
            <w:vAlign w:val="center"/>
          </w:tcPr>
          <w:p w14:paraId="033D3580" w14:textId="77777777" w:rsidR="00C20063" w:rsidRPr="003F4B3F" w:rsidRDefault="00C20063" w:rsidP="00DC062C">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5E3A2B37" w14:textId="77777777" w:rsidR="00C20063" w:rsidRPr="003F4B3F" w:rsidRDefault="00C20063" w:rsidP="00DC062C">
            <w:pPr>
              <w:pStyle w:val="08-Tabelageral"/>
              <w:rPr>
                <w:rFonts w:cs="Arial"/>
                <w:b/>
                <w:szCs w:val="14"/>
              </w:rPr>
            </w:pPr>
            <w:r>
              <w:rPr>
                <w:rFonts w:cs="Arial"/>
                <w:b/>
                <w:szCs w:val="14"/>
              </w:rPr>
              <w:t>(366,301)</w:t>
            </w:r>
          </w:p>
        </w:tc>
        <w:tc>
          <w:tcPr>
            <w:tcW w:w="1418" w:type="dxa"/>
            <w:tcBorders>
              <w:top w:val="nil"/>
              <w:bottom w:val="single" w:sz="2" w:space="0" w:color="1F4E79" w:themeColor="accent1" w:themeShade="80"/>
            </w:tcBorders>
            <w:shd w:val="clear" w:color="auto" w:fill="auto"/>
            <w:vAlign w:val="center"/>
          </w:tcPr>
          <w:p w14:paraId="7898D444" w14:textId="77777777" w:rsidR="00C20063" w:rsidRPr="003F4B3F" w:rsidRDefault="00C20063" w:rsidP="00DC062C">
            <w:pPr>
              <w:pStyle w:val="08-Tabelageral"/>
              <w:rPr>
                <w:rFonts w:cs="Arial"/>
                <w:b/>
              </w:rPr>
            </w:pPr>
            <w:r>
              <w:rPr>
                <w:rFonts w:cs="Arial"/>
                <w:b/>
                <w:szCs w:val="14"/>
              </w:rPr>
              <w:t>(299,320)</w:t>
            </w:r>
          </w:p>
        </w:tc>
      </w:tr>
    </w:tbl>
    <w:p w14:paraId="12EE293D" w14:textId="77777777" w:rsidR="00C20063" w:rsidRDefault="00C20063" w:rsidP="00DC062C">
      <w:pPr>
        <w:spacing w:after="0"/>
        <w:jc w:val="right"/>
        <w:rPr>
          <w:rFonts w:cs="Arial"/>
          <w:b/>
          <w:sz w:val="14"/>
          <w:lang w:eastAsia="pt-BR"/>
        </w:rPr>
      </w:pPr>
    </w:p>
    <w:p w14:paraId="55B0B990" w14:textId="5167FCFE" w:rsidR="002A1B52" w:rsidRDefault="002A1B52">
      <w:pPr>
        <w:rPr>
          <w:rFonts w:cs="Arial"/>
          <w:b/>
          <w:sz w:val="14"/>
          <w:lang w:eastAsia="pt-BR"/>
        </w:rPr>
      </w:pPr>
      <w:r>
        <w:rPr>
          <w:rFonts w:cs="Arial"/>
          <w:b/>
          <w:sz w:val="14"/>
          <w:lang w:eastAsia="pt-BR"/>
        </w:rPr>
        <w:br w:type="page"/>
      </w:r>
    </w:p>
    <w:p w14:paraId="1D617F8E" w14:textId="77777777" w:rsidR="00C20063" w:rsidRDefault="00C20063" w:rsidP="00DC062C">
      <w:pPr>
        <w:spacing w:after="0"/>
        <w:jc w:val="right"/>
        <w:rPr>
          <w:rFonts w:cs="Arial"/>
          <w:b/>
          <w:sz w:val="14"/>
          <w:lang w:eastAsia="pt-BR"/>
        </w:rPr>
      </w:pPr>
    </w:p>
    <w:p w14:paraId="77CBB030" w14:textId="77777777" w:rsidR="00C20063" w:rsidRDefault="00C20063" w:rsidP="00DC062C">
      <w:pPr>
        <w:spacing w:after="0"/>
        <w:jc w:val="right"/>
        <w:rPr>
          <w:rFonts w:cs="Arial"/>
          <w:b/>
          <w:sz w:val="14"/>
          <w:lang w:eastAsia="pt-BR"/>
        </w:rPr>
      </w:pPr>
    </w:p>
    <w:p w14:paraId="5C330A56" w14:textId="77777777" w:rsidR="00C20063" w:rsidRPr="00F110A6" w:rsidRDefault="00C20063" w:rsidP="00DC062C">
      <w:pPr>
        <w:spacing w:after="40"/>
        <w:rPr>
          <w:rFonts w:cs="Arial"/>
          <w:b/>
          <w:color w:val="1F4E79" w:themeColor="accent1" w:themeShade="80"/>
          <w:szCs w:val="18"/>
          <w:lang w:val="en-US"/>
        </w:rPr>
      </w:pPr>
      <w:r w:rsidRPr="00F110A6">
        <w:rPr>
          <w:rFonts w:cs="Arial"/>
          <w:b/>
          <w:color w:val="1F4E79" w:themeColor="accent1" w:themeShade="80"/>
          <w:szCs w:val="18"/>
          <w:lang w:val="en-US"/>
        </w:rPr>
        <w:t xml:space="preserve">b) </w:t>
      </w:r>
      <w:r w:rsidRPr="00662308">
        <w:rPr>
          <w:rFonts w:cs="Arial"/>
          <w:b/>
          <w:color w:val="1F4E79" w:themeColor="accent1" w:themeShade="80"/>
          <w:szCs w:val="18"/>
          <w:lang w:val="en-US"/>
        </w:rPr>
        <w:t>Reconciliation of Income Tax and Social Contribution Expenses</w:t>
      </w:r>
    </w:p>
    <w:p w14:paraId="2D206A79" w14:textId="77777777" w:rsidR="00C20063" w:rsidRPr="00FF3D4B" w:rsidRDefault="00C20063" w:rsidP="00DC062C">
      <w:pPr>
        <w:spacing w:after="0" w:line="240" w:lineRule="auto"/>
        <w:jc w:val="right"/>
        <w:rPr>
          <w:rFonts w:cs="Arial"/>
          <w:b/>
          <w:sz w:val="14"/>
          <w:lang w:eastAsia="pt-BR"/>
        </w:rPr>
      </w:pPr>
      <w:r w:rsidRPr="00FF3D4B">
        <w:rPr>
          <w:rFonts w:cs="Arial"/>
          <w:b/>
          <w:sz w:val="14"/>
          <w:lang w:eastAsia="pt-BR"/>
        </w:rPr>
        <w:t>R$</w:t>
      </w:r>
      <w:r w:rsidRPr="000F7914">
        <w:rPr>
          <w:rFonts w:cs="Arial"/>
          <w:b/>
          <w:sz w:val="14"/>
          <w:lang w:eastAsia="pt-BR"/>
        </w:rPr>
        <w:t xml:space="preserve">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276"/>
        <w:gridCol w:w="1559"/>
        <w:gridCol w:w="283"/>
        <w:gridCol w:w="1276"/>
        <w:gridCol w:w="1559"/>
      </w:tblGrid>
      <w:tr w:rsidR="00C20063" w:rsidRPr="0019344C" w14:paraId="177878C7" w14:textId="77777777" w:rsidTr="00DC062C">
        <w:trPr>
          <w:trHeight w:val="238"/>
        </w:trPr>
        <w:tc>
          <w:tcPr>
            <w:tcW w:w="3402" w:type="dxa"/>
            <w:tcBorders>
              <w:top w:val="single" w:sz="2" w:space="0" w:color="1F4E79" w:themeColor="accent1" w:themeShade="80"/>
              <w:bottom w:val="nil"/>
            </w:tcBorders>
            <w:shd w:val="clear" w:color="auto" w:fill="auto"/>
            <w:vAlign w:val="center"/>
          </w:tcPr>
          <w:p w14:paraId="4FA166A5" w14:textId="77777777" w:rsidR="00C20063" w:rsidRPr="0019344C" w:rsidRDefault="00C20063" w:rsidP="00DC062C">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7DEB94BD" w14:textId="77777777" w:rsidR="00C20063" w:rsidRPr="0019344C" w:rsidRDefault="00C20063" w:rsidP="00DC062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1B61DD4" w14:textId="77777777" w:rsidR="00C20063" w:rsidRPr="0019344C" w:rsidRDefault="00C20063" w:rsidP="00DC062C">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52A341EE" w14:textId="77777777" w:rsidR="00C20063" w:rsidRPr="0019344C" w:rsidRDefault="00C20063" w:rsidP="00DC062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C252139" w14:textId="77777777" w:rsidR="00C20063" w:rsidRPr="0019344C" w:rsidRDefault="00C20063" w:rsidP="00DC062C">
            <w:pPr>
              <w:spacing w:after="0"/>
              <w:jc w:val="center"/>
              <w:rPr>
                <w:rFonts w:cs="Arial"/>
                <w:b/>
                <w:szCs w:val="18"/>
              </w:rPr>
            </w:pPr>
            <w:r w:rsidRPr="00EC4649">
              <w:rPr>
                <w:rFonts w:cs="Arial"/>
                <w:b/>
                <w:sz w:val="14"/>
                <w:szCs w:val="18"/>
              </w:rPr>
              <w:t>Consolidated</w:t>
            </w:r>
          </w:p>
        </w:tc>
      </w:tr>
      <w:tr w:rsidR="00C20063" w:rsidRPr="0019344C" w14:paraId="213882CD" w14:textId="77777777" w:rsidTr="00DC062C">
        <w:trPr>
          <w:trHeight w:val="238"/>
        </w:trPr>
        <w:tc>
          <w:tcPr>
            <w:tcW w:w="3402" w:type="dxa"/>
            <w:tcBorders>
              <w:top w:val="nil"/>
              <w:bottom w:val="nil"/>
            </w:tcBorders>
            <w:shd w:val="clear" w:color="auto" w:fill="auto"/>
            <w:vAlign w:val="center"/>
          </w:tcPr>
          <w:p w14:paraId="03BE2172" w14:textId="77777777" w:rsidR="00C20063" w:rsidRPr="0019344C" w:rsidRDefault="00C20063" w:rsidP="00DC062C">
            <w:pPr>
              <w:pStyle w:val="08-Tabelageral"/>
              <w:rPr>
                <w:rFonts w:cs="Arial"/>
                <w:b/>
              </w:rPr>
            </w:pPr>
          </w:p>
        </w:tc>
        <w:tc>
          <w:tcPr>
            <w:tcW w:w="284" w:type="dxa"/>
            <w:tcBorders>
              <w:top w:val="nil"/>
              <w:bottom w:val="nil"/>
            </w:tcBorders>
            <w:shd w:val="clear" w:color="auto" w:fill="auto"/>
            <w:vAlign w:val="center"/>
          </w:tcPr>
          <w:p w14:paraId="3015B9E7" w14:textId="77777777" w:rsidR="00C20063" w:rsidRPr="0019344C" w:rsidRDefault="00C20063" w:rsidP="00DC062C">
            <w:pPr>
              <w:pStyle w:val="08-Tabelageral"/>
              <w:rPr>
                <w:rFonts w:cs="Arial"/>
                <w:b/>
              </w:rPr>
            </w:pPr>
          </w:p>
        </w:tc>
        <w:tc>
          <w:tcPr>
            <w:tcW w:w="1276" w:type="dxa"/>
            <w:tcBorders>
              <w:top w:val="single" w:sz="2" w:space="0" w:color="1F4E79" w:themeColor="accent1" w:themeShade="80"/>
              <w:bottom w:val="nil"/>
            </w:tcBorders>
            <w:shd w:val="clear" w:color="auto" w:fill="auto"/>
          </w:tcPr>
          <w:p w14:paraId="4C89A231" w14:textId="77777777" w:rsidR="00C20063" w:rsidRPr="0019344C" w:rsidRDefault="00C20063" w:rsidP="00DC062C">
            <w:pPr>
              <w:pStyle w:val="08-Tabelageral"/>
              <w:rPr>
                <w:rFonts w:cs="Arial"/>
                <w:b/>
              </w:rPr>
            </w:pPr>
            <w:r>
              <w:rPr>
                <w:b/>
              </w:rPr>
              <w:t>1</w:t>
            </w:r>
            <w:r>
              <w:rPr>
                <w:b/>
                <w:vertAlign w:val="superscript"/>
              </w:rPr>
              <w:t xml:space="preserve">st </w:t>
            </w:r>
            <w:r>
              <w:rPr>
                <w:b/>
              </w:rPr>
              <w:t>Quarter 2023</w:t>
            </w:r>
          </w:p>
        </w:tc>
        <w:tc>
          <w:tcPr>
            <w:tcW w:w="1559" w:type="dxa"/>
            <w:tcBorders>
              <w:top w:val="single" w:sz="2" w:space="0" w:color="1F4E79" w:themeColor="accent1" w:themeShade="80"/>
              <w:bottom w:val="nil"/>
            </w:tcBorders>
            <w:shd w:val="clear" w:color="auto" w:fill="auto"/>
          </w:tcPr>
          <w:p w14:paraId="57201262" w14:textId="77777777" w:rsidR="00C20063" w:rsidRPr="0019344C" w:rsidRDefault="00C20063" w:rsidP="00DC062C">
            <w:pPr>
              <w:pStyle w:val="08-Tabelageral"/>
              <w:rPr>
                <w:rFonts w:cs="Arial"/>
                <w:b/>
              </w:rPr>
            </w:pPr>
            <w:r>
              <w:rPr>
                <w:b/>
              </w:rPr>
              <w:t>1</w:t>
            </w:r>
            <w:r>
              <w:rPr>
                <w:b/>
                <w:vertAlign w:val="superscript"/>
              </w:rPr>
              <w:t xml:space="preserve">st </w:t>
            </w:r>
            <w:r>
              <w:rPr>
                <w:b/>
              </w:rPr>
              <w:t>Quarter 2022</w:t>
            </w:r>
          </w:p>
        </w:tc>
        <w:tc>
          <w:tcPr>
            <w:tcW w:w="283" w:type="dxa"/>
            <w:tcBorders>
              <w:top w:val="nil"/>
              <w:bottom w:val="nil"/>
            </w:tcBorders>
            <w:shd w:val="clear" w:color="auto" w:fill="auto"/>
          </w:tcPr>
          <w:p w14:paraId="046E189D" w14:textId="77777777" w:rsidR="00C20063" w:rsidRPr="0019344C" w:rsidRDefault="00C20063" w:rsidP="00DC062C">
            <w:pPr>
              <w:pStyle w:val="08-Tabelageral"/>
              <w:rPr>
                <w:rFonts w:cs="Arial"/>
                <w:b/>
              </w:rPr>
            </w:pPr>
          </w:p>
        </w:tc>
        <w:tc>
          <w:tcPr>
            <w:tcW w:w="1276" w:type="dxa"/>
            <w:tcBorders>
              <w:top w:val="single" w:sz="2" w:space="0" w:color="1F4E79" w:themeColor="accent1" w:themeShade="80"/>
              <w:bottom w:val="nil"/>
            </w:tcBorders>
            <w:shd w:val="clear" w:color="auto" w:fill="auto"/>
          </w:tcPr>
          <w:p w14:paraId="0EB2FECD" w14:textId="77777777" w:rsidR="00C20063" w:rsidRPr="0019344C" w:rsidRDefault="00C20063" w:rsidP="00DC062C">
            <w:pPr>
              <w:pStyle w:val="08-Tabelageral"/>
              <w:rPr>
                <w:rFonts w:cs="Arial"/>
                <w:b/>
              </w:rPr>
            </w:pPr>
            <w:r>
              <w:rPr>
                <w:b/>
              </w:rPr>
              <w:t>1</w:t>
            </w:r>
            <w:r>
              <w:rPr>
                <w:b/>
                <w:vertAlign w:val="superscript"/>
              </w:rPr>
              <w:t xml:space="preserve">st </w:t>
            </w:r>
            <w:r>
              <w:rPr>
                <w:b/>
              </w:rPr>
              <w:t>Quarter 2023</w:t>
            </w:r>
          </w:p>
        </w:tc>
        <w:tc>
          <w:tcPr>
            <w:tcW w:w="1559" w:type="dxa"/>
            <w:tcBorders>
              <w:top w:val="single" w:sz="2" w:space="0" w:color="1F4E79" w:themeColor="accent1" w:themeShade="80"/>
              <w:bottom w:val="nil"/>
            </w:tcBorders>
            <w:shd w:val="clear" w:color="auto" w:fill="auto"/>
          </w:tcPr>
          <w:p w14:paraId="03E5C80E" w14:textId="77777777" w:rsidR="00C20063" w:rsidRPr="0019344C" w:rsidRDefault="00C20063" w:rsidP="00DC062C">
            <w:pPr>
              <w:pStyle w:val="08-Tabelageral"/>
              <w:rPr>
                <w:rFonts w:cs="Arial"/>
                <w:b/>
              </w:rPr>
            </w:pPr>
            <w:r>
              <w:rPr>
                <w:b/>
              </w:rPr>
              <w:t>1</w:t>
            </w:r>
            <w:r>
              <w:rPr>
                <w:b/>
                <w:vertAlign w:val="superscript"/>
              </w:rPr>
              <w:t xml:space="preserve">st </w:t>
            </w:r>
            <w:r>
              <w:rPr>
                <w:b/>
              </w:rPr>
              <w:t>Quarter 2022</w:t>
            </w:r>
          </w:p>
        </w:tc>
      </w:tr>
      <w:tr w:rsidR="00C20063" w:rsidRPr="0019344C" w14:paraId="7FE820B8" w14:textId="77777777" w:rsidTr="00DC062C">
        <w:trPr>
          <w:trHeight w:val="238"/>
        </w:trPr>
        <w:tc>
          <w:tcPr>
            <w:tcW w:w="3402" w:type="dxa"/>
            <w:tcBorders>
              <w:top w:val="nil"/>
              <w:bottom w:val="single" w:sz="2" w:space="0" w:color="1F4E79" w:themeColor="accent1" w:themeShade="80"/>
            </w:tcBorders>
            <w:shd w:val="clear" w:color="auto" w:fill="auto"/>
            <w:vAlign w:val="center"/>
          </w:tcPr>
          <w:p w14:paraId="0FFEB16A" w14:textId="77777777" w:rsidR="00C20063" w:rsidRPr="0019344C" w:rsidRDefault="00C20063" w:rsidP="00DC062C">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38E8F92A" w14:textId="77777777" w:rsidR="00C20063" w:rsidRPr="0019344C" w:rsidRDefault="00C20063" w:rsidP="00DC062C">
            <w:pPr>
              <w:pStyle w:val="08-Tabelageral"/>
              <w:rPr>
                <w:rFonts w:cs="Arial"/>
                <w:b/>
              </w:rPr>
            </w:pPr>
          </w:p>
        </w:tc>
        <w:tc>
          <w:tcPr>
            <w:tcW w:w="1276" w:type="dxa"/>
            <w:tcBorders>
              <w:top w:val="nil"/>
              <w:bottom w:val="single" w:sz="2" w:space="0" w:color="1F4E79" w:themeColor="accent1" w:themeShade="80"/>
            </w:tcBorders>
            <w:shd w:val="clear" w:color="auto" w:fill="auto"/>
          </w:tcPr>
          <w:p w14:paraId="5CAB88F0" w14:textId="77777777" w:rsidR="00C20063" w:rsidRDefault="00C20063" w:rsidP="00DC062C">
            <w:pPr>
              <w:pStyle w:val="08-Tabelageral"/>
              <w:rPr>
                <w:b/>
              </w:rPr>
            </w:pPr>
          </w:p>
        </w:tc>
        <w:tc>
          <w:tcPr>
            <w:tcW w:w="1559" w:type="dxa"/>
            <w:tcBorders>
              <w:top w:val="nil"/>
              <w:bottom w:val="single" w:sz="2" w:space="0" w:color="1F4E79" w:themeColor="accent1" w:themeShade="80"/>
            </w:tcBorders>
            <w:shd w:val="clear" w:color="auto" w:fill="auto"/>
          </w:tcPr>
          <w:p w14:paraId="3BB1405F" w14:textId="77777777" w:rsidR="00C20063" w:rsidRDefault="00C20063" w:rsidP="00DC062C">
            <w:pPr>
              <w:pStyle w:val="08-Tabelageral"/>
              <w:rPr>
                <w:b/>
              </w:rPr>
            </w:pPr>
            <w:r>
              <w:rPr>
                <w:b/>
              </w:rPr>
              <w:t>(Restated balances)</w:t>
            </w:r>
          </w:p>
        </w:tc>
        <w:tc>
          <w:tcPr>
            <w:tcW w:w="283" w:type="dxa"/>
            <w:tcBorders>
              <w:top w:val="nil"/>
              <w:bottom w:val="single" w:sz="2" w:space="0" w:color="1F4E79" w:themeColor="accent1" w:themeShade="80"/>
            </w:tcBorders>
            <w:shd w:val="clear" w:color="auto" w:fill="auto"/>
          </w:tcPr>
          <w:p w14:paraId="19FF468B" w14:textId="77777777" w:rsidR="00C20063" w:rsidRPr="0019344C" w:rsidRDefault="00C20063" w:rsidP="00DC062C">
            <w:pPr>
              <w:pStyle w:val="08-Tabelageral"/>
              <w:rPr>
                <w:rFonts w:cs="Arial"/>
                <w:b/>
              </w:rPr>
            </w:pPr>
          </w:p>
        </w:tc>
        <w:tc>
          <w:tcPr>
            <w:tcW w:w="1276" w:type="dxa"/>
            <w:tcBorders>
              <w:top w:val="nil"/>
              <w:bottom w:val="single" w:sz="2" w:space="0" w:color="1F4E79" w:themeColor="accent1" w:themeShade="80"/>
            </w:tcBorders>
            <w:shd w:val="clear" w:color="auto" w:fill="auto"/>
          </w:tcPr>
          <w:p w14:paraId="714207A7" w14:textId="77777777" w:rsidR="00C20063" w:rsidRDefault="00C20063" w:rsidP="00DC062C">
            <w:pPr>
              <w:pStyle w:val="08-Tabelageral"/>
              <w:rPr>
                <w:b/>
              </w:rPr>
            </w:pPr>
          </w:p>
        </w:tc>
        <w:tc>
          <w:tcPr>
            <w:tcW w:w="1559" w:type="dxa"/>
            <w:tcBorders>
              <w:top w:val="nil"/>
              <w:bottom w:val="single" w:sz="2" w:space="0" w:color="1F4E79" w:themeColor="accent1" w:themeShade="80"/>
            </w:tcBorders>
            <w:shd w:val="clear" w:color="auto" w:fill="auto"/>
          </w:tcPr>
          <w:p w14:paraId="0D2C849D" w14:textId="77777777" w:rsidR="00C20063" w:rsidRDefault="00C20063" w:rsidP="00DC062C">
            <w:pPr>
              <w:pStyle w:val="08-Tabelageral"/>
              <w:rPr>
                <w:b/>
              </w:rPr>
            </w:pPr>
            <w:r>
              <w:rPr>
                <w:b/>
              </w:rPr>
              <w:t>(Restated balances)</w:t>
            </w:r>
          </w:p>
        </w:tc>
      </w:tr>
      <w:tr w:rsidR="00C20063" w:rsidRPr="0019344C" w14:paraId="423DE278" w14:textId="77777777" w:rsidTr="00DC062C">
        <w:trPr>
          <w:trHeight w:val="238"/>
        </w:trPr>
        <w:tc>
          <w:tcPr>
            <w:tcW w:w="3402" w:type="dxa"/>
            <w:tcBorders>
              <w:top w:val="single" w:sz="2" w:space="0" w:color="1F4E79" w:themeColor="accent1" w:themeShade="80"/>
            </w:tcBorders>
            <w:shd w:val="clear" w:color="auto" w:fill="auto"/>
            <w:vAlign w:val="center"/>
          </w:tcPr>
          <w:p w14:paraId="073C4110" w14:textId="77777777" w:rsidR="00C20063" w:rsidRPr="00F110A6" w:rsidRDefault="00C20063" w:rsidP="00DC062C">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F110A6">
              <w:rPr>
                <w:rFonts w:cs="Arial"/>
                <w:b/>
                <w:szCs w:val="14"/>
                <w:lang w:val="en-US"/>
              </w:rPr>
              <w:t xml:space="preserve"> </w:t>
            </w:r>
          </w:p>
        </w:tc>
        <w:tc>
          <w:tcPr>
            <w:tcW w:w="284" w:type="dxa"/>
            <w:tcBorders>
              <w:top w:val="single" w:sz="2" w:space="0" w:color="1F4E79" w:themeColor="accent1" w:themeShade="80"/>
            </w:tcBorders>
            <w:shd w:val="clear" w:color="auto" w:fill="auto"/>
          </w:tcPr>
          <w:p w14:paraId="2D98AD00" w14:textId="77777777" w:rsidR="00C20063" w:rsidRPr="00F110A6" w:rsidRDefault="00C20063" w:rsidP="00DC062C">
            <w:pPr>
              <w:pStyle w:val="08-Tabelageral"/>
              <w:jc w:val="center"/>
              <w:rPr>
                <w:rFonts w:cs="Arial"/>
                <w:b/>
                <w:szCs w:val="14"/>
                <w:lang w:val="en-US"/>
              </w:rPr>
            </w:pPr>
          </w:p>
        </w:tc>
        <w:tc>
          <w:tcPr>
            <w:tcW w:w="1276" w:type="dxa"/>
            <w:tcBorders>
              <w:top w:val="single" w:sz="2" w:space="0" w:color="1F4E79" w:themeColor="accent1" w:themeShade="80"/>
            </w:tcBorders>
            <w:shd w:val="clear" w:color="auto" w:fill="auto"/>
            <w:vAlign w:val="center"/>
          </w:tcPr>
          <w:p w14:paraId="55319697" w14:textId="77777777" w:rsidR="00C20063" w:rsidRPr="0019344C" w:rsidRDefault="00C20063" w:rsidP="00DC062C">
            <w:pPr>
              <w:pStyle w:val="08-Tabelageral"/>
              <w:rPr>
                <w:rFonts w:cs="Arial"/>
                <w:b/>
                <w:szCs w:val="14"/>
              </w:rPr>
            </w:pPr>
            <w:r>
              <w:rPr>
                <w:rFonts w:cs="Arial"/>
                <w:b/>
                <w:szCs w:val="14"/>
              </w:rPr>
              <w:t>1,832,959</w:t>
            </w:r>
          </w:p>
        </w:tc>
        <w:tc>
          <w:tcPr>
            <w:tcW w:w="1559" w:type="dxa"/>
            <w:tcBorders>
              <w:top w:val="single" w:sz="2" w:space="0" w:color="1F4E79" w:themeColor="accent1" w:themeShade="80"/>
            </w:tcBorders>
            <w:shd w:val="clear" w:color="auto" w:fill="auto"/>
            <w:vAlign w:val="center"/>
          </w:tcPr>
          <w:p w14:paraId="6A6B0488" w14:textId="77777777" w:rsidR="00C20063" w:rsidRPr="0019344C" w:rsidRDefault="00C20063" w:rsidP="00DC062C">
            <w:pPr>
              <w:pStyle w:val="08-Tabelageral"/>
              <w:rPr>
                <w:rFonts w:cs="Arial"/>
                <w:b/>
                <w:szCs w:val="14"/>
              </w:rPr>
            </w:pPr>
            <w:r w:rsidRPr="00573127">
              <w:rPr>
                <w:rFonts w:cs="Arial"/>
                <w:b/>
                <w:szCs w:val="14"/>
              </w:rPr>
              <w:t>1</w:t>
            </w:r>
            <w:r>
              <w:rPr>
                <w:rFonts w:cs="Arial"/>
                <w:b/>
                <w:szCs w:val="14"/>
              </w:rPr>
              <w:t>,209,703</w:t>
            </w:r>
          </w:p>
        </w:tc>
        <w:tc>
          <w:tcPr>
            <w:tcW w:w="283" w:type="dxa"/>
            <w:tcBorders>
              <w:top w:val="single" w:sz="2" w:space="0" w:color="1F4E79" w:themeColor="accent1" w:themeShade="80"/>
            </w:tcBorders>
            <w:shd w:val="clear" w:color="auto" w:fill="auto"/>
            <w:vAlign w:val="center"/>
          </w:tcPr>
          <w:p w14:paraId="2699C1E7" w14:textId="77777777" w:rsidR="00C20063" w:rsidRPr="0019344C" w:rsidRDefault="00C20063" w:rsidP="00DC062C">
            <w:pPr>
              <w:pStyle w:val="08-Tabelageral"/>
              <w:rPr>
                <w:rFonts w:cs="Arial"/>
                <w:b/>
                <w:szCs w:val="14"/>
              </w:rPr>
            </w:pPr>
          </w:p>
        </w:tc>
        <w:tc>
          <w:tcPr>
            <w:tcW w:w="1276" w:type="dxa"/>
            <w:tcBorders>
              <w:top w:val="single" w:sz="2" w:space="0" w:color="1F4E79" w:themeColor="accent1" w:themeShade="80"/>
            </w:tcBorders>
            <w:shd w:val="clear" w:color="auto" w:fill="auto"/>
            <w:vAlign w:val="center"/>
          </w:tcPr>
          <w:p w14:paraId="73B0955B" w14:textId="77777777" w:rsidR="00C20063" w:rsidRPr="0019344C" w:rsidRDefault="00C20063" w:rsidP="00DC062C">
            <w:pPr>
              <w:pStyle w:val="08-Tabelageral"/>
              <w:rPr>
                <w:rFonts w:cs="Arial"/>
                <w:b/>
                <w:szCs w:val="14"/>
              </w:rPr>
            </w:pPr>
            <w:r>
              <w:rPr>
                <w:rFonts w:cs="Arial"/>
                <w:b/>
                <w:szCs w:val="14"/>
              </w:rPr>
              <w:t>2,199,260</w:t>
            </w:r>
          </w:p>
        </w:tc>
        <w:tc>
          <w:tcPr>
            <w:tcW w:w="1559" w:type="dxa"/>
            <w:tcBorders>
              <w:top w:val="single" w:sz="2" w:space="0" w:color="1F4E79" w:themeColor="accent1" w:themeShade="80"/>
            </w:tcBorders>
            <w:shd w:val="clear" w:color="auto" w:fill="auto"/>
            <w:vAlign w:val="center"/>
          </w:tcPr>
          <w:p w14:paraId="585EA71D" w14:textId="77777777" w:rsidR="00C20063" w:rsidRPr="0019344C" w:rsidRDefault="00C20063" w:rsidP="00DC062C">
            <w:pPr>
              <w:pStyle w:val="08-Tabelageral"/>
              <w:rPr>
                <w:rFonts w:cs="Arial"/>
                <w:b/>
              </w:rPr>
            </w:pPr>
            <w:r>
              <w:rPr>
                <w:rFonts w:cs="Arial"/>
                <w:b/>
              </w:rPr>
              <w:t>1,508,837</w:t>
            </w:r>
          </w:p>
        </w:tc>
      </w:tr>
      <w:tr w:rsidR="00C20063" w:rsidRPr="0019344C" w14:paraId="58C9080D" w14:textId="77777777" w:rsidTr="00DC062C">
        <w:trPr>
          <w:trHeight w:val="238"/>
        </w:trPr>
        <w:tc>
          <w:tcPr>
            <w:tcW w:w="3402" w:type="dxa"/>
            <w:shd w:val="clear" w:color="auto" w:fill="auto"/>
            <w:vAlign w:val="center"/>
          </w:tcPr>
          <w:p w14:paraId="5B25F4C0" w14:textId="77777777" w:rsidR="00C20063" w:rsidRPr="00F110A6" w:rsidRDefault="00C20063" w:rsidP="00DC062C">
            <w:pPr>
              <w:pStyle w:val="08-Tabelageral"/>
              <w:ind w:left="113"/>
              <w:jc w:val="left"/>
              <w:rPr>
                <w:rFonts w:cs="Arial"/>
                <w:szCs w:val="14"/>
                <w:lang w:val="en-US"/>
              </w:rPr>
            </w:pPr>
            <w:r w:rsidRPr="00F110A6">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chages</w:t>
            </w:r>
            <w:r w:rsidRPr="00F81A67">
              <w:rPr>
                <w:rFonts w:cs="Arial"/>
                <w:sz w:val="16"/>
                <w:szCs w:val="16"/>
                <w:lang w:val="en-US"/>
              </w:rPr>
              <w:t> </w:t>
            </w:r>
          </w:p>
        </w:tc>
        <w:tc>
          <w:tcPr>
            <w:tcW w:w="284" w:type="dxa"/>
            <w:shd w:val="clear" w:color="auto" w:fill="auto"/>
          </w:tcPr>
          <w:p w14:paraId="5A2B5DD0" w14:textId="77777777" w:rsidR="00C20063" w:rsidRPr="00F110A6" w:rsidRDefault="00C20063" w:rsidP="00DC062C">
            <w:pPr>
              <w:pStyle w:val="08-Tabelageral"/>
              <w:ind w:left="113"/>
              <w:jc w:val="center"/>
              <w:rPr>
                <w:rFonts w:cs="Arial"/>
                <w:szCs w:val="14"/>
                <w:lang w:val="en-US"/>
              </w:rPr>
            </w:pPr>
          </w:p>
        </w:tc>
        <w:tc>
          <w:tcPr>
            <w:tcW w:w="1276" w:type="dxa"/>
            <w:shd w:val="clear" w:color="auto" w:fill="auto"/>
            <w:vAlign w:val="center"/>
          </w:tcPr>
          <w:p w14:paraId="4CBADC43" w14:textId="77777777" w:rsidR="00C20063" w:rsidRPr="0019344C" w:rsidRDefault="00C20063" w:rsidP="00DC062C">
            <w:pPr>
              <w:pStyle w:val="08-Tabelageral"/>
              <w:ind w:left="113"/>
              <w:rPr>
                <w:rFonts w:cs="Arial"/>
                <w:szCs w:val="14"/>
              </w:rPr>
            </w:pPr>
            <w:r>
              <w:rPr>
                <w:rFonts w:cs="Arial"/>
                <w:szCs w:val="14"/>
              </w:rPr>
              <w:t>(623,206)</w:t>
            </w:r>
          </w:p>
        </w:tc>
        <w:tc>
          <w:tcPr>
            <w:tcW w:w="1559" w:type="dxa"/>
            <w:shd w:val="clear" w:color="auto" w:fill="auto"/>
            <w:vAlign w:val="center"/>
          </w:tcPr>
          <w:p w14:paraId="37A0DF2A" w14:textId="77777777" w:rsidR="00C20063" w:rsidRPr="0019344C" w:rsidRDefault="00C20063" w:rsidP="00DC062C">
            <w:pPr>
              <w:pStyle w:val="08-Tabelageral"/>
              <w:ind w:left="113"/>
              <w:rPr>
                <w:rFonts w:cs="Arial"/>
                <w:szCs w:val="14"/>
              </w:rPr>
            </w:pPr>
            <w:r w:rsidRPr="00573127">
              <w:rPr>
                <w:rFonts w:cs="Arial"/>
                <w:szCs w:val="14"/>
              </w:rPr>
              <w:t>(4</w:t>
            </w:r>
            <w:r>
              <w:rPr>
                <w:rFonts w:cs="Arial"/>
                <w:szCs w:val="14"/>
              </w:rPr>
              <w:t>11,299</w:t>
            </w:r>
            <w:r w:rsidRPr="00573127">
              <w:rPr>
                <w:rFonts w:cs="Arial"/>
                <w:szCs w:val="14"/>
              </w:rPr>
              <w:t>)</w:t>
            </w:r>
          </w:p>
        </w:tc>
        <w:tc>
          <w:tcPr>
            <w:tcW w:w="283" w:type="dxa"/>
            <w:shd w:val="clear" w:color="auto" w:fill="auto"/>
            <w:vAlign w:val="center"/>
          </w:tcPr>
          <w:p w14:paraId="319E2C85" w14:textId="77777777" w:rsidR="00C20063" w:rsidRPr="0019344C" w:rsidRDefault="00C20063" w:rsidP="00DC062C">
            <w:pPr>
              <w:pStyle w:val="08-Tabelageral"/>
              <w:ind w:left="113"/>
              <w:rPr>
                <w:rFonts w:cs="Arial"/>
                <w:szCs w:val="14"/>
              </w:rPr>
            </w:pPr>
          </w:p>
        </w:tc>
        <w:tc>
          <w:tcPr>
            <w:tcW w:w="1276" w:type="dxa"/>
            <w:shd w:val="clear" w:color="auto" w:fill="auto"/>
            <w:vAlign w:val="center"/>
          </w:tcPr>
          <w:p w14:paraId="1C1EB120" w14:textId="77777777" w:rsidR="00C20063" w:rsidRPr="0019344C" w:rsidRDefault="00C20063" w:rsidP="00DC062C">
            <w:pPr>
              <w:pStyle w:val="08-Tabelageral"/>
              <w:ind w:left="113"/>
              <w:rPr>
                <w:rFonts w:cs="Arial"/>
                <w:szCs w:val="14"/>
              </w:rPr>
            </w:pPr>
            <w:r>
              <w:rPr>
                <w:rFonts w:cs="Arial"/>
                <w:szCs w:val="14"/>
              </w:rPr>
              <w:t>(747,748)</w:t>
            </w:r>
          </w:p>
        </w:tc>
        <w:tc>
          <w:tcPr>
            <w:tcW w:w="1559" w:type="dxa"/>
            <w:shd w:val="clear" w:color="auto" w:fill="auto"/>
            <w:vAlign w:val="center"/>
          </w:tcPr>
          <w:p w14:paraId="607DE50D" w14:textId="77777777" w:rsidR="00C20063" w:rsidRPr="0019344C" w:rsidRDefault="00C20063" w:rsidP="00DC062C">
            <w:pPr>
              <w:pStyle w:val="08-Tabelageral"/>
              <w:rPr>
                <w:rFonts w:cs="Arial"/>
              </w:rPr>
            </w:pPr>
            <w:r w:rsidRPr="00E23197">
              <w:rPr>
                <w:rFonts w:cs="Arial"/>
              </w:rPr>
              <w:t>(5</w:t>
            </w:r>
            <w:r>
              <w:rPr>
                <w:rFonts w:cs="Arial"/>
              </w:rPr>
              <w:t>13,005</w:t>
            </w:r>
            <w:r w:rsidRPr="00E23197">
              <w:rPr>
                <w:rFonts w:cs="Arial"/>
              </w:rPr>
              <w:t>)</w:t>
            </w:r>
          </w:p>
        </w:tc>
      </w:tr>
      <w:tr w:rsidR="00C20063" w:rsidRPr="00E42A80" w14:paraId="444167AF" w14:textId="77777777" w:rsidTr="00DC062C">
        <w:trPr>
          <w:trHeight w:val="238"/>
        </w:trPr>
        <w:tc>
          <w:tcPr>
            <w:tcW w:w="3402" w:type="dxa"/>
            <w:shd w:val="clear" w:color="auto" w:fill="auto"/>
            <w:vAlign w:val="center"/>
          </w:tcPr>
          <w:p w14:paraId="3346BCE1" w14:textId="77777777" w:rsidR="00C20063" w:rsidRPr="00F110A6" w:rsidRDefault="00C20063" w:rsidP="00DC062C">
            <w:pPr>
              <w:pStyle w:val="08-Tabelageral"/>
              <w:jc w:val="left"/>
              <w:rPr>
                <w:rFonts w:cs="Arial"/>
                <w:b/>
                <w:szCs w:val="14"/>
                <w:lang w:val="en-US"/>
              </w:rPr>
            </w:pPr>
            <w:r w:rsidRPr="000F7914">
              <w:rPr>
                <w:rFonts w:cs="Arial"/>
                <w:b/>
                <w:szCs w:val="14"/>
                <w:lang w:val="en-US"/>
              </w:rPr>
              <w:t>Effect on the tax calculation:</w:t>
            </w:r>
          </w:p>
        </w:tc>
        <w:tc>
          <w:tcPr>
            <w:tcW w:w="284" w:type="dxa"/>
            <w:shd w:val="clear" w:color="auto" w:fill="auto"/>
          </w:tcPr>
          <w:p w14:paraId="3BC8DBA1" w14:textId="77777777" w:rsidR="00C20063" w:rsidRPr="00F110A6" w:rsidRDefault="00C20063" w:rsidP="00DC062C">
            <w:pPr>
              <w:pStyle w:val="08-Tabelageral"/>
              <w:jc w:val="center"/>
              <w:rPr>
                <w:rFonts w:cs="Arial"/>
                <w:b/>
                <w:szCs w:val="14"/>
                <w:lang w:val="en-US"/>
              </w:rPr>
            </w:pPr>
          </w:p>
        </w:tc>
        <w:tc>
          <w:tcPr>
            <w:tcW w:w="1276" w:type="dxa"/>
            <w:shd w:val="clear" w:color="auto" w:fill="auto"/>
            <w:vAlign w:val="center"/>
          </w:tcPr>
          <w:p w14:paraId="239E8BCD" w14:textId="77777777" w:rsidR="00C20063" w:rsidRPr="00F110A6" w:rsidRDefault="00C20063" w:rsidP="00DC062C">
            <w:pPr>
              <w:pStyle w:val="08-Tabelageral"/>
              <w:rPr>
                <w:rFonts w:cs="Arial"/>
                <w:b/>
                <w:szCs w:val="14"/>
                <w:lang w:val="en-US"/>
              </w:rPr>
            </w:pPr>
          </w:p>
        </w:tc>
        <w:tc>
          <w:tcPr>
            <w:tcW w:w="1559" w:type="dxa"/>
            <w:shd w:val="clear" w:color="auto" w:fill="auto"/>
            <w:vAlign w:val="center"/>
          </w:tcPr>
          <w:p w14:paraId="146608EC" w14:textId="77777777" w:rsidR="00C20063" w:rsidRPr="00F110A6" w:rsidRDefault="00C20063" w:rsidP="00DC062C">
            <w:pPr>
              <w:pStyle w:val="08-Tabelageral"/>
              <w:rPr>
                <w:rFonts w:cs="Arial"/>
                <w:b/>
                <w:szCs w:val="14"/>
                <w:lang w:val="en-US"/>
              </w:rPr>
            </w:pPr>
          </w:p>
        </w:tc>
        <w:tc>
          <w:tcPr>
            <w:tcW w:w="283" w:type="dxa"/>
            <w:shd w:val="clear" w:color="auto" w:fill="auto"/>
            <w:vAlign w:val="center"/>
          </w:tcPr>
          <w:p w14:paraId="29710A38" w14:textId="77777777" w:rsidR="00C20063" w:rsidRPr="00F110A6" w:rsidRDefault="00C20063" w:rsidP="00DC062C">
            <w:pPr>
              <w:pStyle w:val="08-Tabelageral"/>
              <w:rPr>
                <w:rFonts w:cs="Arial"/>
                <w:b/>
                <w:szCs w:val="14"/>
                <w:lang w:val="en-US"/>
              </w:rPr>
            </w:pPr>
          </w:p>
        </w:tc>
        <w:tc>
          <w:tcPr>
            <w:tcW w:w="1276" w:type="dxa"/>
            <w:shd w:val="clear" w:color="auto" w:fill="auto"/>
            <w:vAlign w:val="center"/>
          </w:tcPr>
          <w:p w14:paraId="70A1E0EE" w14:textId="77777777" w:rsidR="00C20063" w:rsidRPr="00F110A6" w:rsidRDefault="00C20063" w:rsidP="00DC062C">
            <w:pPr>
              <w:pStyle w:val="08-Tabelageral"/>
              <w:rPr>
                <w:rFonts w:cs="Arial"/>
                <w:b/>
                <w:szCs w:val="14"/>
                <w:lang w:val="en-US"/>
              </w:rPr>
            </w:pPr>
          </w:p>
        </w:tc>
        <w:tc>
          <w:tcPr>
            <w:tcW w:w="1559" w:type="dxa"/>
            <w:shd w:val="clear" w:color="auto" w:fill="auto"/>
            <w:vAlign w:val="center"/>
          </w:tcPr>
          <w:p w14:paraId="0D3EFB75" w14:textId="77777777" w:rsidR="00C20063" w:rsidRPr="00F110A6" w:rsidRDefault="00C20063" w:rsidP="00DC062C">
            <w:pPr>
              <w:pStyle w:val="08-Tabelageral"/>
              <w:rPr>
                <w:rFonts w:cs="Arial"/>
                <w:b/>
                <w:lang w:val="en-US"/>
              </w:rPr>
            </w:pPr>
          </w:p>
        </w:tc>
      </w:tr>
      <w:tr w:rsidR="00C20063" w:rsidRPr="0019344C" w14:paraId="504B291B" w14:textId="77777777" w:rsidTr="00DC062C">
        <w:trPr>
          <w:trHeight w:val="238"/>
        </w:trPr>
        <w:tc>
          <w:tcPr>
            <w:tcW w:w="3402" w:type="dxa"/>
            <w:shd w:val="clear" w:color="auto" w:fill="auto"/>
            <w:vAlign w:val="center"/>
          </w:tcPr>
          <w:p w14:paraId="1C33768C" w14:textId="77777777" w:rsidR="00C20063" w:rsidRPr="00F110A6" w:rsidRDefault="00C20063" w:rsidP="00DC062C">
            <w:pPr>
              <w:pStyle w:val="08-Tabelageral"/>
              <w:ind w:left="283" w:hanging="170"/>
              <w:jc w:val="left"/>
              <w:rPr>
                <w:rFonts w:cs="Arial"/>
                <w:szCs w:val="14"/>
                <w:lang w:val="en-US"/>
              </w:rPr>
            </w:pPr>
            <w:r w:rsidRPr="00F110A6">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7D57A7C1" w14:textId="77777777" w:rsidR="00C20063" w:rsidRPr="00F110A6" w:rsidRDefault="00C20063" w:rsidP="00DC062C">
            <w:pPr>
              <w:pStyle w:val="08-Tabelageral"/>
              <w:ind w:left="113"/>
              <w:jc w:val="center"/>
              <w:rPr>
                <w:rFonts w:cs="Arial"/>
                <w:szCs w:val="14"/>
                <w:lang w:val="en-US"/>
              </w:rPr>
            </w:pPr>
          </w:p>
        </w:tc>
        <w:tc>
          <w:tcPr>
            <w:tcW w:w="1276" w:type="dxa"/>
            <w:shd w:val="clear" w:color="auto" w:fill="auto"/>
            <w:vAlign w:val="center"/>
          </w:tcPr>
          <w:p w14:paraId="26CBA195" w14:textId="77777777" w:rsidR="00C20063" w:rsidRPr="0019344C" w:rsidRDefault="00C20063" w:rsidP="00DC062C">
            <w:pPr>
              <w:pStyle w:val="08-Tabelageral"/>
              <w:ind w:left="113"/>
              <w:rPr>
                <w:rFonts w:cs="Arial"/>
                <w:szCs w:val="14"/>
              </w:rPr>
            </w:pPr>
            <w:r>
              <w:rPr>
                <w:rFonts w:cs="Arial"/>
                <w:szCs w:val="14"/>
              </w:rPr>
              <w:t>624,278</w:t>
            </w:r>
          </w:p>
        </w:tc>
        <w:tc>
          <w:tcPr>
            <w:tcW w:w="1559" w:type="dxa"/>
            <w:shd w:val="clear" w:color="auto" w:fill="auto"/>
            <w:vAlign w:val="center"/>
          </w:tcPr>
          <w:p w14:paraId="6D029E61" w14:textId="77777777" w:rsidR="00C20063" w:rsidRPr="0019344C" w:rsidRDefault="00C20063" w:rsidP="00DC062C">
            <w:pPr>
              <w:pStyle w:val="08-Tabelageral"/>
              <w:ind w:left="113"/>
              <w:rPr>
                <w:rFonts w:cs="Arial"/>
                <w:szCs w:val="14"/>
              </w:rPr>
            </w:pPr>
            <w:r>
              <w:rPr>
                <w:rFonts w:cs="Arial"/>
                <w:szCs w:val="14"/>
              </w:rPr>
              <w:t>411,118</w:t>
            </w:r>
          </w:p>
        </w:tc>
        <w:tc>
          <w:tcPr>
            <w:tcW w:w="283" w:type="dxa"/>
            <w:shd w:val="clear" w:color="auto" w:fill="auto"/>
            <w:vAlign w:val="center"/>
          </w:tcPr>
          <w:p w14:paraId="1882D37F" w14:textId="77777777" w:rsidR="00C20063" w:rsidRPr="0019344C" w:rsidRDefault="00C20063" w:rsidP="00DC062C">
            <w:pPr>
              <w:pStyle w:val="08-Tabelageral"/>
              <w:ind w:left="113"/>
              <w:rPr>
                <w:rFonts w:cs="Arial"/>
                <w:szCs w:val="14"/>
              </w:rPr>
            </w:pPr>
          </w:p>
        </w:tc>
        <w:tc>
          <w:tcPr>
            <w:tcW w:w="1276" w:type="dxa"/>
            <w:shd w:val="clear" w:color="auto" w:fill="auto"/>
            <w:vAlign w:val="center"/>
          </w:tcPr>
          <w:p w14:paraId="6DF8641C" w14:textId="77777777" w:rsidR="00C20063" w:rsidRPr="0019344C" w:rsidRDefault="00C20063" w:rsidP="00DC062C">
            <w:pPr>
              <w:pStyle w:val="08-Tabelageral"/>
              <w:ind w:left="113"/>
              <w:rPr>
                <w:rFonts w:cs="Arial"/>
                <w:szCs w:val="14"/>
              </w:rPr>
            </w:pPr>
            <w:r>
              <w:rPr>
                <w:rFonts w:cs="Arial"/>
                <w:szCs w:val="14"/>
              </w:rPr>
              <w:t>382,511</w:t>
            </w:r>
          </w:p>
        </w:tc>
        <w:tc>
          <w:tcPr>
            <w:tcW w:w="1559" w:type="dxa"/>
            <w:shd w:val="clear" w:color="auto" w:fill="auto"/>
            <w:vAlign w:val="center"/>
          </w:tcPr>
          <w:p w14:paraId="6D25701E" w14:textId="77777777" w:rsidR="00C20063" w:rsidRPr="0019344C" w:rsidRDefault="00C20063" w:rsidP="00DC062C">
            <w:pPr>
              <w:pStyle w:val="08-Tabelageral"/>
              <w:rPr>
                <w:rFonts w:cs="Arial"/>
              </w:rPr>
            </w:pPr>
            <w:r>
              <w:rPr>
                <w:rFonts w:cs="Arial"/>
              </w:rPr>
              <w:t>216,026</w:t>
            </w:r>
          </w:p>
        </w:tc>
      </w:tr>
      <w:tr w:rsidR="00C20063" w:rsidRPr="0019344C" w14:paraId="21EFB6B0" w14:textId="77777777" w:rsidTr="00DC062C">
        <w:trPr>
          <w:trHeight w:val="238"/>
        </w:trPr>
        <w:tc>
          <w:tcPr>
            <w:tcW w:w="3402" w:type="dxa"/>
            <w:tcBorders>
              <w:bottom w:val="nil"/>
            </w:tcBorders>
            <w:shd w:val="clear" w:color="auto" w:fill="auto"/>
            <w:vAlign w:val="center"/>
          </w:tcPr>
          <w:p w14:paraId="6E74D489" w14:textId="77777777" w:rsidR="00C20063" w:rsidRPr="00F110A6" w:rsidRDefault="00C20063" w:rsidP="00DC062C">
            <w:pPr>
              <w:pStyle w:val="08-Tabelageral"/>
              <w:ind w:left="283" w:hanging="170"/>
              <w:jc w:val="left"/>
              <w:rPr>
                <w:rFonts w:cs="Arial"/>
                <w:szCs w:val="14"/>
                <w:lang w:val="en-US"/>
              </w:rPr>
            </w:pPr>
            <w:r w:rsidRPr="00F110A6">
              <w:rPr>
                <w:rFonts w:cs="Arial"/>
                <w:szCs w:val="14"/>
                <w:lang w:val="en-US"/>
              </w:rPr>
              <w:t xml:space="preserve">c) </w:t>
            </w:r>
            <w:r w:rsidRPr="003E2305">
              <w:rPr>
                <w:rFonts w:cs="Arial"/>
                <w:szCs w:val="14"/>
                <w:lang w:val="en-US"/>
              </w:rPr>
              <w:t>Non-deductible expenses, net of nontaxable income (34%)</w:t>
            </w:r>
          </w:p>
        </w:tc>
        <w:tc>
          <w:tcPr>
            <w:tcW w:w="284" w:type="dxa"/>
            <w:tcBorders>
              <w:bottom w:val="nil"/>
            </w:tcBorders>
            <w:shd w:val="clear" w:color="auto" w:fill="auto"/>
          </w:tcPr>
          <w:p w14:paraId="130A82E9" w14:textId="77777777" w:rsidR="00C20063" w:rsidRPr="00F110A6" w:rsidRDefault="00C20063" w:rsidP="00DC062C">
            <w:pPr>
              <w:pStyle w:val="08-Tabelageral"/>
              <w:jc w:val="center"/>
              <w:rPr>
                <w:rFonts w:cs="Arial"/>
                <w:szCs w:val="14"/>
                <w:lang w:val="en-US"/>
              </w:rPr>
            </w:pPr>
          </w:p>
        </w:tc>
        <w:tc>
          <w:tcPr>
            <w:tcW w:w="1276" w:type="dxa"/>
            <w:tcBorders>
              <w:bottom w:val="nil"/>
            </w:tcBorders>
            <w:shd w:val="clear" w:color="auto" w:fill="auto"/>
            <w:vAlign w:val="center"/>
          </w:tcPr>
          <w:p w14:paraId="154CD0EE" w14:textId="77777777" w:rsidR="00C20063" w:rsidRPr="0019344C" w:rsidRDefault="00C20063" w:rsidP="00DC062C">
            <w:pPr>
              <w:pStyle w:val="08-Tabelageral"/>
              <w:rPr>
                <w:rFonts w:cs="Arial"/>
                <w:szCs w:val="14"/>
              </w:rPr>
            </w:pPr>
            <w:r>
              <w:rPr>
                <w:rFonts w:cs="Arial"/>
                <w:szCs w:val="14"/>
              </w:rPr>
              <w:t>(1,072)</w:t>
            </w:r>
          </w:p>
        </w:tc>
        <w:tc>
          <w:tcPr>
            <w:tcW w:w="1559" w:type="dxa"/>
            <w:tcBorders>
              <w:bottom w:val="nil"/>
            </w:tcBorders>
            <w:shd w:val="clear" w:color="auto" w:fill="auto"/>
            <w:vAlign w:val="center"/>
          </w:tcPr>
          <w:p w14:paraId="3EF7FB59" w14:textId="77777777" w:rsidR="00C20063" w:rsidRPr="0019344C" w:rsidRDefault="00C20063" w:rsidP="00DC062C">
            <w:pPr>
              <w:pStyle w:val="08-Tabelageral"/>
              <w:rPr>
                <w:rFonts w:cs="Arial"/>
                <w:szCs w:val="14"/>
              </w:rPr>
            </w:pPr>
            <w:r w:rsidRPr="00E23197">
              <w:rPr>
                <w:rFonts w:cs="Arial"/>
                <w:szCs w:val="14"/>
              </w:rPr>
              <w:t>(5)</w:t>
            </w:r>
          </w:p>
        </w:tc>
        <w:tc>
          <w:tcPr>
            <w:tcW w:w="283" w:type="dxa"/>
            <w:tcBorders>
              <w:bottom w:val="nil"/>
            </w:tcBorders>
            <w:shd w:val="clear" w:color="auto" w:fill="auto"/>
            <w:vAlign w:val="center"/>
          </w:tcPr>
          <w:p w14:paraId="4A726AB6" w14:textId="77777777" w:rsidR="00C20063" w:rsidRPr="0019344C" w:rsidRDefault="00C20063" w:rsidP="00DC062C">
            <w:pPr>
              <w:pStyle w:val="08-Tabelageral"/>
              <w:rPr>
                <w:rFonts w:cs="Arial"/>
                <w:szCs w:val="14"/>
              </w:rPr>
            </w:pPr>
          </w:p>
        </w:tc>
        <w:tc>
          <w:tcPr>
            <w:tcW w:w="1276" w:type="dxa"/>
            <w:tcBorders>
              <w:bottom w:val="nil"/>
            </w:tcBorders>
            <w:shd w:val="clear" w:color="auto" w:fill="auto"/>
            <w:vAlign w:val="center"/>
          </w:tcPr>
          <w:p w14:paraId="227498BE" w14:textId="77777777" w:rsidR="00C20063" w:rsidRPr="0019344C" w:rsidRDefault="00C20063" w:rsidP="00DC062C">
            <w:pPr>
              <w:pStyle w:val="08-Tabelageral"/>
              <w:rPr>
                <w:rFonts w:cs="Arial"/>
                <w:szCs w:val="14"/>
              </w:rPr>
            </w:pPr>
            <w:r>
              <w:rPr>
                <w:rFonts w:cs="Arial"/>
                <w:szCs w:val="14"/>
              </w:rPr>
              <w:t>(1,064)</w:t>
            </w:r>
          </w:p>
        </w:tc>
        <w:tc>
          <w:tcPr>
            <w:tcW w:w="1559" w:type="dxa"/>
            <w:tcBorders>
              <w:bottom w:val="nil"/>
            </w:tcBorders>
            <w:shd w:val="clear" w:color="auto" w:fill="auto"/>
            <w:vAlign w:val="center"/>
          </w:tcPr>
          <w:p w14:paraId="6E147595" w14:textId="77777777" w:rsidR="00C20063" w:rsidRPr="0019344C" w:rsidRDefault="00C20063" w:rsidP="00DC062C">
            <w:pPr>
              <w:pStyle w:val="08-Tabelageral"/>
              <w:rPr>
                <w:rFonts w:cs="Arial"/>
              </w:rPr>
            </w:pPr>
            <w:r w:rsidRPr="00E23197">
              <w:rPr>
                <w:rFonts w:cs="Arial"/>
              </w:rPr>
              <w:t>(2</w:t>
            </w:r>
            <w:r>
              <w:rPr>
                <w:rFonts w:cs="Arial"/>
              </w:rPr>
              <w:t>,</w:t>
            </w:r>
            <w:r w:rsidRPr="00E23197">
              <w:rPr>
                <w:rFonts w:cs="Arial"/>
              </w:rPr>
              <w:t>341)</w:t>
            </w:r>
          </w:p>
        </w:tc>
      </w:tr>
      <w:tr w:rsidR="00C20063" w:rsidRPr="0019344C" w14:paraId="4120DD6A" w14:textId="77777777" w:rsidTr="00DC062C">
        <w:trPr>
          <w:trHeight w:val="238"/>
        </w:trPr>
        <w:tc>
          <w:tcPr>
            <w:tcW w:w="3402" w:type="dxa"/>
            <w:tcBorders>
              <w:top w:val="nil"/>
              <w:bottom w:val="single" w:sz="2" w:space="0" w:color="1F4E79" w:themeColor="accent1" w:themeShade="80"/>
            </w:tcBorders>
            <w:shd w:val="clear" w:color="auto" w:fill="auto"/>
            <w:vAlign w:val="center"/>
          </w:tcPr>
          <w:p w14:paraId="04404499" w14:textId="77777777" w:rsidR="00C20063" w:rsidRPr="00F110A6" w:rsidRDefault="00C20063" w:rsidP="00DC062C">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F110A6">
              <w:rPr>
                <w:rFonts w:cs="Arial"/>
                <w:b/>
                <w:lang w:val="en-US"/>
              </w:rPr>
              <w:t>(a+b+c)</w:t>
            </w:r>
          </w:p>
        </w:tc>
        <w:tc>
          <w:tcPr>
            <w:tcW w:w="284" w:type="dxa"/>
            <w:tcBorders>
              <w:top w:val="nil"/>
              <w:bottom w:val="single" w:sz="2" w:space="0" w:color="1F4E79" w:themeColor="accent1" w:themeShade="80"/>
            </w:tcBorders>
            <w:shd w:val="clear" w:color="auto" w:fill="auto"/>
          </w:tcPr>
          <w:p w14:paraId="30946013" w14:textId="77777777" w:rsidR="00C20063" w:rsidRPr="00F110A6" w:rsidRDefault="00C20063" w:rsidP="00DC062C">
            <w:pPr>
              <w:pStyle w:val="08-Tabelageral"/>
              <w:rPr>
                <w:rFonts w:cs="Arial"/>
                <w:b/>
                <w:szCs w:val="14"/>
                <w:lang w:val="en-US"/>
              </w:rPr>
            </w:pPr>
          </w:p>
        </w:tc>
        <w:tc>
          <w:tcPr>
            <w:tcW w:w="1276" w:type="dxa"/>
            <w:tcBorders>
              <w:top w:val="nil"/>
              <w:bottom w:val="single" w:sz="2" w:space="0" w:color="1F4E79" w:themeColor="accent1" w:themeShade="80"/>
            </w:tcBorders>
            <w:shd w:val="clear" w:color="auto" w:fill="auto"/>
            <w:vAlign w:val="center"/>
          </w:tcPr>
          <w:p w14:paraId="47367F1C" w14:textId="77777777" w:rsidR="00C20063" w:rsidRPr="0019344C" w:rsidRDefault="00C20063" w:rsidP="00DC062C">
            <w:pPr>
              <w:pStyle w:val="08-Tabelageral"/>
              <w:rPr>
                <w:rFonts w:cs="Arial"/>
                <w:b/>
                <w:szCs w:val="14"/>
              </w:rPr>
            </w:pPr>
            <w:r>
              <w:rPr>
                <w:rFonts w:cs="Arial"/>
                <w:b/>
                <w:szCs w:val="14"/>
              </w:rPr>
              <w:t>--</w:t>
            </w:r>
          </w:p>
        </w:tc>
        <w:tc>
          <w:tcPr>
            <w:tcW w:w="1559" w:type="dxa"/>
            <w:tcBorders>
              <w:top w:val="nil"/>
              <w:bottom w:val="single" w:sz="2" w:space="0" w:color="1F4E79" w:themeColor="accent1" w:themeShade="80"/>
            </w:tcBorders>
            <w:shd w:val="clear" w:color="auto" w:fill="auto"/>
            <w:vAlign w:val="center"/>
          </w:tcPr>
          <w:p w14:paraId="10B73695" w14:textId="77777777" w:rsidR="00C20063" w:rsidRPr="0019344C" w:rsidRDefault="00C20063" w:rsidP="00DC062C">
            <w:pPr>
              <w:pStyle w:val="08-Tabelageral"/>
              <w:rPr>
                <w:rFonts w:cs="Arial"/>
                <w:b/>
                <w:szCs w:val="14"/>
              </w:rPr>
            </w:pPr>
            <w:r w:rsidRPr="00E23197">
              <w:rPr>
                <w:rFonts w:cs="Arial"/>
                <w:b/>
                <w:szCs w:val="14"/>
              </w:rPr>
              <w:t>(186)</w:t>
            </w:r>
          </w:p>
        </w:tc>
        <w:tc>
          <w:tcPr>
            <w:tcW w:w="283" w:type="dxa"/>
            <w:tcBorders>
              <w:top w:val="nil"/>
              <w:bottom w:val="single" w:sz="2" w:space="0" w:color="1F4E79" w:themeColor="accent1" w:themeShade="80"/>
            </w:tcBorders>
            <w:shd w:val="clear" w:color="auto" w:fill="auto"/>
            <w:vAlign w:val="center"/>
          </w:tcPr>
          <w:p w14:paraId="5FB5AAB3" w14:textId="77777777" w:rsidR="00C20063" w:rsidRPr="0019344C" w:rsidRDefault="00C20063" w:rsidP="00DC062C">
            <w:pPr>
              <w:pStyle w:val="08-Tabelageral"/>
              <w:rPr>
                <w:rFonts w:cs="Arial"/>
                <w:b/>
                <w:szCs w:val="14"/>
              </w:rPr>
            </w:pPr>
          </w:p>
        </w:tc>
        <w:tc>
          <w:tcPr>
            <w:tcW w:w="1276" w:type="dxa"/>
            <w:tcBorders>
              <w:top w:val="nil"/>
              <w:bottom w:val="single" w:sz="2" w:space="0" w:color="1F4E79" w:themeColor="accent1" w:themeShade="80"/>
            </w:tcBorders>
            <w:shd w:val="clear" w:color="auto" w:fill="auto"/>
            <w:vAlign w:val="center"/>
          </w:tcPr>
          <w:p w14:paraId="5762742F" w14:textId="77777777" w:rsidR="00C20063" w:rsidRPr="0019344C" w:rsidRDefault="00C20063" w:rsidP="00DC062C">
            <w:pPr>
              <w:pStyle w:val="08-Tabelageral"/>
              <w:rPr>
                <w:rFonts w:cs="Arial"/>
                <w:b/>
                <w:szCs w:val="14"/>
              </w:rPr>
            </w:pPr>
            <w:r>
              <w:rPr>
                <w:rFonts w:cs="Arial"/>
                <w:b/>
                <w:szCs w:val="14"/>
              </w:rPr>
              <w:t>(366,301)</w:t>
            </w:r>
          </w:p>
        </w:tc>
        <w:tc>
          <w:tcPr>
            <w:tcW w:w="1559" w:type="dxa"/>
            <w:tcBorders>
              <w:top w:val="nil"/>
              <w:bottom w:val="single" w:sz="2" w:space="0" w:color="1F4E79" w:themeColor="accent1" w:themeShade="80"/>
            </w:tcBorders>
            <w:shd w:val="clear" w:color="auto" w:fill="auto"/>
            <w:vAlign w:val="center"/>
          </w:tcPr>
          <w:p w14:paraId="77102323" w14:textId="77777777" w:rsidR="00C20063" w:rsidRPr="0019344C" w:rsidRDefault="00C20063" w:rsidP="00DC062C">
            <w:pPr>
              <w:pStyle w:val="08-Tabelageral"/>
              <w:rPr>
                <w:rFonts w:cs="Arial"/>
                <w:b/>
              </w:rPr>
            </w:pPr>
            <w:r w:rsidRPr="00E23197">
              <w:rPr>
                <w:rFonts w:cs="Arial"/>
                <w:b/>
              </w:rPr>
              <w:t>(299</w:t>
            </w:r>
            <w:r>
              <w:rPr>
                <w:rFonts w:cs="Arial"/>
                <w:b/>
              </w:rPr>
              <w:t>,</w:t>
            </w:r>
            <w:r w:rsidRPr="00E23197">
              <w:rPr>
                <w:rFonts w:cs="Arial"/>
                <w:b/>
              </w:rPr>
              <w:t>320)</w:t>
            </w:r>
          </w:p>
        </w:tc>
      </w:tr>
    </w:tbl>
    <w:p w14:paraId="24DB1456" w14:textId="77777777" w:rsidR="00C20063" w:rsidRDefault="00C20063" w:rsidP="00DC062C">
      <w:pPr>
        <w:spacing w:after="0"/>
        <w:jc w:val="right"/>
        <w:rPr>
          <w:rFonts w:cs="Arial"/>
          <w:b/>
          <w:sz w:val="14"/>
          <w:lang w:eastAsia="pt-BR"/>
        </w:rPr>
      </w:pPr>
    </w:p>
    <w:p w14:paraId="03A7DF25" w14:textId="77777777" w:rsidR="00C20063" w:rsidRDefault="00C20063" w:rsidP="00DC062C">
      <w:pPr>
        <w:spacing w:after="0"/>
        <w:jc w:val="right"/>
        <w:rPr>
          <w:rFonts w:cs="Arial"/>
          <w:b/>
          <w:sz w:val="14"/>
          <w:lang w:eastAsia="pt-BR"/>
        </w:rPr>
      </w:pPr>
    </w:p>
    <w:p w14:paraId="5A282EE2" w14:textId="77777777" w:rsidR="00C20063" w:rsidRPr="00662308" w:rsidRDefault="00C20063" w:rsidP="00DC062C">
      <w:pPr>
        <w:keepNext/>
        <w:keepLines/>
        <w:spacing w:after="40"/>
        <w:rPr>
          <w:rFonts w:cs="Arial"/>
          <w:b/>
          <w:color w:val="1F4E79" w:themeColor="accent1" w:themeShade="80"/>
          <w:szCs w:val="18"/>
        </w:rPr>
      </w:pPr>
      <w:r w:rsidRPr="00662308">
        <w:rPr>
          <w:rFonts w:cs="Arial"/>
          <w:b/>
          <w:color w:val="1F4E79" w:themeColor="accent1" w:themeShade="80"/>
          <w:szCs w:val="18"/>
        </w:rPr>
        <w:t>c) Tax Expenses</w:t>
      </w:r>
    </w:p>
    <w:p w14:paraId="529B86E4" w14:textId="77777777" w:rsidR="00C20063" w:rsidRPr="00FF3D4B" w:rsidRDefault="00C20063" w:rsidP="00DC062C">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C20063" w:rsidRPr="0019344C" w14:paraId="4A878837" w14:textId="77777777" w:rsidTr="00DC062C">
        <w:trPr>
          <w:trHeight w:val="238"/>
        </w:trPr>
        <w:tc>
          <w:tcPr>
            <w:tcW w:w="3094" w:type="dxa"/>
            <w:tcBorders>
              <w:top w:val="single" w:sz="2" w:space="0" w:color="1F4E79" w:themeColor="accent1" w:themeShade="80"/>
              <w:bottom w:val="nil"/>
            </w:tcBorders>
            <w:shd w:val="clear" w:color="auto" w:fill="auto"/>
            <w:vAlign w:val="center"/>
          </w:tcPr>
          <w:p w14:paraId="3392BD28" w14:textId="77777777" w:rsidR="00C20063" w:rsidRPr="0019344C" w:rsidRDefault="00C20063" w:rsidP="00DC062C">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1F6F89B1" w14:textId="77777777" w:rsidR="00C20063" w:rsidRPr="0019344C" w:rsidRDefault="00C20063" w:rsidP="00DC062C">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501FCD5" w14:textId="77777777" w:rsidR="00C20063" w:rsidRPr="0019344C" w:rsidRDefault="00C20063" w:rsidP="00DC062C">
            <w:pPr>
              <w:keepNext/>
              <w:keepLines/>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084D2D55" w14:textId="77777777" w:rsidR="00C20063" w:rsidRPr="0019344C" w:rsidRDefault="00C20063" w:rsidP="00DC062C">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3D0C0F7" w14:textId="77777777" w:rsidR="00C20063" w:rsidRPr="0019344C" w:rsidRDefault="00C20063" w:rsidP="00DC062C">
            <w:pPr>
              <w:keepNext/>
              <w:keepLines/>
              <w:spacing w:after="0"/>
              <w:jc w:val="center"/>
              <w:rPr>
                <w:rFonts w:cs="Arial"/>
                <w:b/>
                <w:szCs w:val="18"/>
              </w:rPr>
            </w:pPr>
            <w:r w:rsidRPr="00EC4649">
              <w:rPr>
                <w:rFonts w:cs="Arial"/>
                <w:b/>
                <w:sz w:val="14"/>
                <w:szCs w:val="18"/>
              </w:rPr>
              <w:t>Consolidated</w:t>
            </w:r>
          </w:p>
        </w:tc>
      </w:tr>
      <w:tr w:rsidR="00C20063" w:rsidRPr="0019344C" w14:paraId="109E38DE" w14:textId="77777777" w:rsidTr="00DC062C">
        <w:trPr>
          <w:trHeight w:val="238"/>
        </w:trPr>
        <w:tc>
          <w:tcPr>
            <w:tcW w:w="3094" w:type="dxa"/>
            <w:tcBorders>
              <w:top w:val="nil"/>
              <w:bottom w:val="single" w:sz="2" w:space="0" w:color="1F4E79" w:themeColor="accent1" w:themeShade="80"/>
            </w:tcBorders>
            <w:shd w:val="clear" w:color="auto" w:fill="auto"/>
            <w:vAlign w:val="center"/>
          </w:tcPr>
          <w:p w14:paraId="4C818091" w14:textId="77777777" w:rsidR="00C20063" w:rsidRPr="0019344C" w:rsidRDefault="00C20063" w:rsidP="00DC062C">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1F2E2BAC" w14:textId="77777777" w:rsidR="00C20063" w:rsidRPr="0019344C" w:rsidRDefault="00C20063" w:rsidP="00DC062C">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494E15AA" w14:textId="77777777" w:rsidR="00C20063" w:rsidRPr="0019344C" w:rsidRDefault="00C20063" w:rsidP="00DC062C">
            <w:pPr>
              <w:pStyle w:val="08-Tabelageral"/>
              <w:rPr>
                <w:rFonts w:cs="Arial"/>
                <w:b/>
              </w:rPr>
            </w:pPr>
            <w:r>
              <w:rPr>
                <w:b/>
              </w:rPr>
              <w:t>1</w:t>
            </w:r>
            <w:r>
              <w:rPr>
                <w:b/>
                <w:vertAlign w:val="superscript"/>
              </w:rPr>
              <w:t xml:space="preserve">st </w:t>
            </w:r>
            <w:r>
              <w:rPr>
                <w:b/>
              </w:rPr>
              <w:t>Quarter 2023</w:t>
            </w:r>
          </w:p>
        </w:tc>
        <w:tc>
          <w:tcPr>
            <w:tcW w:w="1412" w:type="dxa"/>
            <w:tcBorders>
              <w:top w:val="single" w:sz="2" w:space="0" w:color="1F4E79" w:themeColor="accent1" w:themeShade="80"/>
              <w:bottom w:val="single" w:sz="2" w:space="0" w:color="1F4E79" w:themeColor="accent1" w:themeShade="80"/>
            </w:tcBorders>
            <w:shd w:val="clear" w:color="auto" w:fill="auto"/>
          </w:tcPr>
          <w:p w14:paraId="53A1ECBA" w14:textId="77777777" w:rsidR="00C20063" w:rsidRPr="0019344C" w:rsidRDefault="00C20063" w:rsidP="00DC062C">
            <w:pPr>
              <w:pStyle w:val="08-Tabelageral"/>
              <w:rPr>
                <w:rFonts w:cs="Arial"/>
                <w:b/>
              </w:rPr>
            </w:pPr>
            <w:r>
              <w:rPr>
                <w:b/>
              </w:rPr>
              <w:t>1</w:t>
            </w:r>
            <w:r>
              <w:rPr>
                <w:b/>
                <w:vertAlign w:val="superscript"/>
              </w:rPr>
              <w:t xml:space="preserve">st </w:t>
            </w:r>
            <w:r>
              <w:rPr>
                <w:b/>
              </w:rPr>
              <w:t>Quarter 2022</w:t>
            </w:r>
          </w:p>
        </w:tc>
        <w:tc>
          <w:tcPr>
            <w:tcW w:w="283" w:type="dxa"/>
            <w:tcBorders>
              <w:top w:val="nil"/>
              <w:bottom w:val="single" w:sz="2" w:space="0" w:color="1F4E79" w:themeColor="accent1" w:themeShade="80"/>
            </w:tcBorders>
            <w:shd w:val="clear" w:color="auto" w:fill="auto"/>
          </w:tcPr>
          <w:p w14:paraId="060390D6" w14:textId="77777777" w:rsidR="00C20063" w:rsidRPr="0019344C" w:rsidRDefault="00C20063"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1D81F7B" w14:textId="77777777" w:rsidR="00C20063" w:rsidRPr="0019344C" w:rsidRDefault="00C20063" w:rsidP="00DC062C">
            <w:pPr>
              <w:pStyle w:val="08-Tabelageral"/>
              <w:rPr>
                <w:rFonts w:cs="Arial"/>
                <w:b/>
              </w:rPr>
            </w:pPr>
            <w:r>
              <w:rPr>
                <w:b/>
              </w:rPr>
              <w:t>1</w:t>
            </w:r>
            <w:r>
              <w:rPr>
                <w:b/>
                <w:vertAlign w:val="superscript"/>
              </w:rPr>
              <w:t xml:space="preserve">st </w:t>
            </w:r>
            <w:r>
              <w:rPr>
                <w:b/>
              </w:rPr>
              <w:t>Quarter 2023</w:t>
            </w:r>
          </w:p>
        </w:tc>
        <w:tc>
          <w:tcPr>
            <w:tcW w:w="1418" w:type="dxa"/>
            <w:tcBorders>
              <w:top w:val="single" w:sz="2" w:space="0" w:color="1F4E79" w:themeColor="accent1" w:themeShade="80"/>
              <w:bottom w:val="single" w:sz="2" w:space="0" w:color="1F4E79" w:themeColor="accent1" w:themeShade="80"/>
            </w:tcBorders>
            <w:shd w:val="clear" w:color="auto" w:fill="auto"/>
          </w:tcPr>
          <w:p w14:paraId="6B3CA54C" w14:textId="77777777" w:rsidR="00C20063" w:rsidRPr="0019344C" w:rsidRDefault="00C20063" w:rsidP="00DC062C">
            <w:pPr>
              <w:pStyle w:val="08-Tabelageral"/>
              <w:rPr>
                <w:rFonts w:cs="Arial"/>
                <w:b/>
              </w:rPr>
            </w:pPr>
            <w:r>
              <w:rPr>
                <w:b/>
              </w:rPr>
              <w:t>1</w:t>
            </w:r>
            <w:r>
              <w:rPr>
                <w:b/>
                <w:vertAlign w:val="superscript"/>
              </w:rPr>
              <w:t xml:space="preserve">st </w:t>
            </w:r>
            <w:r>
              <w:rPr>
                <w:b/>
              </w:rPr>
              <w:t>Quarter 2022</w:t>
            </w:r>
          </w:p>
        </w:tc>
      </w:tr>
      <w:tr w:rsidR="00C20063" w:rsidRPr="00E42A80" w14:paraId="42E2F9DD" w14:textId="77777777" w:rsidTr="00DC062C">
        <w:trPr>
          <w:trHeight w:val="238"/>
        </w:trPr>
        <w:tc>
          <w:tcPr>
            <w:tcW w:w="3094" w:type="dxa"/>
            <w:tcBorders>
              <w:top w:val="single" w:sz="2" w:space="0" w:color="1F4E79" w:themeColor="accent1" w:themeShade="80"/>
            </w:tcBorders>
            <w:shd w:val="clear" w:color="auto" w:fill="auto"/>
            <w:vAlign w:val="center"/>
          </w:tcPr>
          <w:p w14:paraId="20F851A0" w14:textId="77777777" w:rsidR="00C20063" w:rsidRPr="00F110A6" w:rsidRDefault="00C20063" w:rsidP="00DC062C">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4E79" w:themeColor="accent1" w:themeShade="80"/>
            </w:tcBorders>
            <w:shd w:val="clear" w:color="auto" w:fill="auto"/>
            <w:vAlign w:val="center"/>
          </w:tcPr>
          <w:p w14:paraId="71602AB5" w14:textId="77777777" w:rsidR="00C20063" w:rsidRPr="00F110A6" w:rsidRDefault="00C20063" w:rsidP="00DC062C">
            <w:pPr>
              <w:pStyle w:val="08-Tabelageral"/>
              <w:jc w:val="center"/>
              <w:rPr>
                <w:rFonts w:cs="Arial"/>
                <w:b/>
                <w:szCs w:val="14"/>
                <w:lang w:val="en-US"/>
              </w:rPr>
            </w:pPr>
          </w:p>
        </w:tc>
        <w:tc>
          <w:tcPr>
            <w:tcW w:w="1411" w:type="dxa"/>
            <w:tcBorders>
              <w:top w:val="single" w:sz="2" w:space="0" w:color="1F4E79" w:themeColor="accent1" w:themeShade="80"/>
            </w:tcBorders>
            <w:shd w:val="clear" w:color="auto" w:fill="auto"/>
            <w:vAlign w:val="center"/>
          </w:tcPr>
          <w:p w14:paraId="11535BD1" w14:textId="77777777" w:rsidR="00C20063" w:rsidRPr="00F110A6" w:rsidRDefault="00C20063" w:rsidP="00DC062C">
            <w:pPr>
              <w:pStyle w:val="08-Tabelageral"/>
              <w:rPr>
                <w:rFonts w:cs="Arial"/>
                <w:b/>
                <w:szCs w:val="14"/>
                <w:lang w:val="en-US"/>
              </w:rPr>
            </w:pPr>
          </w:p>
        </w:tc>
        <w:tc>
          <w:tcPr>
            <w:tcW w:w="1412" w:type="dxa"/>
            <w:tcBorders>
              <w:top w:val="single" w:sz="2" w:space="0" w:color="1F4E79" w:themeColor="accent1" w:themeShade="80"/>
            </w:tcBorders>
            <w:shd w:val="clear" w:color="auto" w:fill="auto"/>
            <w:vAlign w:val="center"/>
          </w:tcPr>
          <w:p w14:paraId="45F6105B" w14:textId="77777777" w:rsidR="00C20063" w:rsidRPr="00F110A6" w:rsidRDefault="00C20063" w:rsidP="00DC062C">
            <w:pPr>
              <w:pStyle w:val="08-Tabelageral"/>
              <w:rPr>
                <w:rFonts w:cs="Arial"/>
                <w:b/>
                <w:lang w:val="en-US"/>
              </w:rPr>
            </w:pPr>
          </w:p>
        </w:tc>
        <w:tc>
          <w:tcPr>
            <w:tcW w:w="283" w:type="dxa"/>
            <w:tcBorders>
              <w:top w:val="single" w:sz="2" w:space="0" w:color="1F4E79" w:themeColor="accent1" w:themeShade="80"/>
            </w:tcBorders>
            <w:shd w:val="clear" w:color="auto" w:fill="auto"/>
            <w:vAlign w:val="center"/>
          </w:tcPr>
          <w:p w14:paraId="0BDE4C14" w14:textId="77777777" w:rsidR="00C20063" w:rsidRPr="00F110A6" w:rsidRDefault="00C20063" w:rsidP="00DC062C">
            <w:pPr>
              <w:pStyle w:val="08-Tabelageral"/>
              <w:rPr>
                <w:rFonts w:cs="Arial"/>
                <w:b/>
                <w:szCs w:val="14"/>
                <w:lang w:val="en-US"/>
              </w:rPr>
            </w:pPr>
          </w:p>
        </w:tc>
        <w:tc>
          <w:tcPr>
            <w:tcW w:w="1417" w:type="dxa"/>
            <w:tcBorders>
              <w:top w:val="single" w:sz="2" w:space="0" w:color="1F4E79" w:themeColor="accent1" w:themeShade="80"/>
            </w:tcBorders>
            <w:shd w:val="clear" w:color="auto" w:fill="auto"/>
            <w:vAlign w:val="center"/>
          </w:tcPr>
          <w:p w14:paraId="6A1946A6" w14:textId="77777777" w:rsidR="00C20063" w:rsidRPr="00F110A6" w:rsidRDefault="00C20063" w:rsidP="00DC062C">
            <w:pPr>
              <w:pStyle w:val="08-Tabelageral"/>
              <w:rPr>
                <w:rFonts w:cs="Arial"/>
                <w:b/>
                <w:szCs w:val="14"/>
                <w:lang w:val="en-US"/>
              </w:rPr>
            </w:pPr>
          </w:p>
        </w:tc>
        <w:tc>
          <w:tcPr>
            <w:tcW w:w="1418" w:type="dxa"/>
            <w:tcBorders>
              <w:top w:val="single" w:sz="2" w:space="0" w:color="1F4E79" w:themeColor="accent1" w:themeShade="80"/>
            </w:tcBorders>
            <w:shd w:val="clear" w:color="auto" w:fill="auto"/>
            <w:vAlign w:val="center"/>
          </w:tcPr>
          <w:p w14:paraId="66B82EA9" w14:textId="77777777" w:rsidR="00C20063" w:rsidRPr="00F110A6" w:rsidRDefault="00C20063" w:rsidP="00DC062C">
            <w:pPr>
              <w:pStyle w:val="08-Tabelageral"/>
              <w:rPr>
                <w:rFonts w:cs="Arial"/>
                <w:b/>
                <w:lang w:val="en-US"/>
              </w:rPr>
            </w:pPr>
          </w:p>
        </w:tc>
      </w:tr>
      <w:tr w:rsidR="00C20063" w:rsidRPr="0019344C" w14:paraId="6FEC43F9" w14:textId="77777777" w:rsidTr="00DC062C">
        <w:trPr>
          <w:trHeight w:val="238"/>
        </w:trPr>
        <w:tc>
          <w:tcPr>
            <w:tcW w:w="3094" w:type="dxa"/>
            <w:shd w:val="clear" w:color="auto" w:fill="auto"/>
            <w:vAlign w:val="center"/>
          </w:tcPr>
          <w:p w14:paraId="18985F6A" w14:textId="77777777" w:rsidR="00C20063" w:rsidRPr="0019344C" w:rsidRDefault="00C20063" w:rsidP="00DC062C">
            <w:pPr>
              <w:pStyle w:val="08-Tabelageral"/>
              <w:ind w:left="113"/>
              <w:jc w:val="left"/>
              <w:rPr>
                <w:rFonts w:cs="Arial"/>
                <w:szCs w:val="14"/>
              </w:rPr>
            </w:pPr>
            <w:r w:rsidRPr="0019344C">
              <w:rPr>
                <w:rFonts w:cs="Arial"/>
                <w:szCs w:val="14"/>
              </w:rPr>
              <w:t>Cofins</w:t>
            </w:r>
          </w:p>
        </w:tc>
        <w:tc>
          <w:tcPr>
            <w:tcW w:w="604" w:type="dxa"/>
            <w:shd w:val="clear" w:color="auto" w:fill="auto"/>
            <w:vAlign w:val="center"/>
          </w:tcPr>
          <w:p w14:paraId="28912DF7" w14:textId="77777777" w:rsidR="00C20063" w:rsidRPr="0019344C" w:rsidRDefault="00C20063" w:rsidP="00DC062C">
            <w:pPr>
              <w:pStyle w:val="08-Tabelageral"/>
              <w:ind w:left="113"/>
              <w:jc w:val="center"/>
              <w:rPr>
                <w:rFonts w:cs="Arial"/>
                <w:szCs w:val="14"/>
              </w:rPr>
            </w:pPr>
          </w:p>
        </w:tc>
        <w:tc>
          <w:tcPr>
            <w:tcW w:w="1411" w:type="dxa"/>
            <w:tcBorders>
              <w:top w:val="nil"/>
            </w:tcBorders>
            <w:shd w:val="clear" w:color="auto" w:fill="auto"/>
            <w:vAlign w:val="center"/>
          </w:tcPr>
          <w:p w14:paraId="649D2901" w14:textId="77777777" w:rsidR="00C20063" w:rsidRPr="0019344C" w:rsidRDefault="00C20063" w:rsidP="00DC062C">
            <w:pPr>
              <w:pStyle w:val="08-Tabelageral"/>
              <w:ind w:left="113"/>
              <w:rPr>
                <w:rFonts w:cs="Arial"/>
                <w:szCs w:val="14"/>
              </w:rPr>
            </w:pPr>
            <w:r>
              <w:rPr>
                <w:rFonts w:cs="Arial"/>
                <w:szCs w:val="14"/>
              </w:rPr>
              <w:t>(3,486)</w:t>
            </w:r>
          </w:p>
        </w:tc>
        <w:tc>
          <w:tcPr>
            <w:tcW w:w="1412" w:type="dxa"/>
            <w:tcBorders>
              <w:top w:val="nil"/>
            </w:tcBorders>
            <w:shd w:val="clear" w:color="auto" w:fill="auto"/>
            <w:vAlign w:val="center"/>
          </w:tcPr>
          <w:p w14:paraId="7C3B081E" w14:textId="77777777" w:rsidR="00C20063" w:rsidRPr="0019344C" w:rsidRDefault="00C20063" w:rsidP="00DC062C">
            <w:pPr>
              <w:pStyle w:val="08-Tabelageral"/>
              <w:ind w:left="113"/>
              <w:rPr>
                <w:rFonts w:cs="Arial"/>
              </w:rPr>
            </w:pPr>
            <w:r>
              <w:rPr>
                <w:rFonts w:cs="Arial"/>
                <w:szCs w:val="14"/>
              </w:rPr>
              <w:t>(1,388)</w:t>
            </w:r>
          </w:p>
        </w:tc>
        <w:tc>
          <w:tcPr>
            <w:tcW w:w="283" w:type="dxa"/>
            <w:tcBorders>
              <w:top w:val="nil"/>
            </w:tcBorders>
            <w:shd w:val="clear" w:color="auto" w:fill="auto"/>
            <w:vAlign w:val="center"/>
          </w:tcPr>
          <w:p w14:paraId="7FB3514B" w14:textId="77777777" w:rsidR="00C20063" w:rsidRPr="0019344C" w:rsidRDefault="00C20063" w:rsidP="00DC062C">
            <w:pPr>
              <w:pStyle w:val="08-Tabelageral"/>
              <w:ind w:left="113"/>
              <w:rPr>
                <w:rFonts w:cs="Arial"/>
                <w:szCs w:val="14"/>
              </w:rPr>
            </w:pPr>
          </w:p>
        </w:tc>
        <w:tc>
          <w:tcPr>
            <w:tcW w:w="1417" w:type="dxa"/>
            <w:tcBorders>
              <w:top w:val="nil"/>
            </w:tcBorders>
            <w:shd w:val="clear" w:color="auto" w:fill="auto"/>
            <w:vAlign w:val="center"/>
          </w:tcPr>
          <w:p w14:paraId="1D42A7C1" w14:textId="77777777" w:rsidR="00C20063" w:rsidRPr="0019344C" w:rsidRDefault="00C20063" w:rsidP="00DC062C">
            <w:pPr>
              <w:pStyle w:val="08-Tabelageral"/>
              <w:ind w:left="113"/>
              <w:rPr>
                <w:rFonts w:cs="Arial"/>
                <w:szCs w:val="14"/>
              </w:rPr>
            </w:pPr>
            <w:r>
              <w:rPr>
                <w:rFonts w:cs="Arial"/>
                <w:szCs w:val="14"/>
              </w:rPr>
              <w:t>(10,332)</w:t>
            </w:r>
          </w:p>
        </w:tc>
        <w:tc>
          <w:tcPr>
            <w:tcW w:w="1418" w:type="dxa"/>
            <w:tcBorders>
              <w:top w:val="nil"/>
            </w:tcBorders>
            <w:shd w:val="clear" w:color="auto" w:fill="auto"/>
            <w:vAlign w:val="center"/>
          </w:tcPr>
          <w:p w14:paraId="212A542F" w14:textId="77777777" w:rsidR="00C20063" w:rsidRPr="0019344C" w:rsidRDefault="00C20063" w:rsidP="00DC062C">
            <w:pPr>
              <w:pStyle w:val="08-Tabelageral"/>
              <w:ind w:left="113"/>
              <w:rPr>
                <w:rFonts w:cs="Arial"/>
              </w:rPr>
            </w:pPr>
            <w:r>
              <w:rPr>
                <w:rFonts w:cs="Arial"/>
                <w:szCs w:val="14"/>
              </w:rPr>
              <w:t>(4,489)</w:t>
            </w:r>
          </w:p>
        </w:tc>
      </w:tr>
      <w:tr w:rsidR="00C20063" w:rsidRPr="0019344C" w14:paraId="29C6656A" w14:textId="77777777" w:rsidTr="00DC062C">
        <w:trPr>
          <w:trHeight w:val="238"/>
        </w:trPr>
        <w:tc>
          <w:tcPr>
            <w:tcW w:w="3094" w:type="dxa"/>
            <w:shd w:val="clear" w:color="auto" w:fill="auto"/>
            <w:vAlign w:val="center"/>
          </w:tcPr>
          <w:p w14:paraId="55F88A70" w14:textId="77777777" w:rsidR="00C20063" w:rsidRPr="0019344C" w:rsidRDefault="00C20063" w:rsidP="00DC062C">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3AE3C294" w14:textId="77777777" w:rsidR="00C20063" w:rsidRPr="0019344C" w:rsidRDefault="00C20063" w:rsidP="00DC062C">
            <w:pPr>
              <w:pStyle w:val="08-Tabelageral"/>
              <w:ind w:left="113"/>
              <w:jc w:val="center"/>
              <w:rPr>
                <w:rFonts w:cs="Arial"/>
                <w:szCs w:val="14"/>
              </w:rPr>
            </w:pPr>
          </w:p>
        </w:tc>
        <w:tc>
          <w:tcPr>
            <w:tcW w:w="1411" w:type="dxa"/>
            <w:shd w:val="clear" w:color="auto" w:fill="auto"/>
            <w:vAlign w:val="center"/>
          </w:tcPr>
          <w:p w14:paraId="4EAC8414" w14:textId="77777777" w:rsidR="00C20063" w:rsidRPr="0019344C" w:rsidRDefault="00C20063" w:rsidP="00DC062C">
            <w:pPr>
              <w:pStyle w:val="08-Tabelageral"/>
              <w:ind w:left="113"/>
              <w:rPr>
                <w:rFonts w:cs="Arial"/>
                <w:szCs w:val="14"/>
              </w:rPr>
            </w:pPr>
            <w:r>
              <w:rPr>
                <w:rFonts w:cs="Arial"/>
                <w:szCs w:val="14"/>
              </w:rPr>
              <w:t>(578)</w:t>
            </w:r>
          </w:p>
        </w:tc>
        <w:tc>
          <w:tcPr>
            <w:tcW w:w="1412" w:type="dxa"/>
            <w:shd w:val="clear" w:color="auto" w:fill="auto"/>
            <w:vAlign w:val="center"/>
          </w:tcPr>
          <w:p w14:paraId="4B53C4B6" w14:textId="77777777" w:rsidR="00C20063" w:rsidRPr="0019344C" w:rsidRDefault="00C20063" w:rsidP="00DC062C">
            <w:pPr>
              <w:pStyle w:val="08-Tabelageral"/>
              <w:rPr>
                <w:rFonts w:cs="Arial"/>
              </w:rPr>
            </w:pPr>
            <w:r>
              <w:rPr>
                <w:rFonts w:cs="Arial"/>
                <w:szCs w:val="14"/>
              </w:rPr>
              <w:t>(235)</w:t>
            </w:r>
          </w:p>
        </w:tc>
        <w:tc>
          <w:tcPr>
            <w:tcW w:w="283" w:type="dxa"/>
            <w:shd w:val="clear" w:color="auto" w:fill="auto"/>
            <w:vAlign w:val="center"/>
          </w:tcPr>
          <w:p w14:paraId="67AE64F6" w14:textId="77777777" w:rsidR="00C20063" w:rsidRPr="0019344C" w:rsidRDefault="00C20063" w:rsidP="00DC062C">
            <w:pPr>
              <w:pStyle w:val="08-Tabelageral"/>
              <w:ind w:left="113"/>
              <w:rPr>
                <w:rFonts w:cs="Arial"/>
                <w:szCs w:val="14"/>
              </w:rPr>
            </w:pPr>
          </w:p>
        </w:tc>
        <w:tc>
          <w:tcPr>
            <w:tcW w:w="1417" w:type="dxa"/>
            <w:shd w:val="clear" w:color="auto" w:fill="auto"/>
            <w:vAlign w:val="center"/>
          </w:tcPr>
          <w:p w14:paraId="28643252" w14:textId="77777777" w:rsidR="00C20063" w:rsidRPr="0019344C" w:rsidRDefault="00C20063" w:rsidP="00DC062C">
            <w:pPr>
              <w:pStyle w:val="08-Tabelageral"/>
              <w:ind w:left="113"/>
              <w:rPr>
                <w:rFonts w:cs="Arial"/>
                <w:szCs w:val="14"/>
              </w:rPr>
            </w:pPr>
            <w:r>
              <w:rPr>
                <w:rFonts w:cs="Arial"/>
                <w:szCs w:val="14"/>
              </w:rPr>
              <w:t>(1,690)</w:t>
            </w:r>
          </w:p>
        </w:tc>
        <w:tc>
          <w:tcPr>
            <w:tcW w:w="1418" w:type="dxa"/>
            <w:shd w:val="clear" w:color="auto" w:fill="auto"/>
            <w:vAlign w:val="center"/>
          </w:tcPr>
          <w:p w14:paraId="26EB3E6B" w14:textId="77777777" w:rsidR="00C20063" w:rsidRPr="0019344C" w:rsidRDefault="00C20063" w:rsidP="00DC062C">
            <w:pPr>
              <w:pStyle w:val="08-Tabelageral"/>
              <w:rPr>
                <w:rFonts w:cs="Arial"/>
              </w:rPr>
            </w:pPr>
            <w:r>
              <w:rPr>
                <w:rFonts w:cs="Arial"/>
                <w:szCs w:val="14"/>
              </w:rPr>
              <w:t>(739)</w:t>
            </w:r>
          </w:p>
        </w:tc>
      </w:tr>
      <w:tr w:rsidR="00C20063" w:rsidRPr="0019344C" w14:paraId="4F0D69E0" w14:textId="77777777" w:rsidTr="00DC062C">
        <w:trPr>
          <w:trHeight w:val="238"/>
        </w:trPr>
        <w:tc>
          <w:tcPr>
            <w:tcW w:w="3094" w:type="dxa"/>
            <w:shd w:val="clear" w:color="auto" w:fill="auto"/>
            <w:vAlign w:val="center"/>
          </w:tcPr>
          <w:p w14:paraId="3B2D657B" w14:textId="77777777" w:rsidR="00C20063" w:rsidRPr="0019344C" w:rsidRDefault="00C20063" w:rsidP="00DC062C">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579AEE95" w14:textId="77777777" w:rsidR="00C20063" w:rsidRPr="0019344C" w:rsidRDefault="00C20063" w:rsidP="00DC062C">
            <w:pPr>
              <w:pStyle w:val="08-Tabelageral"/>
              <w:jc w:val="center"/>
              <w:rPr>
                <w:rFonts w:cs="Arial"/>
                <w:szCs w:val="14"/>
              </w:rPr>
            </w:pPr>
          </w:p>
        </w:tc>
        <w:tc>
          <w:tcPr>
            <w:tcW w:w="1411" w:type="dxa"/>
            <w:shd w:val="clear" w:color="auto" w:fill="auto"/>
            <w:vAlign w:val="center"/>
          </w:tcPr>
          <w:p w14:paraId="6DBFAE3B" w14:textId="77777777" w:rsidR="00C20063" w:rsidRPr="0019344C" w:rsidRDefault="00C20063" w:rsidP="00DC062C">
            <w:pPr>
              <w:pStyle w:val="08-Tabelageral"/>
              <w:rPr>
                <w:rFonts w:cs="Arial"/>
                <w:szCs w:val="14"/>
              </w:rPr>
            </w:pPr>
            <w:r>
              <w:rPr>
                <w:rFonts w:cs="Arial"/>
                <w:szCs w:val="14"/>
              </w:rPr>
              <w:t>(2)</w:t>
            </w:r>
          </w:p>
        </w:tc>
        <w:tc>
          <w:tcPr>
            <w:tcW w:w="1412" w:type="dxa"/>
            <w:shd w:val="clear" w:color="auto" w:fill="auto"/>
            <w:vAlign w:val="center"/>
          </w:tcPr>
          <w:p w14:paraId="6D8C010C" w14:textId="77777777" w:rsidR="00C20063" w:rsidRPr="0019344C" w:rsidRDefault="00C20063" w:rsidP="00DC062C">
            <w:pPr>
              <w:pStyle w:val="08-Tabelageral"/>
              <w:rPr>
                <w:rFonts w:cs="Arial"/>
              </w:rPr>
            </w:pPr>
            <w:r>
              <w:rPr>
                <w:rFonts w:cs="Arial"/>
                <w:szCs w:val="14"/>
              </w:rPr>
              <w:t>(4)</w:t>
            </w:r>
          </w:p>
        </w:tc>
        <w:tc>
          <w:tcPr>
            <w:tcW w:w="283" w:type="dxa"/>
            <w:shd w:val="clear" w:color="auto" w:fill="auto"/>
            <w:vAlign w:val="center"/>
          </w:tcPr>
          <w:p w14:paraId="2F110DB1" w14:textId="77777777" w:rsidR="00C20063" w:rsidRPr="0019344C" w:rsidRDefault="00C20063" w:rsidP="00DC062C">
            <w:pPr>
              <w:pStyle w:val="08-Tabelageral"/>
              <w:rPr>
                <w:rFonts w:cs="Arial"/>
                <w:szCs w:val="14"/>
              </w:rPr>
            </w:pPr>
          </w:p>
        </w:tc>
        <w:tc>
          <w:tcPr>
            <w:tcW w:w="1417" w:type="dxa"/>
            <w:shd w:val="clear" w:color="auto" w:fill="auto"/>
            <w:vAlign w:val="center"/>
          </w:tcPr>
          <w:p w14:paraId="3C46FB2B" w14:textId="77777777" w:rsidR="00C20063" w:rsidRPr="0019344C" w:rsidRDefault="00C20063" w:rsidP="00DC062C">
            <w:pPr>
              <w:pStyle w:val="08-Tabelageral"/>
              <w:rPr>
                <w:rFonts w:cs="Arial"/>
                <w:szCs w:val="14"/>
              </w:rPr>
            </w:pPr>
            <w:r>
              <w:rPr>
                <w:rFonts w:cs="Arial"/>
                <w:szCs w:val="14"/>
              </w:rPr>
              <w:t>(2)</w:t>
            </w:r>
          </w:p>
        </w:tc>
        <w:tc>
          <w:tcPr>
            <w:tcW w:w="1418" w:type="dxa"/>
            <w:shd w:val="clear" w:color="auto" w:fill="auto"/>
            <w:vAlign w:val="center"/>
          </w:tcPr>
          <w:p w14:paraId="0A1E7F7C" w14:textId="77777777" w:rsidR="00C20063" w:rsidRPr="0019344C" w:rsidRDefault="00C20063" w:rsidP="00DC062C">
            <w:pPr>
              <w:pStyle w:val="08-Tabelageral"/>
              <w:rPr>
                <w:rFonts w:cs="Arial"/>
              </w:rPr>
            </w:pPr>
            <w:r>
              <w:rPr>
                <w:rFonts w:cs="Arial"/>
                <w:szCs w:val="14"/>
              </w:rPr>
              <w:t>(4)</w:t>
            </w:r>
          </w:p>
        </w:tc>
      </w:tr>
      <w:tr w:rsidR="00C20063" w:rsidRPr="0019344C" w14:paraId="7F1B0458" w14:textId="77777777" w:rsidTr="00DC062C">
        <w:trPr>
          <w:trHeight w:val="238"/>
        </w:trPr>
        <w:tc>
          <w:tcPr>
            <w:tcW w:w="3094" w:type="dxa"/>
            <w:tcBorders>
              <w:bottom w:val="nil"/>
            </w:tcBorders>
            <w:shd w:val="clear" w:color="auto" w:fill="auto"/>
            <w:vAlign w:val="center"/>
          </w:tcPr>
          <w:p w14:paraId="50A38832" w14:textId="77777777" w:rsidR="00C20063" w:rsidRPr="0019344C" w:rsidRDefault="00C20063" w:rsidP="00DC062C">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2CACCD7E" w14:textId="77777777" w:rsidR="00C20063" w:rsidRPr="0019344C" w:rsidRDefault="00C20063" w:rsidP="00DC062C">
            <w:pPr>
              <w:pStyle w:val="08-Tabelageral"/>
              <w:jc w:val="center"/>
              <w:rPr>
                <w:rFonts w:cs="Arial"/>
                <w:szCs w:val="14"/>
              </w:rPr>
            </w:pPr>
          </w:p>
        </w:tc>
        <w:tc>
          <w:tcPr>
            <w:tcW w:w="1411" w:type="dxa"/>
            <w:tcBorders>
              <w:bottom w:val="nil"/>
            </w:tcBorders>
            <w:shd w:val="clear" w:color="auto" w:fill="auto"/>
            <w:vAlign w:val="center"/>
          </w:tcPr>
          <w:p w14:paraId="7C5420C1" w14:textId="77777777" w:rsidR="00C20063" w:rsidRPr="0019344C" w:rsidRDefault="00C20063" w:rsidP="00DC062C">
            <w:pPr>
              <w:pStyle w:val="08-Tabelageral"/>
              <w:rPr>
                <w:rFonts w:cs="Arial"/>
                <w:szCs w:val="14"/>
              </w:rPr>
            </w:pPr>
            <w:r>
              <w:rPr>
                <w:rFonts w:cs="Arial"/>
                <w:szCs w:val="14"/>
              </w:rPr>
              <w:t>(14)</w:t>
            </w:r>
          </w:p>
        </w:tc>
        <w:tc>
          <w:tcPr>
            <w:tcW w:w="1412" w:type="dxa"/>
            <w:tcBorders>
              <w:bottom w:val="nil"/>
            </w:tcBorders>
            <w:shd w:val="clear" w:color="auto" w:fill="auto"/>
            <w:vAlign w:val="center"/>
          </w:tcPr>
          <w:p w14:paraId="42797EFB" w14:textId="77777777" w:rsidR="00C20063" w:rsidRPr="0019344C" w:rsidRDefault="00C20063" w:rsidP="00DC062C">
            <w:pPr>
              <w:pStyle w:val="08-Tabelageral"/>
              <w:rPr>
                <w:rFonts w:cs="Arial"/>
              </w:rPr>
            </w:pPr>
            <w:r>
              <w:rPr>
                <w:rFonts w:cs="Arial"/>
                <w:szCs w:val="14"/>
              </w:rPr>
              <w:t>(3)</w:t>
            </w:r>
          </w:p>
        </w:tc>
        <w:tc>
          <w:tcPr>
            <w:tcW w:w="283" w:type="dxa"/>
            <w:tcBorders>
              <w:bottom w:val="nil"/>
            </w:tcBorders>
            <w:shd w:val="clear" w:color="auto" w:fill="auto"/>
            <w:vAlign w:val="center"/>
          </w:tcPr>
          <w:p w14:paraId="4A092831" w14:textId="77777777" w:rsidR="00C20063" w:rsidRPr="0019344C" w:rsidRDefault="00C20063" w:rsidP="00DC062C">
            <w:pPr>
              <w:pStyle w:val="08-Tabelageral"/>
              <w:rPr>
                <w:rFonts w:cs="Arial"/>
                <w:szCs w:val="14"/>
              </w:rPr>
            </w:pPr>
          </w:p>
        </w:tc>
        <w:tc>
          <w:tcPr>
            <w:tcW w:w="1417" w:type="dxa"/>
            <w:tcBorders>
              <w:bottom w:val="nil"/>
            </w:tcBorders>
            <w:shd w:val="clear" w:color="auto" w:fill="auto"/>
            <w:vAlign w:val="center"/>
          </w:tcPr>
          <w:p w14:paraId="5C57C4CD" w14:textId="77777777" w:rsidR="00C20063" w:rsidRPr="0019344C" w:rsidRDefault="00C20063" w:rsidP="00DC062C">
            <w:pPr>
              <w:pStyle w:val="08-Tabelageral"/>
              <w:rPr>
                <w:rFonts w:cs="Arial"/>
                <w:szCs w:val="14"/>
              </w:rPr>
            </w:pPr>
            <w:r>
              <w:rPr>
                <w:rFonts w:cs="Arial"/>
                <w:szCs w:val="14"/>
              </w:rPr>
              <w:t>(82)</w:t>
            </w:r>
          </w:p>
        </w:tc>
        <w:tc>
          <w:tcPr>
            <w:tcW w:w="1418" w:type="dxa"/>
            <w:tcBorders>
              <w:bottom w:val="nil"/>
            </w:tcBorders>
            <w:shd w:val="clear" w:color="auto" w:fill="auto"/>
            <w:vAlign w:val="center"/>
          </w:tcPr>
          <w:p w14:paraId="2E25E6FB" w14:textId="77777777" w:rsidR="00C20063" w:rsidRPr="0019344C" w:rsidRDefault="00C20063" w:rsidP="00DC062C">
            <w:pPr>
              <w:pStyle w:val="08-Tabelageral"/>
              <w:rPr>
                <w:rFonts w:cs="Arial"/>
              </w:rPr>
            </w:pPr>
            <w:r>
              <w:rPr>
                <w:rFonts w:cs="Arial"/>
                <w:szCs w:val="14"/>
              </w:rPr>
              <w:t>(85)</w:t>
            </w:r>
          </w:p>
        </w:tc>
      </w:tr>
      <w:tr w:rsidR="00C20063" w:rsidRPr="0019344C" w14:paraId="432CA92C" w14:textId="77777777" w:rsidTr="00DC062C">
        <w:trPr>
          <w:trHeight w:val="238"/>
        </w:trPr>
        <w:tc>
          <w:tcPr>
            <w:tcW w:w="3094" w:type="dxa"/>
            <w:tcBorders>
              <w:top w:val="nil"/>
              <w:bottom w:val="single" w:sz="2" w:space="0" w:color="1F4E79" w:themeColor="accent1" w:themeShade="80"/>
            </w:tcBorders>
            <w:shd w:val="clear" w:color="auto" w:fill="auto"/>
            <w:vAlign w:val="center"/>
          </w:tcPr>
          <w:p w14:paraId="4A82AA04" w14:textId="77777777" w:rsidR="00C20063" w:rsidRPr="0019344C" w:rsidRDefault="00C20063" w:rsidP="00DC062C">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11C133A6" w14:textId="77777777" w:rsidR="00C20063" w:rsidRPr="0019344C" w:rsidRDefault="00C20063" w:rsidP="00DC062C">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BE712C4" w14:textId="77777777" w:rsidR="00C20063" w:rsidRPr="0019344C" w:rsidRDefault="00C20063" w:rsidP="00DC062C">
            <w:pPr>
              <w:pStyle w:val="08-Tabelageral"/>
              <w:rPr>
                <w:rFonts w:cs="Arial"/>
                <w:b/>
                <w:szCs w:val="14"/>
              </w:rPr>
            </w:pPr>
            <w:r>
              <w:rPr>
                <w:rFonts w:cs="Arial"/>
                <w:b/>
                <w:szCs w:val="14"/>
              </w:rPr>
              <w:t>(4,080)</w:t>
            </w:r>
          </w:p>
        </w:tc>
        <w:tc>
          <w:tcPr>
            <w:tcW w:w="1412" w:type="dxa"/>
            <w:tcBorders>
              <w:top w:val="nil"/>
              <w:bottom w:val="single" w:sz="2" w:space="0" w:color="1F4E79" w:themeColor="accent1" w:themeShade="80"/>
            </w:tcBorders>
            <w:shd w:val="clear" w:color="auto" w:fill="auto"/>
            <w:vAlign w:val="center"/>
          </w:tcPr>
          <w:p w14:paraId="2AC7AA2B" w14:textId="77777777" w:rsidR="00C20063" w:rsidRPr="0019344C" w:rsidRDefault="00C20063" w:rsidP="00DC062C">
            <w:pPr>
              <w:pStyle w:val="08-Tabelageral"/>
              <w:rPr>
                <w:rFonts w:cs="Arial"/>
                <w:b/>
              </w:rPr>
            </w:pPr>
            <w:r>
              <w:rPr>
                <w:rFonts w:cs="Arial"/>
                <w:b/>
                <w:szCs w:val="14"/>
              </w:rPr>
              <w:t>(1,630)</w:t>
            </w:r>
          </w:p>
        </w:tc>
        <w:tc>
          <w:tcPr>
            <w:tcW w:w="283" w:type="dxa"/>
            <w:tcBorders>
              <w:top w:val="nil"/>
              <w:bottom w:val="single" w:sz="2" w:space="0" w:color="1F4E79" w:themeColor="accent1" w:themeShade="80"/>
            </w:tcBorders>
            <w:shd w:val="clear" w:color="auto" w:fill="auto"/>
            <w:vAlign w:val="center"/>
          </w:tcPr>
          <w:p w14:paraId="48D7F99B" w14:textId="77777777" w:rsidR="00C20063" w:rsidRPr="0019344C" w:rsidRDefault="00C20063" w:rsidP="00DC062C">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08F7BD0" w14:textId="77777777" w:rsidR="00C20063" w:rsidRPr="0019344C" w:rsidRDefault="00C20063" w:rsidP="00DC062C">
            <w:pPr>
              <w:pStyle w:val="08-Tabelageral"/>
              <w:rPr>
                <w:rFonts w:cs="Arial"/>
                <w:b/>
                <w:szCs w:val="14"/>
              </w:rPr>
            </w:pPr>
            <w:r>
              <w:rPr>
                <w:rFonts w:cs="Arial"/>
                <w:b/>
                <w:szCs w:val="14"/>
              </w:rPr>
              <w:t>(12,106)</w:t>
            </w:r>
          </w:p>
        </w:tc>
        <w:tc>
          <w:tcPr>
            <w:tcW w:w="1418" w:type="dxa"/>
            <w:tcBorders>
              <w:top w:val="nil"/>
              <w:bottom w:val="single" w:sz="2" w:space="0" w:color="1F4E79" w:themeColor="accent1" w:themeShade="80"/>
            </w:tcBorders>
            <w:shd w:val="clear" w:color="auto" w:fill="auto"/>
            <w:vAlign w:val="center"/>
          </w:tcPr>
          <w:p w14:paraId="3B8D9F7F" w14:textId="77777777" w:rsidR="00C20063" w:rsidRPr="0019344C" w:rsidRDefault="00C20063" w:rsidP="00DC062C">
            <w:pPr>
              <w:pStyle w:val="08-Tabelageral"/>
              <w:rPr>
                <w:rFonts w:cs="Arial"/>
                <w:b/>
              </w:rPr>
            </w:pPr>
            <w:r>
              <w:rPr>
                <w:rFonts w:cs="Arial"/>
                <w:b/>
                <w:szCs w:val="14"/>
              </w:rPr>
              <w:t>(5,317)</w:t>
            </w:r>
          </w:p>
        </w:tc>
      </w:tr>
    </w:tbl>
    <w:p w14:paraId="2362D541" w14:textId="77777777" w:rsidR="00C20063" w:rsidRDefault="00C20063">
      <w:pPr>
        <w:rPr>
          <w:rFonts w:cs="Arial"/>
          <w:b/>
          <w:color w:val="1F4E79" w:themeColor="accent1" w:themeShade="80"/>
          <w:szCs w:val="18"/>
        </w:rPr>
      </w:pPr>
    </w:p>
    <w:p w14:paraId="219BD10B" w14:textId="77777777" w:rsidR="00C20063" w:rsidRPr="00662308" w:rsidRDefault="00C20063" w:rsidP="00DC062C">
      <w:pPr>
        <w:spacing w:after="40"/>
        <w:rPr>
          <w:rFonts w:cs="Arial"/>
          <w:b/>
          <w:color w:val="1F4E79" w:themeColor="accent1" w:themeShade="80"/>
          <w:szCs w:val="18"/>
        </w:rPr>
      </w:pPr>
      <w:r w:rsidRPr="00662308">
        <w:rPr>
          <w:rFonts w:cs="Arial"/>
          <w:b/>
          <w:color w:val="1F4E79" w:themeColor="accent1" w:themeShade="80"/>
          <w:szCs w:val="18"/>
        </w:rPr>
        <w:t>d) Current tax assets</w:t>
      </w:r>
    </w:p>
    <w:p w14:paraId="71AF4FD6" w14:textId="77777777" w:rsidR="00C20063" w:rsidRPr="00FF3D4B" w:rsidRDefault="00C20063" w:rsidP="00DC062C">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r w:rsidRPr="00FF3D4B">
        <w:rPr>
          <w:rFonts w:cs="Arial"/>
          <w:b/>
          <w:sz w:val="14"/>
          <w:lang w:eastAsia="pt-BR"/>
        </w:rPr>
        <w:t xml:space="preserve"> </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C20063" w:rsidRPr="00BC7DA5" w14:paraId="5B1F34F1" w14:textId="77777777" w:rsidTr="00DC062C">
        <w:trPr>
          <w:trHeight w:val="238"/>
        </w:trPr>
        <w:tc>
          <w:tcPr>
            <w:tcW w:w="3261" w:type="dxa"/>
            <w:tcBorders>
              <w:top w:val="single" w:sz="2" w:space="0" w:color="1F4E79" w:themeColor="accent1" w:themeShade="80"/>
              <w:bottom w:val="nil"/>
            </w:tcBorders>
            <w:shd w:val="clear" w:color="auto" w:fill="auto"/>
          </w:tcPr>
          <w:p w14:paraId="6D96B176" w14:textId="77777777" w:rsidR="00C20063" w:rsidRPr="00BC7DA5" w:rsidRDefault="00C20063" w:rsidP="00DC062C">
            <w:pPr>
              <w:spacing w:after="0"/>
              <w:jc w:val="center"/>
              <w:rPr>
                <w:rFonts w:cs="Arial"/>
                <w:b/>
                <w:szCs w:val="18"/>
              </w:rPr>
            </w:pPr>
          </w:p>
        </w:tc>
        <w:tc>
          <w:tcPr>
            <w:tcW w:w="437" w:type="dxa"/>
            <w:tcBorders>
              <w:top w:val="single" w:sz="2" w:space="0" w:color="1F4E79" w:themeColor="accent1" w:themeShade="80"/>
              <w:bottom w:val="nil"/>
            </w:tcBorders>
            <w:shd w:val="clear" w:color="auto" w:fill="auto"/>
          </w:tcPr>
          <w:p w14:paraId="4922EB49" w14:textId="77777777" w:rsidR="00C20063" w:rsidRPr="00BC7DA5" w:rsidRDefault="00C20063" w:rsidP="00DC062C">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5BA92D41" w14:textId="77777777" w:rsidR="00C20063" w:rsidRPr="00BC7DA5" w:rsidRDefault="00C20063" w:rsidP="00DC062C">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0439F95F" w14:textId="77777777" w:rsidR="00C20063" w:rsidRPr="00BC7DA5" w:rsidRDefault="00C20063" w:rsidP="00DC062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F20746C" w14:textId="77777777" w:rsidR="00C20063" w:rsidRPr="00BC7DA5" w:rsidRDefault="00C20063" w:rsidP="00DC062C">
            <w:pPr>
              <w:spacing w:after="0"/>
              <w:jc w:val="center"/>
              <w:rPr>
                <w:rFonts w:cs="Arial"/>
                <w:b/>
                <w:szCs w:val="18"/>
              </w:rPr>
            </w:pPr>
            <w:r w:rsidRPr="00EC4649">
              <w:rPr>
                <w:rFonts w:cs="Arial"/>
                <w:b/>
                <w:sz w:val="14"/>
                <w:szCs w:val="18"/>
              </w:rPr>
              <w:t>Consolidated</w:t>
            </w:r>
          </w:p>
        </w:tc>
      </w:tr>
      <w:tr w:rsidR="00C20063" w:rsidRPr="00BC7DA5" w14:paraId="01636639" w14:textId="77777777" w:rsidTr="00DC062C">
        <w:trPr>
          <w:trHeight w:val="238"/>
        </w:trPr>
        <w:tc>
          <w:tcPr>
            <w:tcW w:w="3261" w:type="dxa"/>
            <w:tcBorders>
              <w:top w:val="nil"/>
              <w:bottom w:val="single" w:sz="2" w:space="0" w:color="1F4E79" w:themeColor="accent1" w:themeShade="80"/>
            </w:tcBorders>
            <w:shd w:val="clear" w:color="auto" w:fill="auto"/>
          </w:tcPr>
          <w:p w14:paraId="573ED5FE" w14:textId="77777777" w:rsidR="00C20063" w:rsidRPr="00BC7DA5" w:rsidRDefault="00C20063" w:rsidP="00DC062C">
            <w:pPr>
              <w:pStyle w:val="08-Tabelageral"/>
              <w:rPr>
                <w:rFonts w:cs="Arial"/>
                <w:b/>
              </w:rPr>
            </w:pPr>
          </w:p>
        </w:tc>
        <w:tc>
          <w:tcPr>
            <w:tcW w:w="437" w:type="dxa"/>
            <w:tcBorders>
              <w:top w:val="nil"/>
              <w:bottom w:val="single" w:sz="2" w:space="0" w:color="1F4E79" w:themeColor="accent1" w:themeShade="80"/>
            </w:tcBorders>
            <w:shd w:val="clear" w:color="auto" w:fill="auto"/>
          </w:tcPr>
          <w:p w14:paraId="20A46650" w14:textId="77777777" w:rsidR="00C20063" w:rsidRPr="00BC7DA5" w:rsidRDefault="00C20063" w:rsidP="00DC062C">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5DF5DA43" w14:textId="77777777" w:rsidR="00C20063" w:rsidRPr="00976A92" w:rsidRDefault="00C20063" w:rsidP="00DC062C">
            <w:pPr>
              <w:pStyle w:val="08-Tabelageral"/>
              <w:rPr>
                <w:rFonts w:cs="Arial"/>
                <w:b/>
              </w:rPr>
            </w:pPr>
            <w:r>
              <w:rPr>
                <w:b/>
              </w:rPr>
              <w:t>Mar</w:t>
            </w:r>
            <w:r w:rsidRPr="00976A92">
              <w:rPr>
                <w:b/>
              </w:rPr>
              <w:t xml:space="preserve"> 3</w:t>
            </w:r>
            <w:r>
              <w:rPr>
                <w:b/>
              </w:rPr>
              <w:t>1</w:t>
            </w:r>
            <w:r w:rsidRPr="00976A92">
              <w:rPr>
                <w:b/>
              </w:rPr>
              <w:t>, 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3BC315F4" w14:textId="77777777" w:rsidR="00C20063" w:rsidRPr="00976A92" w:rsidRDefault="00C20063" w:rsidP="00DC062C">
            <w:pPr>
              <w:pStyle w:val="08-Tabelageral"/>
              <w:rPr>
                <w:rFonts w:cs="Arial"/>
                <w:b/>
              </w:rPr>
            </w:pPr>
            <w:r w:rsidRPr="00976A92">
              <w:rPr>
                <w:b/>
              </w:rPr>
              <w:t>Dec 31, 20</w:t>
            </w:r>
            <w:r>
              <w:rPr>
                <w:b/>
              </w:rPr>
              <w:t>22</w:t>
            </w:r>
          </w:p>
        </w:tc>
        <w:tc>
          <w:tcPr>
            <w:tcW w:w="283" w:type="dxa"/>
            <w:tcBorders>
              <w:top w:val="nil"/>
              <w:bottom w:val="single" w:sz="2" w:space="0" w:color="1F4E79" w:themeColor="accent1" w:themeShade="80"/>
            </w:tcBorders>
            <w:shd w:val="clear" w:color="auto" w:fill="auto"/>
          </w:tcPr>
          <w:p w14:paraId="462E14C5" w14:textId="77777777" w:rsidR="00C20063" w:rsidRPr="00976A92" w:rsidRDefault="00C20063"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70DFAF51" w14:textId="77777777" w:rsidR="00C20063" w:rsidRPr="00976A92" w:rsidRDefault="00C20063" w:rsidP="00DC062C">
            <w:pPr>
              <w:pStyle w:val="08-Tabelageral"/>
              <w:rPr>
                <w:rFonts w:cs="Arial"/>
                <w:b/>
                <w:vertAlign w:val="superscript"/>
              </w:rPr>
            </w:pPr>
            <w:r>
              <w:rPr>
                <w:b/>
              </w:rPr>
              <w:t>Mar</w:t>
            </w:r>
            <w:r w:rsidRPr="00976A92">
              <w:rPr>
                <w:b/>
              </w:rPr>
              <w:t xml:space="preserve"> 3</w:t>
            </w:r>
            <w:r>
              <w:rPr>
                <w:b/>
              </w:rPr>
              <w:t>1</w:t>
            </w:r>
            <w:r w:rsidRPr="00976A92">
              <w:rPr>
                <w:b/>
              </w:rPr>
              <w:t>, 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5055A9E4" w14:textId="77777777" w:rsidR="00C20063" w:rsidRPr="00976A92" w:rsidRDefault="00C20063" w:rsidP="00DC062C">
            <w:pPr>
              <w:pStyle w:val="08-Tabelageral"/>
              <w:rPr>
                <w:rFonts w:cs="Arial"/>
                <w:b/>
                <w:vertAlign w:val="superscript"/>
              </w:rPr>
            </w:pPr>
            <w:r w:rsidRPr="00976A92">
              <w:rPr>
                <w:b/>
              </w:rPr>
              <w:t>Dec 31, 20</w:t>
            </w:r>
            <w:r>
              <w:rPr>
                <w:b/>
              </w:rPr>
              <w:t>22</w:t>
            </w:r>
          </w:p>
        </w:tc>
      </w:tr>
      <w:tr w:rsidR="00C20063" w:rsidRPr="00BC7DA5" w14:paraId="049832F5" w14:textId="77777777" w:rsidTr="00DC062C">
        <w:trPr>
          <w:trHeight w:val="238"/>
        </w:trPr>
        <w:tc>
          <w:tcPr>
            <w:tcW w:w="3261" w:type="dxa"/>
            <w:tcBorders>
              <w:top w:val="single" w:sz="2" w:space="0" w:color="1F4E79" w:themeColor="accent1" w:themeShade="80"/>
              <w:bottom w:val="nil"/>
            </w:tcBorders>
            <w:shd w:val="clear" w:color="auto" w:fill="auto"/>
          </w:tcPr>
          <w:p w14:paraId="5D555CBE" w14:textId="77777777" w:rsidR="00C20063" w:rsidRPr="00BC7DA5" w:rsidRDefault="00C20063" w:rsidP="00DC062C">
            <w:pPr>
              <w:pStyle w:val="08-Tabelageral"/>
              <w:jc w:val="left"/>
              <w:rPr>
                <w:rFonts w:cs="Arial"/>
                <w:b/>
              </w:rPr>
            </w:pPr>
            <w:r w:rsidRPr="00D1582F">
              <w:rPr>
                <w:rFonts w:cs="Arial"/>
                <w:b/>
                <w:lang w:val="en-US"/>
              </w:rPr>
              <w:t>Current Assets</w:t>
            </w:r>
          </w:p>
        </w:tc>
        <w:tc>
          <w:tcPr>
            <w:tcW w:w="437" w:type="dxa"/>
            <w:tcBorders>
              <w:top w:val="single" w:sz="2" w:space="0" w:color="1F4E79" w:themeColor="accent1" w:themeShade="80"/>
              <w:bottom w:val="nil"/>
            </w:tcBorders>
            <w:shd w:val="clear" w:color="auto" w:fill="auto"/>
          </w:tcPr>
          <w:p w14:paraId="2ED3BC2B" w14:textId="77777777" w:rsidR="00C20063" w:rsidRPr="00BC7DA5" w:rsidRDefault="00C20063" w:rsidP="00DC062C">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0BE68615" w14:textId="77777777" w:rsidR="00C20063" w:rsidRDefault="00C20063" w:rsidP="00DC062C">
            <w:pPr>
              <w:pStyle w:val="08-Tabelageral"/>
              <w:rPr>
                <w:b/>
              </w:rPr>
            </w:pPr>
            <w:r>
              <w:rPr>
                <w:rFonts w:cs="Arial"/>
                <w:b/>
              </w:rPr>
              <w:t>17,846</w:t>
            </w:r>
          </w:p>
        </w:tc>
        <w:tc>
          <w:tcPr>
            <w:tcW w:w="1412" w:type="dxa"/>
            <w:tcBorders>
              <w:top w:val="single" w:sz="2" w:space="0" w:color="1F4E79" w:themeColor="accent1" w:themeShade="80"/>
              <w:bottom w:val="nil"/>
            </w:tcBorders>
            <w:shd w:val="clear" w:color="auto" w:fill="auto"/>
            <w:vAlign w:val="center"/>
          </w:tcPr>
          <w:p w14:paraId="25B2798B" w14:textId="77777777" w:rsidR="00C20063" w:rsidRPr="00976A92" w:rsidRDefault="00C20063" w:rsidP="00DC062C">
            <w:pPr>
              <w:pStyle w:val="08-Tabelageral"/>
              <w:rPr>
                <w:b/>
              </w:rPr>
            </w:pPr>
            <w:r>
              <w:rPr>
                <w:rFonts w:cs="Arial"/>
                <w:b/>
              </w:rPr>
              <w:t>16,131</w:t>
            </w:r>
          </w:p>
        </w:tc>
        <w:tc>
          <w:tcPr>
            <w:tcW w:w="283" w:type="dxa"/>
            <w:tcBorders>
              <w:top w:val="single" w:sz="2" w:space="0" w:color="1F4E79" w:themeColor="accent1" w:themeShade="80"/>
              <w:bottom w:val="nil"/>
            </w:tcBorders>
            <w:shd w:val="clear" w:color="auto" w:fill="auto"/>
            <w:vAlign w:val="center"/>
          </w:tcPr>
          <w:p w14:paraId="4AED9FE3" w14:textId="77777777" w:rsidR="00C20063" w:rsidRPr="00976A92" w:rsidRDefault="00C20063" w:rsidP="00DC062C">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191BB1DE" w14:textId="77777777" w:rsidR="00C20063" w:rsidRDefault="00C20063" w:rsidP="00DC062C">
            <w:pPr>
              <w:pStyle w:val="08-Tabelageral"/>
              <w:rPr>
                <w:b/>
              </w:rPr>
            </w:pPr>
            <w:r>
              <w:rPr>
                <w:rFonts w:cs="Arial"/>
                <w:b/>
              </w:rPr>
              <w:t>40,265</w:t>
            </w:r>
          </w:p>
        </w:tc>
        <w:tc>
          <w:tcPr>
            <w:tcW w:w="1418" w:type="dxa"/>
            <w:tcBorders>
              <w:top w:val="single" w:sz="2" w:space="0" w:color="1F4E79" w:themeColor="accent1" w:themeShade="80"/>
              <w:bottom w:val="nil"/>
            </w:tcBorders>
            <w:shd w:val="clear" w:color="auto" w:fill="auto"/>
            <w:vAlign w:val="center"/>
          </w:tcPr>
          <w:p w14:paraId="5683426D" w14:textId="77777777" w:rsidR="00C20063" w:rsidRPr="00976A92" w:rsidRDefault="00C20063" w:rsidP="00DC062C">
            <w:pPr>
              <w:pStyle w:val="08-Tabelageral"/>
              <w:rPr>
                <w:b/>
              </w:rPr>
            </w:pPr>
            <w:r w:rsidRPr="00D21604">
              <w:rPr>
                <w:rFonts w:cs="Arial"/>
                <w:b/>
              </w:rPr>
              <w:t>16</w:t>
            </w:r>
            <w:r>
              <w:rPr>
                <w:rFonts w:cs="Arial"/>
                <w:b/>
              </w:rPr>
              <w:t>,</w:t>
            </w:r>
            <w:r w:rsidRPr="00D21604">
              <w:rPr>
                <w:rFonts w:cs="Arial"/>
                <w:b/>
              </w:rPr>
              <w:t>131</w:t>
            </w:r>
          </w:p>
        </w:tc>
      </w:tr>
      <w:tr w:rsidR="00C20063" w:rsidRPr="00BC7DA5" w14:paraId="42B95430" w14:textId="77777777" w:rsidTr="00DC062C">
        <w:trPr>
          <w:trHeight w:val="238"/>
        </w:trPr>
        <w:tc>
          <w:tcPr>
            <w:tcW w:w="3261" w:type="dxa"/>
            <w:tcBorders>
              <w:top w:val="nil"/>
              <w:bottom w:val="nil"/>
            </w:tcBorders>
            <w:shd w:val="clear" w:color="auto" w:fill="auto"/>
          </w:tcPr>
          <w:p w14:paraId="5DE78EEF" w14:textId="77777777" w:rsidR="00C20063" w:rsidRPr="00BC7DA5" w:rsidRDefault="00C20063" w:rsidP="00DC062C">
            <w:pPr>
              <w:pStyle w:val="08-Tabelageral"/>
              <w:ind w:left="113"/>
              <w:jc w:val="left"/>
              <w:rPr>
                <w:rFonts w:cs="Arial"/>
                <w:szCs w:val="14"/>
              </w:rPr>
            </w:pPr>
            <w:r>
              <w:rPr>
                <w:rFonts w:cs="Arial"/>
                <w:szCs w:val="14"/>
              </w:rPr>
              <w:t>Antecipation of IR e CS</w:t>
            </w:r>
          </w:p>
        </w:tc>
        <w:tc>
          <w:tcPr>
            <w:tcW w:w="437" w:type="dxa"/>
            <w:tcBorders>
              <w:top w:val="nil"/>
              <w:bottom w:val="nil"/>
            </w:tcBorders>
            <w:shd w:val="clear" w:color="auto" w:fill="auto"/>
          </w:tcPr>
          <w:p w14:paraId="17634DEE" w14:textId="77777777" w:rsidR="00C20063" w:rsidRPr="00BC7DA5" w:rsidRDefault="00C20063" w:rsidP="00DC062C">
            <w:pPr>
              <w:pStyle w:val="08-Tabelageral"/>
              <w:jc w:val="center"/>
              <w:rPr>
                <w:rFonts w:cs="Arial"/>
                <w:szCs w:val="14"/>
              </w:rPr>
            </w:pPr>
          </w:p>
        </w:tc>
        <w:tc>
          <w:tcPr>
            <w:tcW w:w="1411" w:type="dxa"/>
            <w:tcBorders>
              <w:top w:val="nil"/>
              <w:bottom w:val="nil"/>
            </w:tcBorders>
            <w:shd w:val="clear" w:color="auto" w:fill="auto"/>
            <w:vAlign w:val="center"/>
          </w:tcPr>
          <w:p w14:paraId="57B1548A" w14:textId="77777777" w:rsidR="00C20063" w:rsidRPr="00BC7DA5" w:rsidRDefault="00C20063" w:rsidP="00DC062C">
            <w:pPr>
              <w:pStyle w:val="08-Tabelageral"/>
              <w:rPr>
                <w:rFonts w:cs="Arial"/>
                <w:szCs w:val="14"/>
              </w:rPr>
            </w:pPr>
            <w:r>
              <w:rPr>
                <w:rFonts w:cs="Arial"/>
                <w:bCs/>
              </w:rPr>
              <w:t>--</w:t>
            </w:r>
          </w:p>
        </w:tc>
        <w:tc>
          <w:tcPr>
            <w:tcW w:w="1412" w:type="dxa"/>
            <w:tcBorders>
              <w:top w:val="nil"/>
              <w:bottom w:val="nil"/>
            </w:tcBorders>
            <w:shd w:val="clear" w:color="auto" w:fill="auto"/>
            <w:vAlign w:val="center"/>
          </w:tcPr>
          <w:p w14:paraId="49050AFF" w14:textId="77777777" w:rsidR="00C20063" w:rsidRPr="00BC7DA5" w:rsidRDefault="00C20063" w:rsidP="00DC062C">
            <w:pPr>
              <w:pStyle w:val="08-Tabelageral"/>
              <w:rPr>
                <w:rFonts w:cs="Arial"/>
                <w:szCs w:val="14"/>
              </w:rPr>
            </w:pPr>
            <w:r>
              <w:rPr>
                <w:rFonts w:cs="Arial"/>
                <w:bCs/>
              </w:rPr>
              <w:t>--</w:t>
            </w:r>
          </w:p>
        </w:tc>
        <w:tc>
          <w:tcPr>
            <w:tcW w:w="283" w:type="dxa"/>
            <w:tcBorders>
              <w:top w:val="nil"/>
              <w:bottom w:val="nil"/>
            </w:tcBorders>
            <w:shd w:val="clear" w:color="auto" w:fill="auto"/>
            <w:vAlign w:val="center"/>
          </w:tcPr>
          <w:p w14:paraId="6183C2CF" w14:textId="77777777" w:rsidR="00C20063" w:rsidRPr="00BC7DA5" w:rsidRDefault="00C20063" w:rsidP="00DC062C">
            <w:pPr>
              <w:pStyle w:val="08-Tabelageral"/>
              <w:rPr>
                <w:rFonts w:cs="Arial"/>
                <w:szCs w:val="14"/>
              </w:rPr>
            </w:pPr>
          </w:p>
        </w:tc>
        <w:tc>
          <w:tcPr>
            <w:tcW w:w="1417" w:type="dxa"/>
            <w:tcBorders>
              <w:top w:val="nil"/>
              <w:bottom w:val="nil"/>
            </w:tcBorders>
            <w:shd w:val="clear" w:color="auto" w:fill="auto"/>
            <w:vAlign w:val="center"/>
          </w:tcPr>
          <w:p w14:paraId="16D567CD" w14:textId="77777777" w:rsidR="00C20063" w:rsidRPr="00BC7DA5" w:rsidRDefault="00C20063" w:rsidP="00DC062C">
            <w:pPr>
              <w:pStyle w:val="08-Tabelageral"/>
              <w:rPr>
                <w:rFonts w:cs="Arial"/>
                <w:szCs w:val="14"/>
              </w:rPr>
            </w:pPr>
            <w:r>
              <w:rPr>
                <w:rFonts w:cs="Arial"/>
                <w:bCs/>
              </w:rPr>
              <w:t>92,937</w:t>
            </w:r>
          </w:p>
        </w:tc>
        <w:tc>
          <w:tcPr>
            <w:tcW w:w="1418" w:type="dxa"/>
            <w:tcBorders>
              <w:top w:val="nil"/>
              <w:bottom w:val="nil"/>
            </w:tcBorders>
            <w:shd w:val="clear" w:color="auto" w:fill="auto"/>
            <w:vAlign w:val="center"/>
          </w:tcPr>
          <w:p w14:paraId="13FBECD5" w14:textId="77777777" w:rsidR="00C20063" w:rsidRPr="00BC7DA5" w:rsidRDefault="00C20063" w:rsidP="00DC062C">
            <w:pPr>
              <w:pStyle w:val="08-Tabelageral"/>
              <w:rPr>
                <w:rFonts w:cs="Arial"/>
                <w:szCs w:val="14"/>
              </w:rPr>
            </w:pPr>
            <w:r>
              <w:rPr>
                <w:rFonts w:cs="Arial"/>
                <w:bCs/>
              </w:rPr>
              <w:t>--</w:t>
            </w:r>
          </w:p>
        </w:tc>
      </w:tr>
      <w:tr w:rsidR="00C20063" w:rsidRPr="00BC7DA5" w14:paraId="72BB2C4B" w14:textId="77777777" w:rsidTr="00DC062C">
        <w:trPr>
          <w:trHeight w:val="238"/>
        </w:trPr>
        <w:tc>
          <w:tcPr>
            <w:tcW w:w="3261" w:type="dxa"/>
            <w:tcBorders>
              <w:top w:val="nil"/>
              <w:bottom w:val="nil"/>
            </w:tcBorders>
            <w:shd w:val="clear" w:color="auto" w:fill="auto"/>
          </w:tcPr>
          <w:p w14:paraId="5ADF80BD" w14:textId="77777777" w:rsidR="00C20063" w:rsidRPr="00BC7DA5" w:rsidRDefault="00C20063" w:rsidP="00DC062C">
            <w:pPr>
              <w:pStyle w:val="08-Tabelageral"/>
              <w:ind w:left="113"/>
              <w:jc w:val="left"/>
              <w:rPr>
                <w:rFonts w:cs="Arial"/>
                <w:szCs w:val="14"/>
              </w:rPr>
            </w:pPr>
            <w:r w:rsidRPr="00BC7DA5">
              <w:rPr>
                <w:rFonts w:cs="Arial"/>
                <w:szCs w:val="14"/>
              </w:rPr>
              <w:t>IRRF</w:t>
            </w:r>
          </w:p>
        </w:tc>
        <w:tc>
          <w:tcPr>
            <w:tcW w:w="437" w:type="dxa"/>
            <w:tcBorders>
              <w:top w:val="nil"/>
              <w:bottom w:val="nil"/>
            </w:tcBorders>
            <w:shd w:val="clear" w:color="auto" w:fill="auto"/>
          </w:tcPr>
          <w:p w14:paraId="4B5AC18E" w14:textId="77777777" w:rsidR="00C20063" w:rsidRPr="00BC7DA5" w:rsidRDefault="00C20063" w:rsidP="00DC062C">
            <w:pPr>
              <w:pStyle w:val="08-Tabelageral"/>
              <w:jc w:val="center"/>
              <w:rPr>
                <w:rFonts w:cs="Arial"/>
                <w:szCs w:val="14"/>
              </w:rPr>
            </w:pPr>
          </w:p>
        </w:tc>
        <w:tc>
          <w:tcPr>
            <w:tcW w:w="1411" w:type="dxa"/>
            <w:tcBorders>
              <w:top w:val="nil"/>
              <w:bottom w:val="nil"/>
            </w:tcBorders>
            <w:shd w:val="clear" w:color="auto" w:fill="auto"/>
            <w:vAlign w:val="center"/>
          </w:tcPr>
          <w:p w14:paraId="73C037D4" w14:textId="77777777" w:rsidR="00C20063" w:rsidRPr="00BC7DA5" w:rsidRDefault="00C20063" w:rsidP="00DC062C">
            <w:pPr>
              <w:pStyle w:val="08-Tabelageral"/>
              <w:rPr>
                <w:rFonts w:cs="Arial"/>
                <w:szCs w:val="14"/>
              </w:rPr>
            </w:pPr>
            <w:r>
              <w:rPr>
                <w:rFonts w:cs="Arial"/>
                <w:szCs w:val="14"/>
              </w:rPr>
              <w:t>17,846</w:t>
            </w:r>
          </w:p>
        </w:tc>
        <w:tc>
          <w:tcPr>
            <w:tcW w:w="1412" w:type="dxa"/>
            <w:tcBorders>
              <w:top w:val="nil"/>
              <w:bottom w:val="nil"/>
            </w:tcBorders>
            <w:shd w:val="clear" w:color="auto" w:fill="auto"/>
            <w:vAlign w:val="center"/>
          </w:tcPr>
          <w:p w14:paraId="302AB8A7" w14:textId="77777777" w:rsidR="00C20063" w:rsidRPr="00BC7DA5" w:rsidRDefault="00C20063" w:rsidP="00DC062C">
            <w:pPr>
              <w:pStyle w:val="08-Tabelageral"/>
              <w:rPr>
                <w:rFonts w:cs="Arial"/>
                <w:szCs w:val="14"/>
              </w:rPr>
            </w:pPr>
            <w:r>
              <w:rPr>
                <w:rFonts w:cs="Arial"/>
                <w:szCs w:val="14"/>
              </w:rPr>
              <w:t>16,131</w:t>
            </w:r>
          </w:p>
        </w:tc>
        <w:tc>
          <w:tcPr>
            <w:tcW w:w="283" w:type="dxa"/>
            <w:tcBorders>
              <w:top w:val="nil"/>
              <w:bottom w:val="nil"/>
            </w:tcBorders>
            <w:shd w:val="clear" w:color="auto" w:fill="auto"/>
            <w:vAlign w:val="center"/>
          </w:tcPr>
          <w:p w14:paraId="71FAA33A" w14:textId="77777777" w:rsidR="00C20063" w:rsidRPr="00BC7DA5" w:rsidRDefault="00C20063" w:rsidP="00DC062C">
            <w:pPr>
              <w:pStyle w:val="08-Tabelageral"/>
              <w:rPr>
                <w:rFonts w:cs="Arial"/>
                <w:szCs w:val="14"/>
              </w:rPr>
            </w:pPr>
          </w:p>
        </w:tc>
        <w:tc>
          <w:tcPr>
            <w:tcW w:w="1417" w:type="dxa"/>
            <w:tcBorders>
              <w:top w:val="nil"/>
              <w:bottom w:val="nil"/>
            </w:tcBorders>
            <w:shd w:val="clear" w:color="auto" w:fill="auto"/>
            <w:vAlign w:val="center"/>
          </w:tcPr>
          <w:p w14:paraId="3754C9A1" w14:textId="77777777" w:rsidR="00C20063" w:rsidRPr="00BC7DA5" w:rsidRDefault="00C20063" w:rsidP="00DC062C">
            <w:pPr>
              <w:pStyle w:val="08-Tabelageral"/>
              <w:rPr>
                <w:rFonts w:cs="Arial"/>
                <w:szCs w:val="14"/>
              </w:rPr>
            </w:pPr>
            <w:r>
              <w:rPr>
                <w:rFonts w:cs="Arial"/>
                <w:szCs w:val="14"/>
              </w:rPr>
              <w:t>107,310</w:t>
            </w:r>
          </w:p>
        </w:tc>
        <w:tc>
          <w:tcPr>
            <w:tcW w:w="1418" w:type="dxa"/>
            <w:tcBorders>
              <w:top w:val="nil"/>
              <w:bottom w:val="nil"/>
            </w:tcBorders>
            <w:shd w:val="clear" w:color="auto" w:fill="auto"/>
            <w:vAlign w:val="center"/>
          </w:tcPr>
          <w:p w14:paraId="4AC7EC25" w14:textId="77777777" w:rsidR="00C20063" w:rsidRPr="00BC7DA5" w:rsidRDefault="00C20063" w:rsidP="00DC062C">
            <w:pPr>
              <w:pStyle w:val="08-Tabelageral"/>
              <w:rPr>
                <w:rFonts w:cs="Arial"/>
                <w:szCs w:val="14"/>
              </w:rPr>
            </w:pPr>
            <w:r>
              <w:rPr>
                <w:rFonts w:cs="Arial"/>
                <w:szCs w:val="14"/>
              </w:rPr>
              <w:t>89,867</w:t>
            </w:r>
          </w:p>
        </w:tc>
      </w:tr>
      <w:tr w:rsidR="00C20063" w:rsidRPr="00BC7DA5" w14:paraId="3F963716" w14:textId="77777777" w:rsidTr="00DC062C">
        <w:trPr>
          <w:trHeight w:val="238"/>
        </w:trPr>
        <w:tc>
          <w:tcPr>
            <w:tcW w:w="3261" w:type="dxa"/>
            <w:tcBorders>
              <w:top w:val="nil"/>
              <w:bottom w:val="nil"/>
            </w:tcBorders>
            <w:shd w:val="clear" w:color="auto" w:fill="auto"/>
          </w:tcPr>
          <w:p w14:paraId="119F25D2" w14:textId="77777777" w:rsidR="00C20063" w:rsidRPr="00BC7DA5" w:rsidRDefault="00C20063" w:rsidP="00DC062C">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217AA469" w14:textId="77777777" w:rsidR="00C20063" w:rsidRPr="00BC7DA5" w:rsidRDefault="00C20063" w:rsidP="00DC062C">
            <w:pPr>
              <w:pStyle w:val="08-Tabelageral"/>
              <w:jc w:val="center"/>
              <w:rPr>
                <w:rFonts w:cs="Arial"/>
                <w:szCs w:val="14"/>
              </w:rPr>
            </w:pPr>
          </w:p>
        </w:tc>
        <w:tc>
          <w:tcPr>
            <w:tcW w:w="1411" w:type="dxa"/>
            <w:tcBorders>
              <w:top w:val="nil"/>
              <w:bottom w:val="nil"/>
            </w:tcBorders>
            <w:shd w:val="clear" w:color="auto" w:fill="auto"/>
            <w:vAlign w:val="center"/>
          </w:tcPr>
          <w:p w14:paraId="79020FAE" w14:textId="77777777" w:rsidR="00C20063" w:rsidRPr="00BC7DA5" w:rsidRDefault="00C20063" w:rsidP="00DC062C">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5F20879C" w14:textId="77777777" w:rsidR="00C20063" w:rsidRPr="00BC7DA5" w:rsidRDefault="00C20063" w:rsidP="00DC062C">
            <w:pPr>
              <w:pStyle w:val="08-Tabelageral"/>
              <w:rPr>
                <w:rFonts w:cs="Arial"/>
                <w:szCs w:val="14"/>
              </w:rPr>
            </w:pPr>
            <w:r>
              <w:rPr>
                <w:rFonts w:cs="Arial"/>
                <w:szCs w:val="14"/>
              </w:rPr>
              <w:t>--</w:t>
            </w:r>
          </w:p>
        </w:tc>
        <w:tc>
          <w:tcPr>
            <w:tcW w:w="283" w:type="dxa"/>
            <w:tcBorders>
              <w:top w:val="nil"/>
              <w:bottom w:val="nil"/>
            </w:tcBorders>
            <w:shd w:val="clear" w:color="auto" w:fill="auto"/>
            <w:vAlign w:val="center"/>
          </w:tcPr>
          <w:p w14:paraId="7DFF602F" w14:textId="77777777" w:rsidR="00C20063" w:rsidRPr="00BC7DA5" w:rsidRDefault="00C20063" w:rsidP="00DC062C">
            <w:pPr>
              <w:pStyle w:val="08-Tabelageral"/>
              <w:rPr>
                <w:rFonts w:cs="Arial"/>
                <w:szCs w:val="14"/>
              </w:rPr>
            </w:pPr>
          </w:p>
        </w:tc>
        <w:tc>
          <w:tcPr>
            <w:tcW w:w="1417" w:type="dxa"/>
            <w:tcBorders>
              <w:top w:val="nil"/>
              <w:bottom w:val="nil"/>
            </w:tcBorders>
            <w:shd w:val="clear" w:color="auto" w:fill="auto"/>
            <w:vAlign w:val="center"/>
          </w:tcPr>
          <w:p w14:paraId="4919D639" w14:textId="77777777" w:rsidR="00C20063" w:rsidRPr="00BC7DA5" w:rsidRDefault="00C20063" w:rsidP="00DC062C">
            <w:pPr>
              <w:pStyle w:val="08-Tabelageral"/>
              <w:rPr>
                <w:rFonts w:cs="Arial"/>
                <w:szCs w:val="14"/>
              </w:rPr>
            </w:pPr>
            <w:r>
              <w:rPr>
                <w:rFonts w:cs="Arial"/>
                <w:szCs w:val="14"/>
              </w:rPr>
              <w:t>(159,982)</w:t>
            </w:r>
          </w:p>
        </w:tc>
        <w:tc>
          <w:tcPr>
            <w:tcW w:w="1418" w:type="dxa"/>
            <w:tcBorders>
              <w:top w:val="nil"/>
              <w:bottom w:val="nil"/>
            </w:tcBorders>
            <w:shd w:val="clear" w:color="auto" w:fill="auto"/>
            <w:vAlign w:val="center"/>
          </w:tcPr>
          <w:p w14:paraId="7F3C18F4" w14:textId="77777777" w:rsidR="00C20063" w:rsidRPr="00BC7DA5" w:rsidRDefault="00C20063" w:rsidP="00DC062C">
            <w:pPr>
              <w:pStyle w:val="08-Tabelageral"/>
              <w:rPr>
                <w:rFonts w:cs="Arial"/>
                <w:szCs w:val="14"/>
              </w:rPr>
            </w:pPr>
            <w:r w:rsidRPr="00D21604">
              <w:rPr>
                <w:rFonts w:cs="Arial"/>
                <w:szCs w:val="14"/>
              </w:rPr>
              <w:t>(</w:t>
            </w:r>
            <w:r>
              <w:rPr>
                <w:rFonts w:cs="Arial"/>
                <w:szCs w:val="14"/>
              </w:rPr>
              <w:t>73,736</w:t>
            </w:r>
            <w:r w:rsidRPr="00D21604">
              <w:rPr>
                <w:rFonts w:cs="Arial"/>
                <w:szCs w:val="14"/>
              </w:rPr>
              <w:t>)</w:t>
            </w:r>
          </w:p>
        </w:tc>
      </w:tr>
      <w:tr w:rsidR="00C20063" w:rsidRPr="00C46DD7" w14:paraId="77587B02" w14:textId="77777777" w:rsidTr="00DC062C">
        <w:trPr>
          <w:trHeight w:val="238"/>
        </w:trPr>
        <w:tc>
          <w:tcPr>
            <w:tcW w:w="3261" w:type="dxa"/>
            <w:tcBorders>
              <w:top w:val="nil"/>
              <w:bottom w:val="nil"/>
            </w:tcBorders>
            <w:shd w:val="clear" w:color="auto" w:fill="auto"/>
          </w:tcPr>
          <w:p w14:paraId="00CC16F2" w14:textId="77777777" w:rsidR="00C20063" w:rsidRPr="00C46DD7" w:rsidRDefault="00C20063" w:rsidP="00DC062C">
            <w:pPr>
              <w:pStyle w:val="08-Tabelageral"/>
              <w:ind w:left="177" w:hanging="170"/>
              <w:jc w:val="left"/>
              <w:rPr>
                <w:rFonts w:cs="Arial"/>
                <w:b/>
                <w:szCs w:val="14"/>
              </w:rPr>
            </w:pPr>
            <w:r w:rsidRPr="00C46DD7">
              <w:rPr>
                <w:rFonts w:cs="Arial"/>
                <w:b/>
                <w:lang w:val="en-US"/>
              </w:rPr>
              <w:t>Non-Current Assets</w:t>
            </w:r>
          </w:p>
        </w:tc>
        <w:tc>
          <w:tcPr>
            <w:tcW w:w="437" w:type="dxa"/>
            <w:tcBorders>
              <w:top w:val="nil"/>
              <w:bottom w:val="nil"/>
            </w:tcBorders>
            <w:shd w:val="clear" w:color="auto" w:fill="auto"/>
          </w:tcPr>
          <w:p w14:paraId="3098EE1F" w14:textId="77777777" w:rsidR="00C20063" w:rsidRPr="00C46DD7" w:rsidRDefault="00C20063" w:rsidP="00DC062C">
            <w:pPr>
              <w:pStyle w:val="08-Tabelageral"/>
              <w:jc w:val="center"/>
              <w:rPr>
                <w:rFonts w:cs="Arial"/>
                <w:b/>
                <w:szCs w:val="14"/>
              </w:rPr>
            </w:pPr>
          </w:p>
        </w:tc>
        <w:tc>
          <w:tcPr>
            <w:tcW w:w="1411" w:type="dxa"/>
            <w:tcBorders>
              <w:top w:val="nil"/>
              <w:bottom w:val="nil"/>
            </w:tcBorders>
            <w:shd w:val="clear" w:color="auto" w:fill="auto"/>
            <w:vAlign w:val="center"/>
          </w:tcPr>
          <w:p w14:paraId="75F3FB8B" w14:textId="77777777" w:rsidR="00C20063" w:rsidRPr="00C46DD7" w:rsidRDefault="00C20063" w:rsidP="00DC062C">
            <w:pPr>
              <w:pStyle w:val="08-Tabelageral"/>
              <w:rPr>
                <w:rFonts w:cs="Arial"/>
                <w:b/>
                <w:szCs w:val="14"/>
              </w:rPr>
            </w:pPr>
            <w:r>
              <w:rPr>
                <w:rFonts w:cs="Arial"/>
                <w:b/>
                <w:szCs w:val="14"/>
              </w:rPr>
              <w:t>89,570</w:t>
            </w:r>
          </w:p>
        </w:tc>
        <w:tc>
          <w:tcPr>
            <w:tcW w:w="1412" w:type="dxa"/>
            <w:tcBorders>
              <w:top w:val="nil"/>
              <w:bottom w:val="nil"/>
            </w:tcBorders>
            <w:shd w:val="clear" w:color="auto" w:fill="auto"/>
            <w:vAlign w:val="center"/>
          </w:tcPr>
          <w:p w14:paraId="2C05F880" w14:textId="77777777" w:rsidR="00C20063" w:rsidRPr="00C46DD7" w:rsidRDefault="00C20063" w:rsidP="00DC062C">
            <w:pPr>
              <w:pStyle w:val="08-Tabelageral"/>
              <w:rPr>
                <w:rFonts w:cs="Arial"/>
                <w:b/>
                <w:szCs w:val="14"/>
              </w:rPr>
            </w:pPr>
            <w:r>
              <w:rPr>
                <w:rFonts w:cs="Arial"/>
                <w:b/>
                <w:szCs w:val="14"/>
              </w:rPr>
              <w:t>75,177</w:t>
            </w:r>
          </w:p>
        </w:tc>
        <w:tc>
          <w:tcPr>
            <w:tcW w:w="283" w:type="dxa"/>
            <w:tcBorders>
              <w:top w:val="nil"/>
              <w:bottom w:val="nil"/>
            </w:tcBorders>
            <w:shd w:val="clear" w:color="auto" w:fill="auto"/>
            <w:vAlign w:val="center"/>
          </w:tcPr>
          <w:p w14:paraId="7C1AFF11" w14:textId="77777777" w:rsidR="00C20063" w:rsidRPr="00C46DD7" w:rsidRDefault="00C20063" w:rsidP="00DC062C">
            <w:pPr>
              <w:pStyle w:val="08-Tabelageral"/>
              <w:rPr>
                <w:rFonts w:cs="Arial"/>
                <w:b/>
                <w:szCs w:val="14"/>
              </w:rPr>
            </w:pPr>
          </w:p>
        </w:tc>
        <w:tc>
          <w:tcPr>
            <w:tcW w:w="1417" w:type="dxa"/>
            <w:tcBorders>
              <w:top w:val="nil"/>
              <w:bottom w:val="nil"/>
            </w:tcBorders>
            <w:shd w:val="clear" w:color="auto" w:fill="auto"/>
            <w:vAlign w:val="center"/>
          </w:tcPr>
          <w:p w14:paraId="32B834B3" w14:textId="77777777" w:rsidR="00C20063" w:rsidRPr="00C46DD7" w:rsidRDefault="00C20063" w:rsidP="00DC062C">
            <w:pPr>
              <w:pStyle w:val="08-Tabelageral"/>
              <w:rPr>
                <w:rFonts w:cs="Arial"/>
                <w:b/>
                <w:szCs w:val="14"/>
              </w:rPr>
            </w:pPr>
            <w:r>
              <w:rPr>
                <w:rFonts w:cs="Arial"/>
                <w:b/>
                <w:szCs w:val="14"/>
              </w:rPr>
              <w:t>96,855</w:t>
            </w:r>
          </w:p>
        </w:tc>
        <w:tc>
          <w:tcPr>
            <w:tcW w:w="1418" w:type="dxa"/>
            <w:tcBorders>
              <w:top w:val="nil"/>
              <w:bottom w:val="nil"/>
            </w:tcBorders>
            <w:shd w:val="clear" w:color="auto" w:fill="auto"/>
            <w:vAlign w:val="center"/>
          </w:tcPr>
          <w:p w14:paraId="5FCA84E0" w14:textId="77777777" w:rsidR="00C20063" w:rsidRPr="00C46DD7" w:rsidRDefault="00C20063" w:rsidP="00DC062C">
            <w:pPr>
              <w:pStyle w:val="08-Tabelageral"/>
              <w:rPr>
                <w:rFonts w:cs="Arial"/>
                <w:b/>
                <w:szCs w:val="14"/>
              </w:rPr>
            </w:pPr>
            <w:r w:rsidRPr="00D21604">
              <w:rPr>
                <w:rFonts w:cs="Arial"/>
                <w:b/>
                <w:szCs w:val="14"/>
              </w:rPr>
              <w:t>8</w:t>
            </w:r>
            <w:r>
              <w:rPr>
                <w:rFonts w:cs="Arial"/>
                <w:b/>
                <w:szCs w:val="14"/>
              </w:rPr>
              <w:t>0,977</w:t>
            </w:r>
          </w:p>
        </w:tc>
      </w:tr>
      <w:tr w:rsidR="00C20063" w:rsidRPr="00BC7DA5" w14:paraId="19C9D52A" w14:textId="77777777" w:rsidTr="00DC062C">
        <w:trPr>
          <w:trHeight w:val="238"/>
        </w:trPr>
        <w:tc>
          <w:tcPr>
            <w:tcW w:w="3261" w:type="dxa"/>
            <w:tcBorders>
              <w:top w:val="nil"/>
              <w:bottom w:val="nil"/>
            </w:tcBorders>
            <w:shd w:val="clear" w:color="auto" w:fill="auto"/>
          </w:tcPr>
          <w:p w14:paraId="187402AD" w14:textId="77777777" w:rsidR="00C20063" w:rsidRPr="00BC7DA5" w:rsidRDefault="00C20063" w:rsidP="00DC062C">
            <w:pPr>
              <w:pStyle w:val="08-Tabelageral"/>
              <w:ind w:left="283" w:hanging="170"/>
              <w:jc w:val="left"/>
              <w:rPr>
                <w:rFonts w:cs="Arial"/>
                <w:szCs w:val="14"/>
              </w:rPr>
            </w:pPr>
            <w:r w:rsidRPr="00E1219D">
              <w:rPr>
                <w:rFonts w:cs="Arial"/>
                <w:szCs w:val="14"/>
              </w:rPr>
              <w:t>Taxes to compensate</w:t>
            </w:r>
          </w:p>
        </w:tc>
        <w:tc>
          <w:tcPr>
            <w:tcW w:w="437" w:type="dxa"/>
            <w:tcBorders>
              <w:top w:val="nil"/>
              <w:bottom w:val="nil"/>
            </w:tcBorders>
            <w:shd w:val="clear" w:color="auto" w:fill="auto"/>
          </w:tcPr>
          <w:p w14:paraId="35975F92" w14:textId="77777777" w:rsidR="00C20063" w:rsidRPr="00BC7DA5" w:rsidRDefault="00C20063" w:rsidP="00DC062C">
            <w:pPr>
              <w:pStyle w:val="08-Tabelageral"/>
              <w:jc w:val="center"/>
              <w:rPr>
                <w:rFonts w:cs="Arial"/>
                <w:szCs w:val="14"/>
              </w:rPr>
            </w:pPr>
          </w:p>
        </w:tc>
        <w:tc>
          <w:tcPr>
            <w:tcW w:w="1411" w:type="dxa"/>
            <w:tcBorders>
              <w:top w:val="nil"/>
              <w:bottom w:val="nil"/>
            </w:tcBorders>
            <w:shd w:val="clear" w:color="auto" w:fill="auto"/>
            <w:vAlign w:val="center"/>
          </w:tcPr>
          <w:p w14:paraId="0B3A2AC6" w14:textId="77777777" w:rsidR="00C20063" w:rsidRPr="00BC7DA5" w:rsidRDefault="00C20063" w:rsidP="00DC062C">
            <w:pPr>
              <w:pStyle w:val="08-Tabelageral"/>
              <w:rPr>
                <w:rFonts w:cs="Arial"/>
                <w:szCs w:val="14"/>
              </w:rPr>
            </w:pPr>
            <w:r>
              <w:rPr>
                <w:rFonts w:cs="Arial"/>
                <w:szCs w:val="14"/>
              </w:rPr>
              <w:t>89,944</w:t>
            </w:r>
          </w:p>
        </w:tc>
        <w:tc>
          <w:tcPr>
            <w:tcW w:w="1412" w:type="dxa"/>
            <w:tcBorders>
              <w:top w:val="nil"/>
              <w:bottom w:val="nil"/>
            </w:tcBorders>
            <w:shd w:val="clear" w:color="auto" w:fill="auto"/>
            <w:vAlign w:val="center"/>
          </w:tcPr>
          <w:p w14:paraId="5187B363" w14:textId="77777777" w:rsidR="00C20063" w:rsidRPr="00BC7DA5" w:rsidRDefault="00C20063" w:rsidP="00DC062C">
            <w:pPr>
              <w:pStyle w:val="08-Tabelageral"/>
              <w:rPr>
                <w:rFonts w:cs="Arial"/>
                <w:szCs w:val="14"/>
              </w:rPr>
            </w:pPr>
            <w:r>
              <w:rPr>
                <w:rFonts w:cs="Arial"/>
                <w:szCs w:val="14"/>
              </w:rPr>
              <w:t>75,237</w:t>
            </w:r>
          </w:p>
        </w:tc>
        <w:tc>
          <w:tcPr>
            <w:tcW w:w="283" w:type="dxa"/>
            <w:tcBorders>
              <w:top w:val="nil"/>
              <w:bottom w:val="nil"/>
            </w:tcBorders>
            <w:shd w:val="clear" w:color="auto" w:fill="auto"/>
            <w:vAlign w:val="center"/>
          </w:tcPr>
          <w:p w14:paraId="5DF9C56A" w14:textId="77777777" w:rsidR="00C20063" w:rsidRPr="00BC7DA5" w:rsidRDefault="00C20063" w:rsidP="00DC062C">
            <w:pPr>
              <w:pStyle w:val="08-Tabelageral"/>
              <w:rPr>
                <w:rFonts w:cs="Arial"/>
                <w:szCs w:val="14"/>
              </w:rPr>
            </w:pPr>
          </w:p>
        </w:tc>
        <w:tc>
          <w:tcPr>
            <w:tcW w:w="1417" w:type="dxa"/>
            <w:tcBorders>
              <w:top w:val="nil"/>
              <w:bottom w:val="nil"/>
            </w:tcBorders>
            <w:shd w:val="clear" w:color="auto" w:fill="auto"/>
            <w:vAlign w:val="center"/>
          </w:tcPr>
          <w:p w14:paraId="5217554A" w14:textId="77777777" w:rsidR="00C20063" w:rsidRPr="00BC7DA5" w:rsidRDefault="00C20063" w:rsidP="00DC062C">
            <w:pPr>
              <w:pStyle w:val="08-Tabelageral"/>
              <w:rPr>
                <w:rFonts w:cs="Arial"/>
                <w:szCs w:val="14"/>
              </w:rPr>
            </w:pPr>
            <w:r>
              <w:rPr>
                <w:rFonts w:cs="Arial"/>
                <w:szCs w:val="14"/>
              </w:rPr>
              <w:t>97,229</w:t>
            </w:r>
          </w:p>
        </w:tc>
        <w:tc>
          <w:tcPr>
            <w:tcW w:w="1418" w:type="dxa"/>
            <w:tcBorders>
              <w:top w:val="nil"/>
              <w:bottom w:val="nil"/>
            </w:tcBorders>
            <w:shd w:val="clear" w:color="auto" w:fill="auto"/>
            <w:vAlign w:val="center"/>
          </w:tcPr>
          <w:p w14:paraId="642FD34B" w14:textId="77777777" w:rsidR="00C20063" w:rsidRPr="00BC7DA5" w:rsidRDefault="00C20063" w:rsidP="00DC062C">
            <w:pPr>
              <w:pStyle w:val="08-Tabelageral"/>
              <w:rPr>
                <w:rFonts w:cs="Arial"/>
                <w:szCs w:val="14"/>
              </w:rPr>
            </w:pPr>
            <w:r>
              <w:rPr>
                <w:rFonts w:cs="Arial"/>
                <w:szCs w:val="14"/>
              </w:rPr>
              <w:t>82,482</w:t>
            </w:r>
          </w:p>
        </w:tc>
      </w:tr>
      <w:tr w:rsidR="00C20063" w:rsidRPr="00BC7DA5" w14:paraId="3CBF746B" w14:textId="77777777" w:rsidTr="00DC062C">
        <w:trPr>
          <w:trHeight w:val="238"/>
        </w:trPr>
        <w:tc>
          <w:tcPr>
            <w:tcW w:w="3261" w:type="dxa"/>
            <w:tcBorders>
              <w:top w:val="nil"/>
              <w:bottom w:val="nil"/>
            </w:tcBorders>
            <w:shd w:val="clear" w:color="auto" w:fill="auto"/>
          </w:tcPr>
          <w:p w14:paraId="6F037BD4" w14:textId="77777777" w:rsidR="00C20063" w:rsidRPr="00E1219D" w:rsidRDefault="00C20063" w:rsidP="00DC062C">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73B27078" w14:textId="77777777" w:rsidR="00C20063" w:rsidRPr="00BC7DA5" w:rsidRDefault="00C20063" w:rsidP="00DC062C">
            <w:pPr>
              <w:pStyle w:val="08-Tabelageral"/>
              <w:jc w:val="center"/>
              <w:rPr>
                <w:rFonts w:cs="Arial"/>
                <w:szCs w:val="14"/>
              </w:rPr>
            </w:pPr>
          </w:p>
        </w:tc>
        <w:tc>
          <w:tcPr>
            <w:tcW w:w="1411" w:type="dxa"/>
            <w:tcBorders>
              <w:top w:val="nil"/>
              <w:bottom w:val="nil"/>
            </w:tcBorders>
            <w:shd w:val="clear" w:color="auto" w:fill="auto"/>
            <w:vAlign w:val="center"/>
          </w:tcPr>
          <w:p w14:paraId="1F91A08F" w14:textId="77777777" w:rsidR="00C20063" w:rsidRDefault="00C20063" w:rsidP="00DC062C">
            <w:pPr>
              <w:pStyle w:val="08-Tabelageral"/>
              <w:rPr>
                <w:rFonts w:cs="Arial"/>
                <w:szCs w:val="14"/>
              </w:rPr>
            </w:pPr>
            <w:r>
              <w:rPr>
                <w:rFonts w:cs="Arial"/>
                <w:szCs w:val="14"/>
              </w:rPr>
              <w:t>(374)</w:t>
            </w:r>
          </w:p>
        </w:tc>
        <w:tc>
          <w:tcPr>
            <w:tcW w:w="1412" w:type="dxa"/>
            <w:tcBorders>
              <w:top w:val="nil"/>
              <w:bottom w:val="nil"/>
            </w:tcBorders>
            <w:shd w:val="clear" w:color="auto" w:fill="auto"/>
            <w:vAlign w:val="center"/>
          </w:tcPr>
          <w:p w14:paraId="30C95642" w14:textId="77777777" w:rsidR="00C20063" w:rsidRDefault="00C20063" w:rsidP="00DC062C">
            <w:pPr>
              <w:pStyle w:val="08-Tabelageral"/>
              <w:rPr>
                <w:rFonts w:cs="Arial"/>
                <w:szCs w:val="14"/>
              </w:rPr>
            </w:pPr>
            <w:r>
              <w:rPr>
                <w:rFonts w:cs="Arial"/>
                <w:szCs w:val="14"/>
              </w:rPr>
              <w:t>(60)</w:t>
            </w:r>
          </w:p>
        </w:tc>
        <w:tc>
          <w:tcPr>
            <w:tcW w:w="283" w:type="dxa"/>
            <w:tcBorders>
              <w:top w:val="nil"/>
              <w:bottom w:val="nil"/>
            </w:tcBorders>
            <w:shd w:val="clear" w:color="auto" w:fill="auto"/>
            <w:vAlign w:val="center"/>
          </w:tcPr>
          <w:p w14:paraId="36FEE051" w14:textId="77777777" w:rsidR="00C20063" w:rsidRPr="00BC7DA5" w:rsidRDefault="00C20063" w:rsidP="00DC062C">
            <w:pPr>
              <w:pStyle w:val="08-Tabelageral"/>
              <w:rPr>
                <w:rFonts w:cs="Arial"/>
                <w:szCs w:val="14"/>
              </w:rPr>
            </w:pPr>
          </w:p>
        </w:tc>
        <w:tc>
          <w:tcPr>
            <w:tcW w:w="1417" w:type="dxa"/>
            <w:tcBorders>
              <w:top w:val="nil"/>
              <w:bottom w:val="nil"/>
            </w:tcBorders>
            <w:shd w:val="clear" w:color="auto" w:fill="auto"/>
            <w:vAlign w:val="center"/>
          </w:tcPr>
          <w:p w14:paraId="6AF0620F" w14:textId="77777777" w:rsidR="00C20063" w:rsidRDefault="00C20063" w:rsidP="00DC062C">
            <w:pPr>
              <w:pStyle w:val="08-Tabelageral"/>
              <w:rPr>
                <w:rFonts w:cs="Arial"/>
                <w:szCs w:val="14"/>
              </w:rPr>
            </w:pPr>
            <w:r>
              <w:rPr>
                <w:rFonts w:cs="Arial"/>
                <w:szCs w:val="14"/>
              </w:rPr>
              <w:t>(374)</w:t>
            </w:r>
          </w:p>
        </w:tc>
        <w:tc>
          <w:tcPr>
            <w:tcW w:w="1418" w:type="dxa"/>
            <w:tcBorders>
              <w:top w:val="nil"/>
              <w:bottom w:val="nil"/>
            </w:tcBorders>
            <w:shd w:val="clear" w:color="auto" w:fill="auto"/>
            <w:vAlign w:val="center"/>
          </w:tcPr>
          <w:p w14:paraId="22EEC31A" w14:textId="77777777" w:rsidR="00C20063" w:rsidRDefault="00C20063" w:rsidP="00DC062C">
            <w:pPr>
              <w:pStyle w:val="08-Tabelageral"/>
              <w:rPr>
                <w:rFonts w:cs="Arial"/>
                <w:szCs w:val="14"/>
              </w:rPr>
            </w:pPr>
            <w:r w:rsidRPr="00D21604">
              <w:rPr>
                <w:rFonts w:cs="Arial"/>
                <w:szCs w:val="14"/>
              </w:rPr>
              <w:t>(</w:t>
            </w:r>
            <w:r>
              <w:rPr>
                <w:rFonts w:cs="Arial"/>
                <w:szCs w:val="14"/>
              </w:rPr>
              <w:t>1,505</w:t>
            </w:r>
            <w:r w:rsidRPr="00D21604">
              <w:rPr>
                <w:rFonts w:cs="Arial"/>
                <w:szCs w:val="14"/>
              </w:rPr>
              <w:t>)</w:t>
            </w:r>
          </w:p>
        </w:tc>
      </w:tr>
      <w:tr w:rsidR="00C20063" w:rsidRPr="00BC7DA5" w14:paraId="5BB123B7" w14:textId="77777777" w:rsidTr="00DC062C">
        <w:trPr>
          <w:trHeight w:val="238"/>
        </w:trPr>
        <w:tc>
          <w:tcPr>
            <w:tcW w:w="3261" w:type="dxa"/>
            <w:tcBorders>
              <w:top w:val="nil"/>
              <w:bottom w:val="single" w:sz="2" w:space="0" w:color="1F4E79" w:themeColor="accent1" w:themeShade="80"/>
            </w:tcBorders>
            <w:shd w:val="clear" w:color="auto" w:fill="auto"/>
          </w:tcPr>
          <w:p w14:paraId="17E1FAA6" w14:textId="77777777" w:rsidR="00C20063" w:rsidRPr="00BC7DA5" w:rsidRDefault="00C20063" w:rsidP="00DC062C">
            <w:pPr>
              <w:pStyle w:val="08-Tabelageral"/>
              <w:jc w:val="left"/>
              <w:rPr>
                <w:rFonts w:cs="Arial"/>
                <w:b/>
                <w:szCs w:val="14"/>
              </w:rPr>
            </w:pPr>
            <w:r w:rsidRPr="00BC7DA5">
              <w:rPr>
                <w:rFonts w:cs="Arial"/>
                <w:b/>
              </w:rPr>
              <w:t>Total</w:t>
            </w:r>
            <w:r>
              <w:rPr>
                <w:rFonts w:cs="Arial"/>
                <w:b/>
              </w:rPr>
              <w:t xml:space="preserve">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53597A9C" w14:textId="77777777" w:rsidR="00C20063" w:rsidRPr="00BC7DA5" w:rsidRDefault="00C20063" w:rsidP="00DC062C">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AC19761" w14:textId="77777777" w:rsidR="00C20063" w:rsidRPr="00BC7DA5" w:rsidRDefault="00C20063" w:rsidP="00DC062C">
            <w:pPr>
              <w:pStyle w:val="08-Tabelageral"/>
              <w:rPr>
                <w:rFonts w:cs="Arial"/>
                <w:b/>
                <w:szCs w:val="14"/>
              </w:rPr>
            </w:pPr>
            <w:r>
              <w:rPr>
                <w:rFonts w:cs="Arial"/>
                <w:b/>
                <w:szCs w:val="14"/>
              </w:rPr>
              <w:t>107,416</w:t>
            </w:r>
          </w:p>
        </w:tc>
        <w:tc>
          <w:tcPr>
            <w:tcW w:w="1412" w:type="dxa"/>
            <w:tcBorders>
              <w:top w:val="nil"/>
              <w:bottom w:val="single" w:sz="2" w:space="0" w:color="1F4E79" w:themeColor="accent1" w:themeShade="80"/>
            </w:tcBorders>
            <w:shd w:val="clear" w:color="auto" w:fill="auto"/>
            <w:vAlign w:val="center"/>
          </w:tcPr>
          <w:p w14:paraId="5FD91C82" w14:textId="77777777" w:rsidR="00C20063" w:rsidRPr="00BC7DA5" w:rsidRDefault="00C20063" w:rsidP="00DC062C">
            <w:pPr>
              <w:pStyle w:val="08-Tabelageral"/>
              <w:rPr>
                <w:rFonts w:cs="Arial"/>
                <w:b/>
                <w:szCs w:val="14"/>
              </w:rPr>
            </w:pPr>
            <w:r>
              <w:rPr>
                <w:rFonts w:cs="Arial"/>
                <w:b/>
                <w:szCs w:val="14"/>
              </w:rPr>
              <w:t>91,308</w:t>
            </w:r>
          </w:p>
        </w:tc>
        <w:tc>
          <w:tcPr>
            <w:tcW w:w="283" w:type="dxa"/>
            <w:tcBorders>
              <w:top w:val="nil"/>
              <w:bottom w:val="single" w:sz="2" w:space="0" w:color="1F4E79" w:themeColor="accent1" w:themeShade="80"/>
            </w:tcBorders>
            <w:shd w:val="clear" w:color="auto" w:fill="auto"/>
            <w:vAlign w:val="center"/>
          </w:tcPr>
          <w:p w14:paraId="272790E1" w14:textId="77777777" w:rsidR="00C20063" w:rsidRPr="00BC7DA5" w:rsidRDefault="00C20063" w:rsidP="00DC062C">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33EDBF90" w14:textId="77777777" w:rsidR="00C20063" w:rsidRPr="00BC7DA5" w:rsidRDefault="00C20063" w:rsidP="00DC062C">
            <w:pPr>
              <w:pStyle w:val="08-Tabelageral"/>
              <w:rPr>
                <w:rFonts w:cs="Arial"/>
                <w:b/>
                <w:szCs w:val="14"/>
              </w:rPr>
            </w:pPr>
            <w:r>
              <w:rPr>
                <w:rFonts w:cs="Arial"/>
                <w:b/>
                <w:szCs w:val="14"/>
              </w:rPr>
              <w:t>137,120</w:t>
            </w:r>
          </w:p>
        </w:tc>
        <w:tc>
          <w:tcPr>
            <w:tcW w:w="1418" w:type="dxa"/>
            <w:tcBorders>
              <w:top w:val="nil"/>
              <w:bottom w:val="single" w:sz="2" w:space="0" w:color="1F4E79" w:themeColor="accent1" w:themeShade="80"/>
            </w:tcBorders>
            <w:shd w:val="clear" w:color="auto" w:fill="auto"/>
            <w:vAlign w:val="center"/>
          </w:tcPr>
          <w:p w14:paraId="42DAB727" w14:textId="77777777" w:rsidR="00C20063" w:rsidRPr="00BC7DA5" w:rsidRDefault="00C20063" w:rsidP="00DC062C">
            <w:pPr>
              <w:pStyle w:val="08-Tabelageral"/>
              <w:rPr>
                <w:rFonts w:cs="Arial"/>
                <w:b/>
                <w:szCs w:val="14"/>
              </w:rPr>
            </w:pPr>
            <w:r>
              <w:rPr>
                <w:rFonts w:cs="Arial"/>
                <w:b/>
                <w:szCs w:val="14"/>
              </w:rPr>
              <w:t>97,108</w:t>
            </w:r>
          </w:p>
        </w:tc>
      </w:tr>
    </w:tbl>
    <w:p w14:paraId="35B40770" w14:textId="77777777" w:rsidR="00C20063" w:rsidRPr="00F110A6" w:rsidRDefault="00C20063" w:rsidP="00C20063">
      <w:pPr>
        <w:pStyle w:val="PargrafodaLista"/>
        <w:numPr>
          <w:ilvl w:val="0"/>
          <w:numId w:val="9"/>
        </w:numPr>
        <w:spacing w:after="40" w:line="240" w:lineRule="auto"/>
        <w:ind w:left="284" w:hanging="284"/>
        <w:jc w:val="both"/>
        <w:rPr>
          <w:rFonts w:ascii="Arial" w:hAnsi="Arial" w:cs="Arial"/>
          <w:sz w:val="14"/>
          <w:szCs w:val="14"/>
          <w:lang w:val="en-US"/>
        </w:rPr>
      </w:pPr>
      <w:r>
        <w:rPr>
          <w:rFonts w:ascii="Arial" w:eastAsia="Times New Roman" w:hAnsi="Arial" w:cs="Arial"/>
          <w:sz w:val="14"/>
          <w:szCs w:val="14"/>
          <w:lang w:val="en" w:eastAsia="pt-BR"/>
        </w:rPr>
        <w:t>T</w:t>
      </w:r>
      <w:r w:rsidRPr="00647373">
        <w:rPr>
          <w:rFonts w:ascii="Arial" w:eastAsia="Times New Roman" w:hAnsi="Arial" w:cs="Arial"/>
          <w:sz w:val="14"/>
          <w:szCs w:val="14"/>
          <w:lang w:val="en" w:eastAsia="pt-BR"/>
        </w:rPr>
        <w:t xml:space="preserve">he balances on </w:t>
      </w:r>
      <w:r>
        <w:rPr>
          <w:rFonts w:ascii="Arial" w:eastAsia="Times New Roman" w:hAnsi="Arial" w:cs="Arial"/>
          <w:sz w:val="14"/>
          <w:szCs w:val="14"/>
          <w:lang w:val="en" w:eastAsia="pt-BR"/>
        </w:rPr>
        <w:t>March</w:t>
      </w:r>
      <w:r w:rsidRPr="00647373">
        <w:rPr>
          <w:rFonts w:ascii="Arial" w:eastAsia="Times New Roman" w:hAnsi="Arial" w:cs="Arial"/>
          <w:sz w:val="14"/>
          <w:szCs w:val="14"/>
          <w:lang w:val="en" w:eastAsia="pt-BR"/>
        </w:rPr>
        <w:t xml:space="preserve"> 3</w:t>
      </w:r>
      <w:r>
        <w:rPr>
          <w:rFonts w:ascii="Arial" w:eastAsia="Times New Roman" w:hAnsi="Arial" w:cs="Arial"/>
          <w:sz w:val="14"/>
          <w:szCs w:val="14"/>
          <w:lang w:val="en" w:eastAsia="pt-BR"/>
        </w:rPr>
        <w:t>1</w:t>
      </w:r>
      <w:r w:rsidRPr="00647373">
        <w:rPr>
          <w:rFonts w:ascii="Arial" w:eastAsia="Times New Roman" w:hAnsi="Arial" w:cs="Arial"/>
          <w:sz w:val="14"/>
          <w:szCs w:val="14"/>
          <w:lang w:val="en" w:eastAsia="pt-BR"/>
        </w:rPr>
        <w:t>,202</w:t>
      </w:r>
      <w:r>
        <w:rPr>
          <w:rFonts w:ascii="Arial" w:eastAsia="Times New Roman" w:hAnsi="Arial" w:cs="Arial"/>
          <w:sz w:val="14"/>
          <w:szCs w:val="14"/>
          <w:lang w:val="en" w:eastAsia="pt-BR"/>
        </w:rPr>
        <w:t>3</w:t>
      </w:r>
      <w:r w:rsidRPr="00647373">
        <w:rPr>
          <w:rFonts w:ascii="Arial" w:eastAsia="Times New Roman" w:hAnsi="Arial" w:cs="Arial"/>
          <w:sz w:val="14"/>
          <w:szCs w:val="14"/>
          <w:lang w:val="en" w:eastAsia="pt-BR"/>
        </w:rPr>
        <w:t xml:space="preserve"> and December 31,20</w:t>
      </w:r>
      <w:r>
        <w:rPr>
          <w:rFonts w:ascii="Arial" w:eastAsia="Times New Roman" w:hAnsi="Arial" w:cs="Arial"/>
          <w:sz w:val="14"/>
          <w:szCs w:val="14"/>
          <w:lang w:val="en" w:eastAsia="pt-BR"/>
        </w:rPr>
        <w:t>22</w:t>
      </w:r>
      <w:r w:rsidRPr="00647373">
        <w:rPr>
          <w:rFonts w:ascii="Arial" w:eastAsia="Times New Roman" w:hAnsi="Arial" w:cs="Arial"/>
          <w:sz w:val="14"/>
          <w:szCs w:val="14"/>
          <w:lang w:val="en" w:eastAsia="pt-BR"/>
        </w:rPr>
        <w:t xml:space="preserve"> (parent company and consolidated) refer mainly to the IRRF of previous years uncompensated/deducted</w:t>
      </w:r>
      <w:r w:rsidRPr="00F110A6">
        <w:rPr>
          <w:rFonts w:ascii="Arial" w:hAnsi="Arial" w:cs="Arial"/>
          <w:sz w:val="14"/>
          <w:szCs w:val="14"/>
          <w:lang w:val="en-US"/>
        </w:rPr>
        <w:t>.</w:t>
      </w:r>
    </w:p>
    <w:p w14:paraId="2B6D31D7" w14:textId="77777777" w:rsidR="00CC37BC" w:rsidRDefault="00CC37BC" w:rsidP="00DC062C">
      <w:pPr>
        <w:keepNext/>
        <w:keepLines/>
        <w:spacing w:after="40" w:line="240" w:lineRule="auto"/>
        <w:ind w:left="284" w:hanging="284"/>
        <w:rPr>
          <w:rFonts w:cs="Arial"/>
          <w:b/>
          <w:color w:val="1F4E79" w:themeColor="accent1" w:themeShade="80"/>
          <w:szCs w:val="18"/>
        </w:rPr>
      </w:pPr>
    </w:p>
    <w:p w14:paraId="568E1300" w14:textId="7AEE84E5" w:rsidR="00C20063" w:rsidRPr="00662308" w:rsidRDefault="00C20063" w:rsidP="00DC062C">
      <w:pPr>
        <w:keepNext/>
        <w:keepLines/>
        <w:spacing w:after="40" w:line="240" w:lineRule="auto"/>
        <w:ind w:left="284" w:hanging="284"/>
        <w:rPr>
          <w:rFonts w:cs="Arial"/>
          <w:b/>
          <w:color w:val="1F4E79" w:themeColor="accent1" w:themeShade="80"/>
          <w:szCs w:val="18"/>
        </w:rPr>
      </w:pPr>
      <w:r w:rsidRPr="00662308">
        <w:rPr>
          <w:rFonts w:cs="Arial"/>
          <w:b/>
          <w:color w:val="1F4E79" w:themeColor="accent1" w:themeShade="80"/>
          <w:szCs w:val="18"/>
        </w:rPr>
        <w:t>e) Deferred Tax Assets</w:t>
      </w:r>
    </w:p>
    <w:p w14:paraId="606D8993" w14:textId="77777777" w:rsidR="00C20063" w:rsidRPr="00FF3D4B" w:rsidRDefault="00C20063" w:rsidP="00DC062C">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C20063" w:rsidRPr="00BC7DA5" w14:paraId="2D2473C1" w14:textId="77777777" w:rsidTr="00DC062C">
        <w:trPr>
          <w:trHeight w:val="238"/>
        </w:trPr>
        <w:tc>
          <w:tcPr>
            <w:tcW w:w="3094" w:type="dxa"/>
            <w:tcBorders>
              <w:top w:val="single" w:sz="2" w:space="0" w:color="1F4E79" w:themeColor="accent1" w:themeShade="80"/>
              <w:bottom w:val="nil"/>
            </w:tcBorders>
            <w:shd w:val="clear" w:color="auto" w:fill="auto"/>
            <w:vAlign w:val="center"/>
          </w:tcPr>
          <w:p w14:paraId="6543AF75" w14:textId="77777777" w:rsidR="00C20063" w:rsidRPr="00BC7DA5" w:rsidRDefault="00C20063" w:rsidP="00DC062C">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70AEFA49" w14:textId="77777777" w:rsidR="00C20063" w:rsidRPr="00BC7DA5" w:rsidRDefault="00C20063" w:rsidP="00DC062C">
            <w:pPr>
              <w:keepNext/>
              <w:keepLines/>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03C4BA1C" w14:textId="77777777" w:rsidR="00C20063" w:rsidRPr="00BC266E" w:rsidRDefault="00C20063" w:rsidP="00DC062C">
            <w:pPr>
              <w:keepNext/>
              <w:keepLines/>
              <w:spacing w:after="0"/>
              <w:jc w:val="center"/>
              <w:rPr>
                <w:rFonts w:cs="Arial"/>
                <w:b/>
                <w:sz w:val="14"/>
                <w:szCs w:val="14"/>
              </w:rPr>
            </w:pPr>
            <w:r w:rsidRPr="00BC266E">
              <w:rPr>
                <w:rFonts w:cs="Arial"/>
                <w:b/>
                <w:sz w:val="14"/>
                <w:szCs w:val="14"/>
              </w:rPr>
              <w:t>Parent</w:t>
            </w:r>
          </w:p>
        </w:tc>
      </w:tr>
      <w:tr w:rsidR="00C20063" w:rsidRPr="00BC7DA5" w14:paraId="5A11B68A" w14:textId="77777777" w:rsidTr="00DC062C">
        <w:trPr>
          <w:trHeight w:val="238"/>
        </w:trPr>
        <w:tc>
          <w:tcPr>
            <w:tcW w:w="3094" w:type="dxa"/>
            <w:tcBorders>
              <w:top w:val="nil"/>
              <w:bottom w:val="single" w:sz="2" w:space="0" w:color="1F4E79" w:themeColor="accent1" w:themeShade="80"/>
            </w:tcBorders>
            <w:shd w:val="clear" w:color="auto" w:fill="auto"/>
            <w:vAlign w:val="center"/>
          </w:tcPr>
          <w:p w14:paraId="6A7973B3" w14:textId="77777777" w:rsidR="00C20063" w:rsidRPr="00BC7DA5" w:rsidRDefault="00C20063" w:rsidP="00DC062C">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505889E5" w14:textId="77777777" w:rsidR="00C20063" w:rsidRPr="00BC7DA5" w:rsidRDefault="00C20063" w:rsidP="00DC062C">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6FAEF74C" w14:textId="77777777" w:rsidR="00C20063" w:rsidRPr="00BC7DA5" w:rsidRDefault="00C20063" w:rsidP="00DC062C">
            <w:pPr>
              <w:pStyle w:val="08-Tabelageral"/>
              <w:rPr>
                <w:rFonts w:cs="Arial"/>
                <w:b/>
              </w:rPr>
            </w:pPr>
            <w:r>
              <w:rPr>
                <w:rFonts w:cs="Arial"/>
                <w:b/>
              </w:rPr>
              <w:t xml:space="preserve">Dec </w:t>
            </w:r>
            <w:r w:rsidRPr="00BC7DA5">
              <w:rPr>
                <w:rFonts w:cs="Arial"/>
                <w:b/>
              </w:rPr>
              <w:t>3</w:t>
            </w:r>
            <w:r>
              <w:rPr>
                <w:rFonts w:cs="Arial"/>
                <w:b/>
              </w:rPr>
              <w:t xml:space="preserve">1, </w:t>
            </w:r>
            <w:r w:rsidRPr="00BC7DA5">
              <w:rPr>
                <w:rFonts w:cs="Arial"/>
                <w:b/>
              </w:rPr>
              <w:t>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6520809" w14:textId="77777777" w:rsidR="00C20063" w:rsidRPr="00BC7DA5" w:rsidRDefault="00C20063" w:rsidP="00DC062C">
            <w:pPr>
              <w:pStyle w:val="08-Tabelageral"/>
              <w:rPr>
                <w:rFonts w:cs="Arial"/>
                <w:b/>
              </w:rPr>
            </w:pPr>
            <w:r>
              <w:rPr>
                <w:rFonts w:cs="Arial"/>
                <w:b/>
              </w:rPr>
              <w:t>Addition</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340B0AA0" w14:textId="77777777" w:rsidR="00C20063" w:rsidRPr="00BC7DA5" w:rsidRDefault="00C20063"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6A36F4C" w14:textId="77777777" w:rsidR="00C20063" w:rsidRPr="00BC7DA5" w:rsidRDefault="00C20063" w:rsidP="00DC062C">
            <w:pPr>
              <w:pStyle w:val="08-Tabelageral"/>
              <w:rPr>
                <w:rFonts w:cs="Arial"/>
                <w:b/>
              </w:rPr>
            </w:pPr>
            <w:r>
              <w:rPr>
                <w:rFonts w:cs="Arial"/>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6F181E9" w14:textId="77777777" w:rsidR="00C20063" w:rsidRPr="00BC7DA5" w:rsidRDefault="00C20063" w:rsidP="00DC062C">
            <w:pPr>
              <w:pStyle w:val="08-Tabelageral"/>
              <w:rPr>
                <w:rFonts w:cs="Arial"/>
                <w:b/>
              </w:rPr>
            </w:pPr>
            <w:r>
              <w:rPr>
                <w:rFonts w:cs="Arial"/>
                <w:b/>
              </w:rPr>
              <w:t>Mar 31, 2023</w:t>
            </w:r>
          </w:p>
        </w:tc>
      </w:tr>
      <w:tr w:rsidR="00C20063" w:rsidRPr="00BC7DA5" w14:paraId="6A42B669" w14:textId="77777777" w:rsidTr="00DC062C">
        <w:trPr>
          <w:trHeight w:val="238"/>
        </w:trPr>
        <w:tc>
          <w:tcPr>
            <w:tcW w:w="3094" w:type="dxa"/>
            <w:tcBorders>
              <w:top w:val="single" w:sz="2" w:space="0" w:color="1F4E79" w:themeColor="accent1" w:themeShade="80"/>
              <w:bottom w:val="nil"/>
            </w:tcBorders>
            <w:shd w:val="clear" w:color="auto" w:fill="auto"/>
          </w:tcPr>
          <w:p w14:paraId="74949F60" w14:textId="77777777" w:rsidR="00C20063" w:rsidRPr="003B22A9" w:rsidRDefault="00C20063" w:rsidP="00DC062C">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bottom w:val="nil"/>
            </w:tcBorders>
            <w:shd w:val="clear" w:color="auto" w:fill="auto"/>
          </w:tcPr>
          <w:p w14:paraId="04B31E83" w14:textId="77777777" w:rsidR="00C20063" w:rsidRPr="00BC7DA5" w:rsidRDefault="00C20063" w:rsidP="00DC062C">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66A64C26" w14:textId="77777777" w:rsidR="00C20063" w:rsidRPr="00BC7DA5" w:rsidRDefault="00C20063" w:rsidP="00DC062C">
            <w:pPr>
              <w:pStyle w:val="08-Tabelageral"/>
              <w:rPr>
                <w:rFonts w:cs="Arial"/>
                <w:b/>
                <w:bCs/>
                <w:szCs w:val="14"/>
              </w:rPr>
            </w:pPr>
          </w:p>
        </w:tc>
        <w:tc>
          <w:tcPr>
            <w:tcW w:w="1412" w:type="dxa"/>
            <w:tcBorders>
              <w:top w:val="single" w:sz="2" w:space="0" w:color="1F4E79" w:themeColor="accent1" w:themeShade="80"/>
            </w:tcBorders>
            <w:shd w:val="clear" w:color="auto" w:fill="auto"/>
          </w:tcPr>
          <w:p w14:paraId="14C42F5D" w14:textId="77777777" w:rsidR="00C20063" w:rsidRPr="00BC7DA5" w:rsidRDefault="00C20063" w:rsidP="00DC062C">
            <w:pPr>
              <w:pStyle w:val="08-Tabelageral"/>
              <w:rPr>
                <w:rFonts w:cs="Arial"/>
                <w:b/>
                <w:bCs/>
                <w:szCs w:val="14"/>
              </w:rPr>
            </w:pPr>
          </w:p>
        </w:tc>
        <w:tc>
          <w:tcPr>
            <w:tcW w:w="283" w:type="dxa"/>
            <w:tcBorders>
              <w:top w:val="single" w:sz="2" w:space="0" w:color="1F4E79" w:themeColor="accent1" w:themeShade="80"/>
            </w:tcBorders>
            <w:shd w:val="clear" w:color="auto" w:fill="auto"/>
          </w:tcPr>
          <w:p w14:paraId="4559C94B" w14:textId="77777777" w:rsidR="00C20063" w:rsidRPr="00BC7DA5" w:rsidRDefault="00C20063" w:rsidP="00DC062C">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208C192A" w14:textId="77777777" w:rsidR="00C20063" w:rsidRPr="00BC7DA5" w:rsidRDefault="00C20063" w:rsidP="00DC062C">
            <w:pPr>
              <w:pStyle w:val="08-Tabelageral"/>
              <w:rPr>
                <w:rFonts w:cs="Arial"/>
                <w:b/>
                <w:bCs/>
                <w:szCs w:val="14"/>
              </w:rPr>
            </w:pPr>
          </w:p>
        </w:tc>
        <w:tc>
          <w:tcPr>
            <w:tcW w:w="1418" w:type="dxa"/>
            <w:tcBorders>
              <w:top w:val="single" w:sz="2" w:space="0" w:color="1F4E79" w:themeColor="accent1" w:themeShade="80"/>
            </w:tcBorders>
            <w:shd w:val="clear" w:color="auto" w:fill="auto"/>
          </w:tcPr>
          <w:p w14:paraId="39AE2EB5" w14:textId="77777777" w:rsidR="00C20063" w:rsidRPr="00BC7DA5" w:rsidRDefault="00C20063" w:rsidP="00DC062C">
            <w:pPr>
              <w:pStyle w:val="08-Tabelageral"/>
              <w:rPr>
                <w:rFonts w:cs="Arial"/>
                <w:b/>
                <w:bCs/>
                <w:szCs w:val="14"/>
              </w:rPr>
            </w:pPr>
          </w:p>
        </w:tc>
      </w:tr>
      <w:tr w:rsidR="00C20063" w:rsidRPr="00BC7DA5" w14:paraId="2301229F" w14:textId="77777777" w:rsidTr="00DC062C">
        <w:trPr>
          <w:trHeight w:val="238"/>
        </w:trPr>
        <w:tc>
          <w:tcPr>
            <w:tcW w:w="3094" w:type="dxa"/>
            <w:shd w:val="clear" w:color="auto" w:fill="auto"/>
          </w:tcPr>
          <w:p w14:paraId="1C5CC020" w14:textId="77777777" w:rsidR="00C20063" w:rsidRPr="00BC7DA5" w:rsidRDefault="00C20063" w:rsidP="00DC062C">
            <w:pPr>
              <w:pStyle w:val="08-Tabelageral"/>
              <w:ind w:left="113"/>
              <w:jc w:val="left"/>
              <w:rPr>
                <w:rFonts w:cs="Arial"/>
                <w:szCs w:val="14"/>
              </w:rPr>
            </w:pPr>
            <w:r>
              <w:rPr>
                <w:rFonts w:cs="Arial"/>
                <w:szCs w:val="14"/>
              </w:rPr>
              <w:t>Liabilities provision</w:t>
            </w:r>
          </w:p>
        </w:tc>
        <w:tc>
          <w:tcPr>
            <w:tcW w:w="604" w:type="dxa"/>
            <w:shd w:val="clear" w:color="auto" w:fill="auto"/>
          </w:tcPr>
          <w:p w14:paraId="2D434745" w14:textId="77777777" w:rsidR="00C20063" w:rsidRPr="00BC7DA5" w:rsidRDefault="00C20063" w:rsidP="00DC062C">
            <w:pPr>
              <w:pStyle w:val="08-Tabelageral"/>
              <w:jc w:val="center"/>
              <w:rPr>
                <w:rFonts w:cs="Arial"/>
                <w:szCs w:val="14"/>
              </w:rPr>
            </w:pPr>
          </w:p>
        </w:tc>
        <w:tc>
          <w:tcPr>
            <w:tcW w:w="1411" w:type="dxa"/>
            <w:shd w:val="clear" w:color="auto" w:fill="auto"/>
          </w:tcPr>
          <w:p w14:paraId="0911EC06" w14:textId="77777777" w:rsidR="00C20063" w:rsidRPr="00BC7DA5" w:rsidRDefault="00C20063" w:rsidP="00DC062C">
            <w:pPr>
              <w:pStyle w:val="08-Tabelageral"/>
              <w:rPr>
                <w:rFonts w:cs="Arial"/>
                <w:szCs w:val="14"/>
              </w:rPr>
            </w:pPr>
            <w:r>
              <w:rPr>
                <w:rFonts w:cs="Arial"/>
                <w:szCs w:val="14"/>
              </w:rPr>
              <w:t>28</w:t>
            </w:r>
          </w:p>
        </w:tc>
        <w:tc>
          <w:tcPr>
            <w:tcW w:w="1412" w:type="dxa"/>
            <w:shd w:val="clear" w:color="auto" w:fill="auto"/>
          </w:tcPr>
          <w:p w14:paraId="0F986060" w14:textId="77777777" w:rsidR="00C20063" w:rsidRPr="00BC7DA5" w:rsidRDefault="00C20063" w:rsidP="00DC062C">
            <w:pPr>
              <w:pStyle w:val="08-Tabelageral"/>
              <w:rPr>
                <w:rFonts w:cs="Arial"/>
              </w:rPr>
            </w:pPr>
            <w:r>
              <w:rPr>
                <w:rFonts w:cs="Arial"/>
              </w:rPr>
              <w:t>12</w:t>
            </w:r>
          </w:p>
        </w:tc>
        <w:tc>
          <w:tcPr>
            <w:tcW w:w="283" w:type="dxa"/>
            <w:shd w:val="clear" w:color="auto" w:fill="auto"/>
          </w:tcPr>
          <w:p w14:paraId="63B5ED35" w14:textId="77777777" w:rsidR="00C20063" w:rsidRPr="00BC7DA5" w:rsidRDefault="00C20063" w:rsidP="00DC062C">
            <w:pPr>
              <w:pStyle w:val="08-Tabelageral"/>
              <w:rPr>
                <w:rFonts w:cs="Arial"/>
                <w:szCs w:val="14"/>
              </w:rPr>
            </w:pPr>
          </w:p>
        </w:tc>
        <w:tc>
          <w:tcPr>
            <w:tcW w:w="1417" w:type="dxa"/>
            <w:shd w:val="clear" w:color="auto" w:fill="auto"/>
          </w:tcPr>
          <w:p w14:paraId="5559FC25" w14:textId="77777777" w:rsidR="00C20063" w:rsidRPr="00BC7DA5" w:rsidRDefault="00C20063" w:rsidP="00DC062C">
            <w:pPr>
              <w:pStyle w:val="08-Tabelageral"/>
              <w:rPr>
                <w:rFonts w:cs="Arial"/>
                <w:szCs w:val="14"/>
              </w:rPr>
            </w:pPr>
            <w:r>
              <w:rPr>
                <w:rFonts w:cs="Arial"/>
                <w:szCs w:val="14"/>
              </w:rPr>
              <w:t>(12)</w:t>
            </w:r>
          </w:p>
        </w:tc>
        <w:tc>
          <w:tcPr>
            <w:tcW w:w="1418" w:type="dxa"/>
            <w:shd w:val="clear" w:color="auto" w:fill="auto"/>
          </w:tcPr>
          <w:p w14:paraId="782AF4E0" w14:textId="77777777" w:rsidR="00C20063" w:rsidRPr="00BC7DA5" w:rsidRDefault="00C20063" w:rsidP="00DC062C">
            <w:pPr>
              <w:pStyle w:val="08-Tabelageral"/>
              <w:rPr>
                <w:rFonts w:cs="Arial"/>
                <w:szCs w:val="14"/>
              </w:rPr>
            </w:pPr>
            <w:r>
              <w:rPr>
                <w:rFonts w:cs="Arial"/>
                <w:szCs w:val="14"/>
              </w:rPr>
              <w:t>28</w:t>
            </w:r>
          </w:p>
        </w:tc>
      </w:tr>
      <w:tr w:rsidR="00C20063" w:rsidRPr="00BC7DA5" w14:paraId="16931B50" w14:textId="77777777" w:rsidTr="00DC062C">
        <w:trPr>
          <w:trHeight w:val="238"/>
        </w:trPr>
        <w:tc>
          <w:tcPr>
            <w:tcW w:w="3094" w:type="dxa"/>
            <w:shd w:val="clear" w:color="auto" w:fill="auto"/>
          </w:tcPr>
          <w:p w14:paraId="7D9A014E" w14:textId="77777777" w:rsidR="00C20063" w:rsidRPr="003B22A9" w:rsidRDefault="00C20063" w:rsidP="00DC062C">
            <w:pPr>
              <w:keepNext/>
              <w:keepLines/>
              <w:spacing w:before="40" w:after="40" w:line="240" w:lineRule="auto"/>
              <w:rPr>
                <w:rFonts w:cs="Arial"/>
                <w:b/>
              </w:rPr>
            </w:pPr>
            <w:r w:rsidRPr="003B22A9">
              <w:rPr>
                <w:rFonts w:eastAsia="Times New Roman" w:cs="Arial"/>
                <w:b/>
                <w:spacing w:val="-2"/>
                <w:sz w:val="14"/>
                <w:szCs w:val="18"/>
                <w:lang w:eastAsia="pt-BR"/>
              </w:rPr>
              <w:t>Total deferred tax assets</w:t>
            </w:r>
          </w:p>
        </w:tc>
        <w:tc>
          <w:tcPr>
            <w:tcW w:w="604" w:type="dxa"/>
            <w:shd w:val="clear" w:color="auto" w:fill="auto"/>
          </w:tcPr>
          <w:p w14:paraId="1830FB7C" w14:textId="77777777" w:rsidR="00C20063" w:rsidRPr="00BC7DA5" w:rsidRDefault="00C20063" w:rsidP="00DC062C">
            <w:pPr>
              <w:pStyle w:val="08-Tabelageral"/>
              <w:jc w:val="center"/>
              <w:rPr>
                <w:rFonts w:cs="Arial"/>
                <w:b/>
                <w:szCs w:val="14"/>
              </w:rPr>
            </w:pPr>
          </w:p>
        </w:tc>
        <w:tc>
          <w:tcPr>
            <w:tcW w:w="1411" w:type="dxa"/>
            <w:shd w:val="clear" w:color="auto" w:fill="auto"/>
          </w:tcPr>
          <w:p w14:paraId="2A2C7820" w14:textId="77777777" w:rsidR="00C20063" w:rsidRPr="00BC7DA5" w:rsidRDefault="00C20063" w:rsidP="00DC062C">
            <w:pPr>
              <w:pStyle w:val="08-Tabelageral"/>
              <w:rPr>
                <w:rFonts w:cs="Arial"/>
                <w:b/>
                <w:szCs w:val="14"/>
              </w:rPr>
            </w:pPr>
            <w:r>
              <w:rPr>
                <w:rFonts w:cs="Arial"/>
                <w:b/>
                <w:szCs w:val="14"/>
              </w:rPr>
              <w:t>28</w:t>
            </w:r>
          </w:p>
        </w:tc>
        <w:tc>
          <w:tcPr>
            <w:tcW w:w="1412" w:type="dxa"/>
            <w:shd w:val="clear" w:color="auto" w:fill="auto"/>
          </w:tcPr>
          <w:p w14:paraId="07092052" w14:textId="77777777" w:rsidR="00C20063" w:rsidRPr="00BC7DA5" w:rsidRDefault="00C20063" w:rsidP="00DC062C">
            <w:pPr>
              <w:pStyle w:val="08-Tabelageral"/>
              <w:rPr>
                <w:rFonts w:cs="Arial"/>
                <w:b/>
              </w:rPr>
            </w:pPr>
            <w:r>
              <w:rPr>
                <w:rFonts w:cs="Arial"/>
                <w:b/>
              </w:rPr>
              <w:t>12</w:t>
            </w:r>
          </w:p>
        </w:tc>
        <w:tc>
          <w:tcPr>
            <w:tcW w:w="283" w:type="dxa"/>
            <w:shd w:val="clear" w:color="auto" w:fill="auto"/>
          </w:tcPr>
          <w:p w14:paraId="0429A237" w14:textId="77777777" w:rsidR="00C20063" w:rsidRPr="00BC7DA5" w:rsidRDefault="00C20063" w:rsidP="00DC062C">
            <w:pPr>
              <w:pStyle w:val="08-Tabelageral"/>
              <w:rPr>
                <w:rFonts w:cs="Arial"/>
                <w:b/>
                <w:szCs w:val="14"/>
              </w:rPr>
            </w:pPr>
          </w:p>
        </w:tc>
        <w:tc>
          <w:tcPr>
            <w:tcW w:w="1417" w:type="dxa"/>
            <w:shd w:val="clear" w:color="auto" w:fill="auto"/>
          </w:tcPr>
          <w:p w14:paraId="4C40C2D7" w14:textId="77777777" w:rsidR="00C20063" w:rsidRPr="00BC7DA5" w:rsidRDefault="00C20063" w:rsidP="00DC062C">
            <w:pPr>
              <w:pStyle w:val="08-Tabelageral"/>
              <w:rPr>
                <w:rFonts w:cs="Arial"/>
                <w:b/>
                <w:szCs w:val="14"/>
              </w:rPr>
            </w:pPr>
            <w:r>
              <w:rPr>
                <w:rFonts w:cs="Arial"/>
                <w:b/>
                <w:szCs w:val="14"/>
              </w:rPr>
              <w:t>(12)</w:t>
            </w:r>
          </w:p>
        </w:tc>
        <w:tc>
          <w:tcPr>
            <w:tcW w:w="1418" w:type="dxa"/>
            <w:shd w:val="clear" w:color="auto" w:fill="auto"/>
          </w:tcPr>
          <w:p w14:paraId="6B7F880C" w14:textId="77777777" w:rsidR="00C20063" w:rsidRPr="00BC7DA5" w:rsidRDefault="00C20063" w:rsidP="00DC062C">
            <w:pPr>
              <w:pStyle w:val="08-Tabelageral"/>
              <w:rPr>
                <w:rFonts w:cs="Arial"/>
                <w:b/>
                <w:szCs w:val="14"/>
              </w:rPr>
            </w:pPr>
            <w:r>
              <w:rPr>
                <w:rFonts w:cs="Arial"/>
                <w:b/>
                <w:szCs w:val="14"/>
              </w:rPr>
              <w:t>28</w:t>
            </w:r>
          </w:p>
        </w:tc>
      </w:tr>
      <w:tr w:rsidR="00C20063" w:rsidRPr="00BC7DA5" w14:paraId="7D2394DA" w14:textId="77777777" w:rsidTr="00DC062C">
        <w:trPr>
          <w:trHeight w:val="238"/>
        </w:trPr>
        <w:tc>
          <w:tcPr>
            <w:tcW w:w="3094" w:type="dxa"/>
            <w:tcBorders>
              <w:bottom w:val="nil"/>
            </w:tcBorders>
            <w:shd w:val="clear" w:color="auto" w:fill="auto"/>
          </w:tcPr>
          <w:p w14:paraId="248B95B8" w14:textId="77777777" w:rsidR="00C20063" w:rsidRPr="00BC7DA5" w:rsidRDefault="00C20063" w:rsidP="00DC062C">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19FB7C87" w14:textId="77777777" w:rsidR="00C20063" w:rsidRPr="00BC7DA5" w:rsidRDefault="00C20063" w:rsidP="00DC062C">
            <w:pPr>
              <w:pStyle w:val="08-Tabelageral"/>
              <w:jc w:val="center"/>
              <w:rPr>
                <w:rFonts w:cs="Arial"/>
                <w:szCs w:val="14"/>
              </w:rPr>
            </w:pPr>
          </w:p>
        </w:tc>
        <w:tc>
          <w:tcPr>
            <w:tcW w:w="1411" w:type="dxa"/>
            <w:tcBorders>
              <w:bottom w:val="nil"/>
            </w:tcBorders>
            <w:shd w:val="clear" w:color="auto" w:fill="auto"/>
          </w:tcPr>
          <w:p w14:paraId="5FE501DC" w14:textId="77777777" w:rsidR="00C20063" w:rsidRPr="00BC7DA5" w:rsidRDefault="00C20063" w:rsidP="00DC062C">
            <w:pPr>
              <w:pStyle w:val="08-Tabelageral"/>
              <w:rPr>
                <w:rFonts w:cs="Arial"/>
                <w:szCs w:val="14"/>
              </w:rPr>
            </w:pPr>
            <w:r>
              <w:rPr>
                <w:rFonts w:cs="Arial"/>
                <w:szCs w:val="14"/>
              </w:rPr>
              <w:t>20</w:t>
            </w:r>
          </w:p>
        </w:tc>
        <w:tc>
          <w:tcPr>
            <w:tcW w:w="1412" w:type="dxa"/>
            <w:tcBorders>
              <w:bottom w:val="nil"/>
            </w:tcBorders>
            <w:shd w:val="clear" w:color="auto" w:fill="auto"/>
          </w:tcPr>
          <w:p w14:paraId="6F854550" w14:textId="77777777" w:rsidR="00C20063" w:rsidRPr="00BC7DA5" w:rsidRDefault="00C20063" w:rsidP="00DC062C">
            <w:pPr>
              <w:pStyle w:val="08-Tabelageral"/>
              <w:rPr>
                <w:rFonts w:cs="Arial"/>
              </w:rPr>
            </w:pPr>
            <w:r>
              <w:rPr>
                <w:rFonts w:cs="Arial"/>
              </w:rPr>
              <w:t>9</w:t>
            </w:r>
          </w:p>
        </w:tc>
        <w:tc>
          <w:tcPr>
            <w:tcW w:w="283" w:type="dxa"/>
            <w:tcBorders>
              <w:bottom w:val="nil"/>
            </w:tcBorders>
            <w:shd w:val="clear" w:color="auto" w:fill="auto"/>
          </w:tcPr>
          <w:p w14:paraId="66C0F995" w14:textId="77777777" w:rsidR="00C20063" w:rsidRPr="00BC7DA5" w:rsidRDefault="00C20063" w:rsidP="00DC062C">
            <w:pPr>
              <w:pStyle w:val="08-Tabelageral"/>
              <w:rPr>
                <w:rFonts w:cs="Arial"/>
                <w:szCs w:val="14"/>
              </w:rPr>
            </w:pPr>
          </w:p>
        </w:tc>
        <w:tc>
          <w:tcPr>
            <w:tcW w:w="1417" w:type="dxa"/>
            <w:tcBorders>
              <w:bottom w:val="nil"/>
            </w:tcBorders>
            <w:shd w:val="clear" w:color="auto" w:fill="auto"/>
          </w:tcPr>
          <w:p w14:paraId="1433BC26" w14:textId="77777777" w:rsidR="00C20063" w:rsidRPr="00BC7DA5" w:rsidRDefault="00C20063" w:rsidP="00DC062C">
            <w:pPr>
              <w:pStyle w:val="08-Tabelageral"/>
              <w:rPr>
                <w:rFonts w:cs="Arial"/>
                <w:szCs w:val="14"/>
              </w:rPr>
            </w:pPr>
            <w:r>
              <w:rPr>
                <w:rFonts w:cs="Arial"/>
                <w:szCs w:val="14"/>
              </w:rPr>
              <w:t>(9)</w:t>
            </w:r>
          </w:p>
        </w:tc>
        <w:tc>
          <w:tcPr>
            <w:tcW w:w="1418" w:type="dxa"/>
            <w:tcBorders>
              <w:bottom w:val="nil"/>
            </w:tcBorders>
            <w:shd w:val="clear" w:color="auto" w:fill="auto"/>
          </w:tcPr>
          <w:p w14:paraId="1FC5AA50" w14:textId="77777777" w:rsidR="00C20063" w:rsidRPr="00BC7DA5" w:rsidRDefault="00C20063" w:rsidP="00DC062C">
            <w:pPr>
              <w:pStyle w:val="08-Tabelageral"/>
              <w:rPr>
                <w:rFonts w:cs="Arial"/>
                <w:szCs w:val="14"/>
              </w:rPr>
            </w:pPr>
            <w:r>
              <w:rPr>
                <w:rFonts w:cs="Arial"/>
                <w:szCs w:val="14"/>
              </w:rPr>
              <w:t>20</w:t>
            </w:r>
          </w:p>
        </w:tc>
      </w:tr>
      <w:tr w:rsidR="00C20063" w:rsidRPr="00BC7DA5" w14:paraId="28275C9F" w14:textId="77777777" w:rsidTr="00DC062C">
        <w:trPr>
          <w:trHeight w:val="238"/>
        </w:trPr>
        <w:tc>
          <w:tcPr>
            <w:tcW w:w="3094" w:type="dxa"/>
            <w:tcBorders>
              <w:top w:val="nil"/>
              <w:bottom w:val="single" w:sz="2" w:space="0" w:color="1F4E79" w:themeColor="accent1" w:themeShade="80"/>
            </w:tcBorders>
            <w:shd w:val="clear" w:color="auto" w:fill="auto"/>
          </w:tcPr>
          <w:p w14:paraId="59126E92" w14:textId="77777777" w:rsidR="00C20063" w:rsidRPr="00BC7DA5" w:rsidRDefault="00C20063" w:rsidP="00DC062C">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3328CF26" w14:textId="77777777" w:rsidR="00C20063" w:rsidRPr="00BC7DA5" w:rsidRDefault="00C20063" w:rsidP="00DC062C">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3F9FC52A" w14:textId="77777777" w:rsidR="00C20063" w:rsidRPr="00BC7DA5" w:rsidRDefault="00C20063" w:rsidP="00DC062C">
            <w:pPr>
              <w:pStyle w:val="08-Tabelageral"/>
              <w:rPr>
                <w:rFonts w:cs="Arial"/>
                <w:szCs w:val="14"/>
              </w:rPr>
            </w:pPr>
            <w:r>
              <w:rPr>
                <w:rFonts w:cs="Arial"/>
                <w:szCs w:val="14"/>
              </w:rPr>
              <w:t>8</w:t>
            </w:r>
          </w:p>
        </w:tc>
        <w:tc>
          <w:tcPr>
            <w:tcW w:w="1412" w:type="dxa"/>
            <w:tcBorders>
              <w:top w:val="nil"/>
              <w:bottom w:val="single" w:sz="2" w:space="0" w:color="1F4E79" w:themeColor="accent1" w:themeShade="80"/>
            </w:tcBorders>
            <w:shd w:val="clear" w:color="auto" w:fill="auto"/>
          </w:tcPr>
          <w:p w14:paraId="6F5BA65C" w14:textId="77777777" w:rsidR="00C20063" w:rsidRPr="00BC7DA5" w:rsidRDefault="00C20063" w:rsidP="00DC062C">
            <w:pPr>
              <w:pStyle w:val="08-Tabelageral"/>
              <w:rPr>
                <w:rFonts w:cs="Arial"/>
              </w:rPr>
            </w:pPr>
            <w:r>
              <w:rPr>
                <w:rFonts w:cs="Arial"/>
              </w:rPr>
              <w:t>3</w:t>
            </w:r>
          </w:p>
        </w:tc>
        <w:tc>
          <w:tcPr>
            <w:tcW w:w="283" w:type="dxa"/>
            <w:tcBorders>
              <w:top w:val="nil"/>
              <w:bottom w:val="single" w:sz="2" w:space="0" w:color="1F4E79" w:themeColor="accent1" w:themeShade="80"/>
            </w:tcBorders>
            <w:shd w:val="clear" w:color="auto" w:fill="auto"/>
          </w:tcPr>
          <w:p w14:paraId="2A0A09EA" w14:textId="77777777" w:rsidR="00C20063" w:rsidRPr="00BC7DA5" w:rsidRDefault="00C20063" w:rsidP="00DC062C">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5E2B1E76" w14:textId="77777777" w:rsidR="00C20063" w:rsidRPr="00BC7DA5" w:rsidRDefault="00C20063" w:rsidP="00DC062C">
            <w:pPr>
              <w:pStyle w:val="08-Tabelageral"/>
              <w:rPr>
                <w:rFonts w:cs="Arial"/>
                <w:szCs w:val="14"/>
              </w:rPr>
            </w:pPr>
            <w:r>
              <w:rPr>
                <w:rFonts w:cs="Arial"/>
                <w:szCs w:val="14"/>
              </w:rPr>
              <w:t>(3)</w:t>
            </w:r>
          </w:p>
        </w:tc>
        <w:tc>
          <w:tcPr>
            <w:tcW w:w="1418" w:type="dxa"/>
            <w:tcBorders>
              <w:top w:val="nil"/>
              <w:bottom w:val="single" w:sz="2" w:space="0" w:color="1F4E79" w:themeColor="accent1" w:themeShade="80"/>
            </w:tcBorders>
            <w:shd w:val="clear" w:color="auto" w:fill="auto"/>
          </w:tcPr>
          <w:p w14:paraId="373C8782" w14:textId="77777777" w:rsidR="00C20063" w:rsidRPr="00BC7DA5" w:rsidRDefault="00C20063" w:rsidP="00DC062C">
            <w:pPr>
              <w:pStyle w:val="08-Tabelageral"/>
              <w:rPr>
                <w:rFonts w:cs="Arial"/>
                <w:szCs w:val="14"/>
              </w:rPr>
            </w:pPr>
            <w:r>
              <w:rPr>
                <w:rFonts w:cs="Arial"/>
                <w:szCs w:val="14"/>
              </w:rPr>
              <w:t>8</w:t>
            </w:r>
          </w:p>
        </w:tc>
      </w:tr>
    </w:tbl>
    <w:p w14:paraId="091903CD" w14:textId="77777777" w:rsidR="00C20063" w:rsidRDefault="00C20063">
      <w:pPr>
        <w:rPr>
          <w:rFonts w:cs="Arial"/>
          <w:b/>
          <w:color w:val="1F4E79" w:themeColor="accent1" w:themeShade="80"/>
          <w:szCs w:val="18"/>
        </w:rPr>
      </w:pPr>
    </w:p>
    <w:p w14:paraId="1FB38041" w14:textId="77777777" w:rsidR="00C20063" w:rsidRPr="00FF3D4B" w:rsidRDefault="00C20063" w:rsidP="00DC062C">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C20063" w:rsidRPr="00BC7DA5" w14:paraId="6CD3B2CC" w14:textId="77777777" w:rsidTr="00DC062C">
        <w:trPr>
          <w:trHeight w:val="238"/>
        </w:trPr>
        <w:tc>
          <w:tcPr>
            <w:tcW w:w="3094" w:type="dxa"/>
            <w:tcBorders>
              <w:top w:val="single" w:sz="2" w:space="0" w:color="1F4E79" w:themeColor="accent1" w:themeShade="80"/>
              <w:bottom w:val="nil"/>
            </w:tcBorders>
            <w:shd w:val="clear" w:color="auto" w:fill="auto"/>
          </w:tcPr>
          <w:p w14:paraId="444BFA9B" w14:textId="77777777" w:rsidR="00C20063" w:rsidRPr="00BC7DA5" w:rsidRDefault="00C20063" w:rsidP="00DC062C">
            <w:pPr>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31D9E09B" w14:textId="77777777" w:rsidR="00C20063" w:rsidRPr="00BC7DA5" w:rsidRDefault="00C20063" w:rsidP="00DC062C">
            <w:pPr>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0E8A5B0D" w14:textId="77777777" w:rsidR="00C20063" w:rsidRPr="00BC7DA5" w:rsidRDefault="00C20063" w:rsidP="00DC062C">
            <w:pPr>
              <w:spacing w:after="0"/>
              <w:jc w:val="center"/>
              <w:rPr>
                <w:rFonts w:cs="Arial"/>
                <w:b/>
                <w:sz w:val="14"/>
                <w:szCs w:val="14"/>
              </w:rPr>
            </w:pPr>
            <w:r>
              <w:rPr>
                <w:rFonts w:cs="Arial"/>
                <w:b/>
                <w:sz w:val="14"/>
                <w:szCs w:val="14"/>
              </w:rPr>
              <w:t>Consolidated</w:t>
            </w:r>
          </w:p>
        </w:tc>
      </w:tr>
      <w:tr w:rsidR="00C20063" w:rsidRPr="00BC7DA5" w14:paraId="239C3704" w14:textId="77777777" w:rsidTr="00DC062C">
        <w:trPr>
          <w:trHeight w:val="238"/>
        </w:trPr>
        <w:tc>
          <w:tcPr>
            <w:tcW w:w="3094" w:type="dxa"/>
            <w:tcBorders>
              <w:top w:val="nil"/>
              <w:bottom w:val="single" w:sz="2" w:space="0" w:color="1F4E79" w:themeColor="accent1" w:themeShade="80"/>
            </w:tcBorders>
            <w:shd w:val="clear" w:color="auto" w:fill="auto"/>
          </w:tcPr>
          <w:p w14:paraId="107F3B57" w14:textId="77777777" w:rsidR="00C20063" w:rsidRPr="00BC7DA5" w:rsidRDefault="00C20063" w:rsidP="00DC062C">
            <w:pPr>
              <w:pStyle w:val="08-Tabelageral"/>
              <w:rPr>
                <w:rFonts w:cs="Arial"/>
                <w:b/>
              </w:rPr>
            </w:pPr>
          </w:p>
        </w:tc>
        <w:tc>
          <w:tcPr>
            <w:tcW w:w="604" w:type="dxa"/>
            <w:tcBorders>
              <w:top w:val="nil"/>
              <w:bottom w:val="single" w:sz="2" w:space="0" w:color="1F4E79" w:themeColor="accent1" w:themeShade="80"/>
            </w:tcBorders>
            <w:shd w:val="clear" w:color="auto" w:fill="auto"/>
          </w:tcPr>
          <w:p w14:paraId="7C143C90" w14:textId="77777777" w:rsidR="00C20063" w:rsidRPr="00BC7DA5" w:rsidRDefault="00C20063" w:rsidP="00DC062C">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F6456DA" w14:textId="77777777" w:rsidR="00C20063" w:rsidRPr="00504124" w:rsidRDefault="00C20063" w:rsidP="00DC062C">
            <w:pPr>
              <w:pStyle w:val="08-Tabelageral"/>
              <w:rPr>
                <w:rFonts w:cs="Arial"/>
                <w:b/>
              </w:rPr>
            </w:pPr>
            <w:r w:rsidRPr="00504124">
              <w:rPr>
                <w:b/>
              </w:rPr>
              <w:t>Dec 31,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3764AA75" w14:textId="77777777" w:rsidR="00C20063" w:rsidRPr="00504124" w:rsidRDefault="00C20063" w:rsidP="00DC062C">
            <w:pPr>
              <w:pStyle w:val="08-Tabelageral"/>
              <w:rPr>
                <w:rFonts w:cs="Arial"/>
                <w:b/>
              </w:rPr>
            </w:pPr>
            <w:r w:rsidRPr="00504124">
              <w:rPr>
                <w:b/>
              </w:rPr>
              <w:t>Addition</w:t>
            </w:r>
          </w:p>
        </w:tc>
        <w:tc>
          <w:tcPr>
            <w:tcW w:w="283" w:type="dxa"/>
            <w:tcBorders>
              <w:top w:val="single" w:sz="2" w:space="0" w:color="1F4E79" w:themeColor="accent1" w:themeShade="80"/>
              <w:bottom w:val="single" w:sz="2" w:space="0" w:color="1F4E79" w:themeColor="accent1" w:themeShade="80"/>
            </w:tcBorders>
            <w:shd w:val="clear" w:color="auto" w:fill="auto"/>
          </w:tcPr>
          <w:p w14:paraId="2BEC2C5D" w14:textId="77777777" w:rsidR="00C20063" w:rsidRPr="00504124" w:rsidRDefault="00C20063"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1E6EA7CE" w14:textId="77777777" w:rsidR="00C20063" w:rsidRPr="00504124" w:rsidRDefault="00C20063" w:rsidP="00DC062C">
            <w:pPr>
              <w:pStyle w:val="08-Tabelageral"/>
              <w:rPr>
                <w:rFonts w:cs="Arial"/>
                <w:b/>
              </w:rPr>
            </w:pPr>
            <w:r w:rsidRPr="00504124">
              <w:rPr>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tcPr>
          <w:p w14:paraId="16285045" w14:textId="77777777" w:rsidR="00C20063" w:rsidRPr="00504124" w:rsidRDefault="00C20063" w:rsidP="00DC062C">
            <w:pPr>
              <w:pStyle w:val="08-Tabelageral"/>
              <w:rPr>
                <w:rFonts w:cs="Arial"/>
                <w:b/>
              </w:rPr>
            </w:pPr>
            <w:r>
              <w:rPr>
                <w:b/>
              </w:rPr>
              <w:t>Mar</w:t>
            </w:r>
            <w:r w:rsidRPr="00504124">
              <w:rPr>
                <w:b/>
              </w:rPr>
              <w:t xml:space="preserve"> 3</w:t>
            </w:r>
            <w:r>
              <w:rPr>
                <w:b/>
              </w:rPr>
              <w:t>1</w:t>
            </w:r>
            <w:r w:rsidRPr="00504124">
              <w:rPr>
                <w:b/>
              </w:rPr>
              <w:t>, 202</w:t>
            </w:r>
            <w:r>
              <w:rPr>
                <w:b/>
              </w:rPr>
              <w:t>3</w:t>
            </w:r>
          </w:p>
        </w:tc>
      </w:tr>
      <w:tr w:rsidR="00C20063" w:rsidRPr="00BC7DA5" w14:paraId="1F61ACCD" w14:textId="77777777" w:rsidTr="00DC062C">
        <w:trPr>
          <w:trHeight w:val="238"/>
        </w:trPr>
        <w:tc>
          <w:tcPr>
            <w:tcW w:w="3094" w:type="dxa"/>
            <w:tcBorders>
              <w:top w:val="single" w:sz="2" w:space="0" w:color="1F4E79" w:themeColor="accent1" w:themeShade="80"/>
            </w:tcBorders>
            <w:shd w:val="clear" w:color="auto" w:fill="auto"/>
          </w:tcPr>
          <w:p w14:paraId="3AF76706" w14:textId="77777777" w:rsidR="00C20063" w:rsidRPr="00BC7DA5" w:rsidRDefault="00C20063" w:rsidP="00DC062C">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tcBorders>
            <w:shd w:val="clear" w:color="auto" w:fill="auto"/>
          </w:tcPr>
          <w:p w14:paraId="40383176" w14:textId="77777777" w:rsidR="00C20063" w:rsidRPr="00BC7DA5" w:rsidRDefault="00C20063" w:rsidP="00DC062C">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46CE655E" w14:textId="77777777" w:rsidR="00C20063" w:rsidRPr="00BC7DA5" w:rsidRDefault="00C20063" w:rsidP="00DC062C">
            <w:pPr>
              <w:pStyle w:val="08-Tabelageral"/>
              <w:rPr>
                <w:rFonts w:cs="Arial"/>
                <w:b/>
                <w:bCs/>
                <w:szCs w:val="14"/>
              </w:rPr>
            </w:pPr>
          </w:p>
        </w:tc>
        <w:tc>
          <w:tcPr>
            <w:tcW w:w="1412" w:type="dxa"/>
            <w:tcBorders>
              <w:top w:val="single" w:sz="2" w:space="0" w:color="1F4E79" w:themeColor="accent1" w:themeShade="80"/>
            </w:tcBorders>
            <w:shd w:val="clear" w:color="auto" w:fill="auto"/>
          </w:tcPr>
          <w:p w14:paraId="77139765" w14:textId="77777777" w:rsidR="00C20063" w:rsidRPr="00BC7DA5" w:rsidRDefault="00C20063" w:rsidP="00DC062C">
            <w:pPr>
              <w:pStyle w:val="08-Tabelageral"/>
              <w:rPr>
                <w:rFonts w:cs="Arial"/>
                <w:b/>
                <w:bCs/>
                <w:szCs w:val="14"/>
              </w:rPr>
            </w:pPr>
          </w:p>
        </w:tc>
        <w:tc>
          <w:tcPr>
            <w:tcW w:w="283" w:type="dxa"/>
            <w:tcBorders>
              <w:top w:val="single" w:sz="2" w:space="0" w:color="1F4E79" w:themeColor="accent1" w:themeShade="80"/>
            </w:tcBorders>
            <w:shd w:val="clear" w:color="auto" w:fill="auto"/>
          </w:tcPr>
          <w:p w14:paraId="45A3EC23" w14:textId="77777777" w:rsidR="00C20063" w:rsidRPr="00BC7DA5" w:rsidRDefault="00C20063" w:rsidP="00DC062C">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3CA6CAAA" w14:textId="77777777" w:rsidR="00C20063" w:rsidRPr="00BC7DA5" w:rsidRDefault="00C20063" w:rsidP="00DC062C">
            <w:pPr>
              <w:pStyle w:val="08-Tabelageral"/>
              <w:jc w:val="left"/>
              <w:rPr>
                <w:rFonts w:cs="Arial"/>
                <w:b/>
                <w:bCs/>
                <w:szCs w:val="14"/>
              </w:rPr>
            </w:pPr>
          </w:p>
        </w:tc>
        <w:tc>
          <w:tcPr>
            <w:tcW w:w="1418" w:type="dxa"/>
            <w:tcBorders>
              <w:top w:val="single" w:sz="2" w:space="0" w:color="1F4E79" w:themeColor="accent1" w:themeShade="80"/>
            </w:tcBorders>
            <w:shd w:val="clear" w:color="auto" w:fill="auto"/>
          </w:tcPr>
          <w:p w14:paraId="65B9AE54" w14:textId="77777777" w:rsidR="00C20063" w:rsidRPr="00BC7DA5" w:rsidRDefault="00C20063" w:rsidP="00DC062C">
            <w:pPr>
              <w:pStyle w:val="08-Tabelageral"/>
              <w:rPr>
                <w:rFonts w:cs="Arial"/>
                <w:b/>
                <w:bCs/>
                <w:szCs w:val="14"/>
              </w:rPr>
            </w:pPr>
          </w:p>
        </w:tc>
      </w:tr>
      <w:tr w:rsidR="00C20063" w:rsidRPr="00BC7DA5" w14:paraId="5F3C7B56" w14:textId="77777777" w:rsidTr="00DC062C">
        <w:trPr>
          <w:trHeight w:val="238"/>
        </w:trPr>
        <w:tc>
          <w:tcPr>
            <w:tcW w:w="3094" w:type="dxa"/>
            <w:shd w:val="clear" w:color="auto" w:fill="auto"/>
          </w:tcPr>
          <w:p w14:paraId="012EF79D" w14:textId="77777777" w:rsidR="00C20063" w:rsidRPr="00BC7DA5" w:rsidRDefault="00C20063" w:rsidP="00DC062C">
            <w:pPr>
              <w:pStyle w:val="08-Tabelageral"/>
              <w:ind w:left="113"/>
              <w:jc w:val="left"/>
              <w:rPr>
                <w:rFonts w:cs="Arial"/>
                <w:szCs w:val="14"/>
              </w:rPr>
            </w:pPr>
            <w:r>
              <w:rPr>
                <w:rFonts w:cs="Arial"/>
                <w:szCs w:val="14"/>
              </w:rPr>
              <w:t>Liabilities provision</w:t>
            </w:r>
          </w:p>
        </w:tc>
        <w:tc>
          <w:tcPr>
            <w:tcW w:w="604" w:type="dxa"/>
            <w:shd w:val="clear" w:color="auto" w:fill="auto"/>
          </w:tcPr>
          <w:p w14:paraId="01DDEBED" w14:textId="77777777" w:rsidR="00C20063" w:rsidRPr="00BC7DA5" w:rsidRDefault="00C20063" w:rsidP="00DC062C">
            <w:pPr>
              <w:pStyle w:val="08-Tabelageral"/>
              <w:ind w:left="113"/>
              <w:jc w:val="center"/>
              <w:rPr>
                <w:rFonts w:cs="Arial"/>
                <w:szCs w:val="14"/>
              </w:rPr>
            </w:pPr>
          </w:p>
        </w:tc>
        <w:tc>
          <w:tcPr>
            <w:tcW w:w="1411" w:type="dxa"/>
            <w:shd w:val="clear" w:color="auto" w:fill="auto"/>
          </w:tcPr>
          <w:p w14:paraId="39B084D1" w14:textId="77777777" w:rsidR="00C20063" w:rsidRPr="00BC7DA5" w:rsidRDefault="00C20063" w:rsidP="00DC062C">
            <w:pPr>
              <w:pStyle w:val="08-Tabelageral"/>
              <w:ind w:left="113"/>
              <w:rPr>
                <w:rFonts w:cs="Arial"/>
                <w:szCs w:val="14"/>
              </w:rPr>
            </w:pPr>
            <w:r>
              <w:rPr>
                <w:rFonts w:cs="Arial"/>
                <w:szCs w:val="14"/>
              </w:rPr>
              <w:t>4,720</w:t>
            </w:r>
          </w:p>
        </w:tc>
        <w:tc>
          <w:tcPr>
            <w:tcW w:w="1412" w:type="dxa"/>
            <w:shd w:val="clear" w:color="auto" w:fill="auto"/>
          </w:tcPr>
          <w:p w14:paraId="43E42139" w14:textId="77777777" w:rsidR="00C20063" w:rsidRPr="00BC7DA5" w:rsidRDefault="00C20063" w:rsidP="00DC062C">
            <w:pPr>
              <w:pStyle w:val="08-Tabelageral"/>
              <w:ind w:left="113"/>
              <w:rPr>
                <w:rFonts w:cs="Arial"/>
              </w:rPr>
            </w:pPr>
            <w:r>
              <w:rPr>
                <w:rFonts w:cs="Arial"/>
              </w:rPr>
              <w:t>731</w:t>
            </w:r>
          </w:p>
        </w:tc>
        <w:tc>
          <w:tcPr>
            <w:tcW w:w="283" w:type="dxa"/>
            <w:shd w:val="clear" w:color="auto" w:fill="auto"/>
          </w:tcPr>
          <w:p w14:paraId="21DB6A64" w14:textId="77777777" w:rsidR="00C20063" w:rsidRPr="00BC7DA5" w:rsidRDefault="00C20063" w:rsidP="00DC062C">
            <w:pPr>
              <w:pStyle w:val="08-Tabelageral"/>
              <w:ind w:left="113"/>
              <w:rPr>
                <w:rFonts w:cs="Arial"/>
                <w:szCs w:val="14"/>
              </w:rPr>
            </w:pPr>
          </w:p>
        </w:tc>
        <w:tc>
          <w:tcPr>
            <w:tcW w:w="1417" w:type="dxa"/>
            <w:shd w:val="clear" w:color="auto" w:fill="auto"/>
          </w:tcPr>
          <w:p w14:paraId="798D3A44" w14:textId="77777777" w:rsidR="00C20063" w:rsidRPr="00BC7DA5" w:rsidRDefault="00C20063" w:rsidP="00DC062C">
            <w:pPr>
              <w:pStyle w:val="08-Tabelageral"/>
              <w:ind w:left="113"/>
              <w:rPr>
                <w:rFonts w:cs="Arial"/>
                <w:szCs w:val="14"/>
              </w:rPr>
            </w:pPr>
            <w:r>
              <w:rPr>
                <w:rFonts w:cs="Arial"/>
                <w:szCs w:val="14"/>
              </w:rPr>
              <w:t>(236)</w:t>
            </w:r>
          </w:p>
        </w:tc>
        <w:tc>
          <w:tcPr>
            <w:tcW w:w="1418" w:type="dxa"/>
            <w:shd w:val="clear" w:color="auto" w:fill="auto"/>
          </w:tcPr>
          <w:p w14:paraId="3A014EE5" w14:textId="77777777" w:rsidR="00C20063" w:rsidRPr="00BC7DA5" w:rsidRDefault="00C20063" w:rsidP="00DC062C">
            <w:pPr>
              <w:pStyle w:val="08-Tabelageral"/>
              <w:ind w:left="113"/>
              <w:rPr>
                <w:rFonts w:cs="Arial"/>
                <w:szCs w:val="14"/>
              </w:rPr>
            </w:pPr>
            <w:r>
              <w:rPr>
                <w:rFonts w:cs="Arial"/>
                <w:szCs w:val="14"/>
              </w:rPr>
              <w:t>5,215</w:t>
            </w:r>
          </w:p>
        </w:tc>
      </w:tr>
      <w:tr w:rsidR="00C20063" w:rsidRPr="00BC7DA5" w14:paraId="782A71D2" w14:textId="77777777" w:rsidTr="00DC062C">
        <w:trPr>
          <w:trHeight w:val="238"/>
        </w:trPr>
        <w:tc>
          <w:tcPr>
            <w:tcW w:w="3094" w:type="dxa"/>
            <w:shd w:val="clear" w:color="auto" w:fill="auto"/>
          </w:tcPr>
          <w:p w14:paraId="2E546B69" w14:textId="77777777" w:rsidR="00C20063" w:rsidRPr="00BC7DA5" w:rsidRDefault="00C20063" w:rsidP="00DC062C">
            <w:pPr>
              <w:pStyle w:val="08-Tabelageral"/>
              <w:ind w:left="113"/>
              <w:jc w:val="left"/>
              <w:rPr>
                <w:rFonts w:cs="Arial"/>
                <w:szCs w:val="14"/>
              </w:rPr>
            </w:pPr>
            <w:r w:rsidRPr="00EB1176">
              <w:rPr>
                <w:rFonts w:cs="Arial"/>
                <w:szCs w:val="14"/>
              </w:rPr>
              <w:t>Amortization of goodwill</w:t>
            </w:r>
          </w:p>
        </w:tc>
        <w:tc>
          <w:tcPr>
            <w:tcW w:w="604" w:type="dxa"/>
            <w:shd w:val="clear" w:color="auto" w:fill="auto"/>
          </w:tcPr>
          <w:p w14:paraId="77A95476" w14:textId="77777777" w:rsidR="00C20063" w:rsidRPr="00BC7DA5" w:rsidRDefault="00C20063" w:rsidP="00DC062C">
            <w:pPr>
              <w:pStyle w:val="08-Tabelageral"/>
              <w:ind w:left="113"/>
              <w:jc w:val="center"/>
              <w:rPr>
                <w:rFonts w:cs="Arial"/>
                <w:szCs w:val="14"/>
              </w:rPr>
            </w:pPr>
          </w:p>
        </w:tc>
        <w:tc>
          <w:tcPr>
            <w:tcW w:w="1411" w:type="dxa"/>
            <w:shd w:val="clear" w:color="auto" w:fill="auto"/>
          </w:tcPr>
          <w:p w14:paraId="361A3159" w14:textId="77777777" w:rsidR="00C20063" w:rsidRPr="00BC7DA5" w:rsidRDefault="00C20063" w:rsidP="00DC062C">
            <w:pPr>
              <w:pStyle w:val="08-Tabelageral"/>
              <w:ind w:left="113"/>
              <w:rPr>
                <w:rFonts w:cs="Arial"/>
                <w:szCs w:val="14"/>
              </w:rPr>
            </w:pPr>
            <w:r>
              <w:rPr>
                <w:rFonts w:cs="Arial"/>
                <w:szCs w:val="14"/>
              </w:rPr>
              <w:t>3,053</w:t>
            </w:r>
          </w:p>
        </w:tc>
        <w:tc>
          <w:tcPr>
            <w:tcW w:w="1412" w:type="dxa"/>
            <w:shd w:val="clear" w:color="auto" w:fill="auto"/>
          </w:tcPr>
          <w:p w14:paraId="25E3EE30" w14:textId="77777777" w:rsidR="00C20063" w:rsidRPr="00BC7DA5" w:rsidRDefault="00C20063" w:rsidP="00DC062C">
            <w:pPr>
              <w:pStyle w:val="08-Tabelageral"/>
              <w:ind w:left="113"/>
              <w:rPr>
                <w:rFonts w:cs="Arial"/>
              </w:rPr>
            </w:pPr>
            <w:r>
              <w:rPr>
                <w:rFonts w:cs="Arial"/>
              </w:rPr>
              <w:t>--</w:t>
            </w:r>
          </w:p>
        </w:tc>
        <w:tc>
          <w:tcPr>
            <w:tcW w:w="283" w:type="dxa"/>
            <w:shd w:val="clear" w:color="auto" w:fill="auto"/>
          </w:tcPr>
          <w:p w14:paraId="34356C86" w14:textId="77777777" w:rsidR="00C20063" w:rsidRPr="00BC7DA5" w:rsidRDefault="00C20063" w:rsidP="00DC062C">
            <w:pPr>
              <w:pStyle w:val="08-Tabelageral"/>
              <w:ind w:left="113"/>
              <w:rPr>
                <w:rFonts w:cs="Arial"/>
                <w:szCs w:val="14"/>
              </w:rPr>
            </w:pPr>
          </w:p>
        </w:tc>
        <w:tc>
          <w:tcPr>
            <w:tcW w:w="1417" w:type="dxa"/>
            <w:shd w:val="clear" w:color="auto" w:fill="auto"/>
          </w:tcPr>
          <w:p w14:paraId="0091164B" w14:textId="77777777" w:rsidR="00C20063" w:rsidRPr="00BC7DA5" w:rsidRDefault="00C20063" w:rsidP="00DC062C">
            <w:pPr>
              <w:pStyle w:val="08-Tabelageral"/>
              <w:ind w:left="113"/>
              <w:rPr>
                <w:rFonts w:cs="Arial"/>
                <w:szCs w:val="14"/>
              </w:rPr>
            </w:pPr>
            <w:r>
              <w:rPr>
                <w:rFonts w:cs="Arial"/>
                <w:szCs w:val="14"/>
              </w:rPr>
              <w:t>--</w:t>
            </w:r>
          </w:p>
        </w:tc>
        <w:tc>
          <w:tcPr>
            <w:tcW w:w="1418" w:type="dxa"/>
            <w:shd w:val="clear" w:color="auto" w:fill="auto"/>
          </w:tcPr>
          <w:p w14:paraId="5910E4E8" w14:textId="77777777" w:rsidR="00C20063" w:rsidRPr="00BC7DA5" w:rsidRDefault="00C20063" w:rsidP="00DC062C">
            <w:pPr>
              <w:pStyle w:val="08-Tabelageral"/>
              <w:ind w:left="113"/>
              <w:rPr>
                <w:rFonts w:cs="Arial"/>
                <w:szCs w:val="14"/>
              </w:rPr>
            </w:pPr>
            <w:r>
              <w:rPr>
                <w:rFonts w:cs="Arial"/>
                <w:szCs w:val="14"/>
              </w:rPr>
              <w:t>3,053</w:t>
            </w:r>
          </w:p>
        </w:tc>
      </w:tr>
      <w:tr w:rsidR="00C20063" w:rsidRPr="00BC7DA5" w14:paraId="34CD341F" w14:textId="77777777" w:rsidTr="00DC062C">
        <w:trPr>
          <w:trHeight w:val="238"/>
        </w:trPr>
        <w:tc>
          <w:tcPr>
            <w:tcW w:w="3094" w:type="dxa"/>
            <w:shd w:val="clear" w:color="auto" w:fill="auto"/>
          </w:tcPr>
          <w:p w14:paraId="0F5D6CEB" w14:textId="77777777" w:rsidR="00C20063" w:rsidRPr="00BC7DA5" w:rsidRDefault="00C20063" w:rsidP="00DC062C">
            <w:pPr>
              <w:pStyle w:val="08-Tabelageral"/>
              <w:jc w:val="left"/>
              <w:rPr>
                <w:rFonts w:cs="Arial"/>
                <w:b/>
              </w:rPr>
            </w:pPr>
            <w:r w:rsidRPr="003B22A9">
              <w:rPr>
                <w:rFonts w:cs="Arial"/>
                <w:b/>
              </w:rPr>
              <w:t>Total deferred tax assets</w:t>
            </w:r>
          </w:p>
        </w:tc>
        <w:tc>
          <w:tcPr>
            <w:tcW w:w="604" w:type="dxa"/>
            <w:shd w:val="clear" w:color="auto" w:fill="auto"/>
          </w:tcPr>
          <w:p w14:paraId="0E282EF1" w14:textId="77777777" w:rsidR="00C20063" w:rsidRPr="00BC7DA5" w:rsidRDefault="00C20063" w:rsidP="00DC062C">
            <w:pPr>
              <w:pStyle w:val="08-Tabelageral"/>
              <w:jc w:val="center"/>
              <w:rPr>
                <w:rFonts w:cs="Arial"/>
                <w:b/>
                <w:szCs w:val="14"/>
              </w:rPr>
            </w:pPr>
          </w:p>
        </w:tc>
        <w:tc>
          <w:tcPr>
            <w:tcW w:w="1411" w:type="dxa"/>
            <w:shd w:val="clear" w:color="auto" w:fill="auto"/>
          </w:tcPr>
          <w:p w14:paraId="369D968A" w14:textId="77777777" w:rsidR="00C20063" w:rsidRPr="00BC7DA5" w:rsidRDefault="00C20063" w:rsidP="00DC062C">
            <w:pPr>
              <w:pStyle w:val="08-Tabelageral"/>
              <w:rPr>
                <w:rFonts w:cs="Arial"/>
                <w:b/>
                <w:szCs w:val="14"/>
              </w:rPr>
            </w:pPr>
            <w:r>
              <w:rPr>
                <w:rFonts w:cs="Arial"/>
                <w:b/>
                <w:szCs w:val="14"/>
              </w:rPr>
              <w:t>7,773</w:t>
            </w:r>
          </w:p>
        </w:tc>
        <w:tc>
          <w:tcPr>
            <w:tcW w:w="1412" w:type="dxa"/>
            <w:shd w:val="clear" w:color="auto" w:fill="auto"/>
          </w:tcPr>
          <w:p w14:paraId="56A4EE71" w14:textId="77777777" w:rsidR="00C20063" w:rsidRPr="00BC7DA5" w:rsidRDefault="00C20063" w:rsidP="00DC062C">
            <w:pPr>
              <w:pStyle w:val="08-Tabelageral"/>
              <w:rPr>
                <w:rFonts w:cs="Arial"/>
                <w:b/>
              </w:rPr>
            </w:pPr>
            <w:r>
              <w:rPr>
                <w:rFonts w:cs="Arial"/>
                <w:b/>
              </w:rPr>
              <w:t>731</w:t>
            </w:r>
          </w:p>
        </w:tc>
        <w:tc>
          <w:tcPr>
            <w:tcW w:w="283" w:type="dxa"/>
            <w:shd w:val="clear" w:color="auto" w:fill="auto"/>
          </w:tcPr>
          <w:p w14:paraId="105C5BBE" w14:textId="77777777" w:rsidR="00C20063" w:rsidRPr="00BC7DA5" w:rsidRDefault="00C20063" w:rsidP="00DC062C">
            <w:pPr>
              <w:pStyle w:val="08-Tabelageral"/>
              <w:rPr>
                <w:rFonts w:cs="Arial"/>
                <w:b/>
                <w:szCs w:val="14"/>
              </w:rPr>
            </w:pPr>
          </w:p>
        </w:tc>
        <w:tc>
          <w:tcPr>
            <w:tcW w:w="1417" w:type="dxa"/>
            <w:shd w:val="clear" w:color="auto" w:fill="auto"/>
          </w:tcPr>
          <w:p w14:paraId="423830B6" w14:textId="77777777" w:rsidR="00C20063" w:rsidRPr="00BC7DA5" w:rsidRDefault="00C20063" w:rsidP="00DC062C">
            <w:pPr>
              <w:pStyle w:val="08-Tabelageral"/>
              <w:rPr>
                <w:rFonts w:cs="Arial"/>
                <w:b/>
                <w:szCs w:val="14"/>
              </w:rPr>
            </w:pPr>
            <w:r>
              <w:rPr>
                <w:rFonts w:cs="Arial"/>
                <w:b/>
                <w:szCs w:val="14"/>
              </w:rPr>
              <w:t>(236)</w:t>
            </w:r>
          </w:p>
        </w:tc>
        <w:tc>
          <w:tcPr>
            <w:tcW w:w="1418" w:type="dxa"/>
            <w:shd w:val="clear" w:color="auto" w:fill="auto"/>
          </w:tcPr>
          <w:p w14:paraId="00B181CD" w14:textId="77777777" w:rsidR="00C20063" w:rsidRPr="00BC7DA5" w:rsidRDefault="00C20063" w:rsidP="00DC062C">
            <w:pPr>
              <w:pStyle w:val="08-Tabelageral"/>
              <w:rPr>
                <w:rFonts w:cs="Arial"/>
                <w:b/>
                <w:szCs w:val="14"/>
              </w:rPr>
            </w:pPr>
            <w:r>
              <w:rPr>
                <w:rFonts w:cs="Arial"/>
                <w:b/>
                <w:szCs w:val="14"/>
              </w:rPr>
              <w:t>8,268</w:t>
            </w:r>
          </w:p>
        </w:tc>
      </w:tr>
      <w:tr w:rsidR="00C20063" w:rsidRPr="00BC7DA5" w14:paraId="1E707A9E" w14:textId="77777777" w:rsidTr="00DC062C">
        <w:trPr>
          <w:trHeight w:val="238"/>
        </w:trPr>
        <w:tc>
          <w:tcPr>
            <w:tcW w:w="3094" w:type="dxa"/>
            <w:tcBorders>
              <w:bottom w:val="nil"/>
            </w:tcBorders>
            <w:shd w:val="clear" w:color="auto" w:fill="auto"/>
          </w:tcPr>
          <w:p w14:paraId="3F5547E7" w14:textId="77777777" w:rsidR="00C20063" w:rsidRPr="00BC7DA5" w:rsidRDefault="00C20063" w:rsidP="00DC062C">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45B44890" w14:textId="77777777" w:rsidR="00C20063" w:rsidRPr="00BC7DA5" w:rsidRDefault="00C20063" w:rsidP="00DC062C">
            <w:pPr>
              <w:pStyle w:val="08-Tabelageral"/>
              <w:jc w:val="center"/>
              <w:rPr>
                <w:rFonts w:cs="Arial"/>
                <w:szCs w:val="14"/>
              </w:rPr>
            </w:pPr>
          </w:p>
        </w:tc>
        <w:tc>
          <w:tcPr>
            <w:tcW w:w="1411" w:type="dxa"/>
            <w:tcBorders>
              <w:bottom w:val="nil"/>
            </w:tcBorders>
            <w:shd w:val="clear" w:color="auto" w:fill="auto"/>
          </w:tcPr>
          <w:p w14:paraId="3050A42A" w14:textId="77777777" w:rsidR="00C20063" w:rsidRPr="00BC7DA5" w:rsidRDefault="00C20063" w:rsidP="00DC062C">
            <w:pPr>
              <w:pStyle w:val="08-Tabelageral"/>
              <w:rPr>
                <w:rFonts w:cs="Arial"/>
                <w:szCs w:val="14"/>
              </w:rPr>
            </w:pPr>
            <w:r>
              <w:rPr>
                <w:rFonts w:cs="Arial"/>
                <w:szCs w:val="14"/>
              </w:rPr>
              <w:t>6,521</w:t>
            </w:r>
          </w:p>
        </w:tc>
        <w:tc>
          <w:tcPr>
            <w:tcW w:w="1412" w:type="dxa"/>
            <w:tcBorders>
              <w:bottom w:val="nil"/>
            </w:tcBorders>
            <w:shd w:val="clear" w:color="auto" w:fill="auto"/>
          </w:tcPr>
          <w:p w14:paraId="20B6AFA8" w14:textId="77777777" w:rsidR="00C20063" w:rsidRPr="00BC7DA5" w:rsidRDefault="00C20063" w:rsidP="00DC062C">
            <w:pPr>
              <w:pStyle w:val="08-Tabelageral"/>
              <w:rPr>
                <w:rFonts w:cs="Arial"/>
              </w:rPr>
            </w:pPr>
            <w:r>
              <w:rPr>
                <w:rFonts w:cs="Arial"/>
              </w:rPr>
              <w:t>537</w:t>
            </w:r>
          </w:p>
        </w:tc>
        <w:tc>
          <w:tcPr>
            <w:tcW w:w="283" w:type="dxa"/>
            <w:tcBorders>
              <w:bottom w:val="nil"/>
            </w:tcBorders>
            <w:shd w:val="clear" w:color="auto" w:fill="auto"/>
          </w:tcPr>
          <w:p w14:paraId="1B7D960D" w14:textId="77777777" w:rsidR="00C20063" w:rsidRPr="00BC7DA5" w:rsidRDefault="00C20063" w:rsidP="00DC062C">
            <w:pPr>
              <w:pStyle w:val="08-Tabelageral"/>
              <w:rPr>
                <w:rFonts w:cs="Arial"/>
                <w:szCs w:val="14"/>
              </w:rPr>
            </w:pPr>
          </w:p>
        </w:tc>
        <w:tc>
          <w:tcPr>
            <w:tcW w:w="1417" w:type="dxa"/>
            <w:tcBorders>
              <w:bottom w:val="nil"/>
            </w:tcBorders>
            <w:shd w:val="clear" w:color="auto" w:fill="auto"/>
          </w:tcPr>
          <w:p w14:paraId="3BF23848" w14:textId="77777777" w:rsidR="00C20063" w:rsidRPr="00BC7DA5" w:rsidRDefault="00C20063" w:rsidP="00DC062C">
            <w:pPr>
              <w:pStyle w:val="08-Tabelageral"/>
              <w:rPr>
                <w:rFonts w:cs="Arial"/>
                <w:szCs w:val="14"/>
              </w:rPr>
            </w:pPr>
            <w:r>
              <w:rPr>
                <w:rFonts w:cs="Arial"/>
                <w:szCs w:val="14"/>
              </w:rPr>
              <w:t>(174)</w:t>
            </w:r>
          </w:p>
        </w:tc>
        <w:tc>
          <w:tcPr>
            <w:tcW w:w="1418" w:type="dxa"/>
            <w:tcBorders>
              <w:bottom w:val="nil"/>
            </w:tcBorders>
            <w:shd w:val="clear" w:color="auto" w:fill="auto"/>
          </w:tcPr>
          <w:p w14:paraId="5665E78A" w14:textId="77777777" w:rsidR="00C20063" w:rsidRPr="00BC7DA5" w:rsidRDefault="00C20063" w:rsidP="00DC062C">
            <w:pPr>
              <w:pStyle w:val="08-Tabelageral"/>
              <w:rPr>
                <w:rFonts w:cs="Arial"/>
                <w:szCs w:val="14"/>
              </w:rPr>
            </w:pPr>
            <w:r>
              <w:rPr>
                <w:rFonts w:cs="Arial"/>
                <w:szCs w:val="14"/>
              </w:rPr>
              <w:t>6,884</w:t>
            </w:r>
          </w:p>
        </w:tc>
      </w:tr>
      <w:tr w:rsidR="00C20063" w:rsidRPr="00BC7DA5" w14:paraId="4859BA66" w14:textId="77777777" w:rsidTr="00DC062C">
        <w:trPr>
          <w:trHeight w:val="238"/>
        </w:trPr>
        <w:tc>
          <w:tcPr>
            <w:tcW w:w="3094" w:type="dxa"/>
            <w:tcBorders>
              <w:top w:val="nil"/>
              <w:bottom w:val="single" w:sz="2" w:space="0" w:color="1F4E79" w:themeColor="accent1" w:themeShade="80"/>
            </w:tcBorders>
            <w:shd w:val="clear" w:color="auto" w:fill="auto"/>
          </w:tcPr>
          <w:p w14:paraId="5C1CBEF0" w14:textId="77777777" w:rsidR="00C20063" w:rsidRPr="00BC7DA5" w:rsidRDefault="00C20063" w:rsidP="00DC062C">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55D5D839" w14:textId="77777777" w:rsidR="00C20063" w:rsidRPr="00BC7DA5" w:rsidRDefault="00C20063" w:rsidP="00DC062C">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07D4F726" w14:textId="77777777" w:rsidR="00C20063" w:rsidRPr="00BC7DA5" w:rsidRDefault="00C20063" w:rsidP="00DC062C">
            <w:pPr>
              <w:pStyle w:val="08-Tabelageral"/>
              <w:rPr>
                <w:rFonts w:cs="Arial"/>
                <w:szCs w:val="14"/>
              </w:rPr>
            </w:pPr>
            <w:r>
              <w:rPr>
                <w:rFonts w:cs="Arial"/>
                <w:szCs w:val="14"/>
              </w:rPr>
              <w:t>1,252</w:t>
            </w:r>
          </w:p>
        </w:tc>
        <w:tc>
          <w:tcPr>
            <w:tcW w:w="1412" w:type="dxa"/>
            <w:tcBorders>
              <w:top w:val="nil"/>
              <w:bottom w:val="single" w:sz="2" w:space="0" w:color="1F4E79" w:themeColor="accent1" w:themeShade="80"/>
            </w:tcBorders>
            <w:shd w:val="clear" w:color="auto" w:fill="auto"/>
          </w:tcPr>
          <w:p w14:paraId="101A2AA0" w14:textId="77777777" w:rsidR="00C20063" w:rsidRPr="00BC7DA5" w:rsidRDefault="00C20063" w:rsidP="00DC062C">
            <w:pPr>
              <w:pStyle w:val="08-Tabelageral"/>
              <w:rPr>
                <w:rFonts w:cs="Arial"/>
              </w:rPr>
            </w:pPr>
            <w:r>
              <w:rPr>
                <w:rFonts w:cs="Arial"/>
              </w:rPr>
              <w:t>194</w:t>
            </w:r>
          </w:p>
        </w:tc>
        <w:tc>
          <w:tcPr>
            <w:tcW w:w="283" w:type="dxa"/>
            <w:tcBorders>
              <w:top w:val="nil"/>
              <w:bottom w:val="single" w:sz="2" w:space="0" w:color="1F4E79" w:themeColor="accent1" w:themeShade="80"/>
            </w:tcBorders>
            <w:shd w:val="clear" w:color="auto" w:fill="auto"/>
          </w:tcPr>
          <w:p w14:paraId="56E1E9FB" w14:textId="77777777" w:rsidR="00C20063" w:rsidRPr="00BC7DA5" w:rsidRDefault="00C20063" w:rsidP="00DC062C">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33DA2251" w14:textId="77777777" w:rsidR="00C20063" w:rsidRPr="00BC7DA5" w:rsidRDefault="00C20063" w:rsidP="00DC062C">
            <w:pPr>
              <w:pStyle w:val="08-Tabelageral"/>
              <w:rPr>
                <w:rFonts w:cs="Arial"/>
                <w:szCs w:val="14"/>
              </w:rPr>
            </w:pPr>
            <w:r>
              <w:rPr>
                <w:rFonts w:cs="Arial"/>
                <w:szCs w:val="14"/>
              </w:rPr>
              <w:t>(62)</w:t>
            </w:r>
          </w:p>
        </w:tc>
        <w:tc>
          <w:tcPr>
            <w:tcW w:w="1418" w:type="dxa"/>
            <w:tcBorders>
              <w:top w:val="nil"/>
              <w:bottom w:val="single" w:sz="2" w:space="0" w:color="1F4E79" w:themeColor="accent1" w:themeShade="80"/>
            </w:tcBorders>
            <w:shd w:val="clear" w:color="auto" w:fill="auto"/>
          </w:tcPr>
          <w:p w14:paraId="526358FD" w14:textId="77777777" w:rsidR="00C20063" w:rsidRPr="00BC7DA5" w:rsidRDefault="00C20063" w:rsidP="00DC062C">
            <w:pPr>
              <w:pStyle w:val="08-Tabelageral"/>
              <w:rPr>
                <w:rFonts w:cs="Arial"/>
                <w:szCs w:val="14"/>
              </w:rPr>
            </w:pPr>
            <w:r>
              <w:rPr>
                <w:rFonts w:cs="Arial"/>
                <w:szCs w:val="14"/>
              </w:rPr>
              <w:t>1,384</w:t>
            </w:r>
          </w:p>
        </w:tc>
      </w:tr>
    </w:tbl>
    <w:p w14:paraId="3550C8C0" w14:textId="77777777" w:rsidR="00C20063" w:rsidRDefault="00C20063">
      <w:pPr>
        <w:rPr>
          <w:rFonts w:cs="Arial"/>
          <w:b/>
          <w:color w:val="1F4E79" w:themeColor="accent1" w:themeShade="80"/>
          <w:szCs w:val="18"/>
        </w:rPr>
      </w:pPr>
    </w:p>
    <w:p w14:paraId="77324497" w14:textId="77777777" w:rsidR="00C20063" w:rsidRPr="00662308" w:rsidRDefault="00C20063" w:rsidP="00DC062C">
      <w:pPr>
        <w:keepNext/>
        <w:keepLines/>
        <w:spacing w:after="40"/>
        <w:rPr>
          <w:rFonts w:cs="Arial"/>
          <w:b/>
          <w:color w:val="1F4E79" w:themeColor="accent1" w:themeShade="80"/>
          <w:szCs w:val="18"/>
        </w:rPr>
      </w:pPr>
      <w:r w:rsidRPr="00662308">
        <w:rPr>
          <w:rFonts w:cs="Arial"/>
          <w:b/>
          <w:color w:val="1F4E79" w:themeColor="accent1" w:themeShade="80"/>
          <w:szCs w:val="18"/>
        </w:rPr>
        <w:lastRenderedPageBreak/>
        <w:t>f) Expected Realization</w:t>
      </w:r>
    </w:p>
    <w:p w14:paraId="5E7E42B3" w14:textId="77777777" w:rsidR="00C20063" w:rsidRPr="00FF3D4B" w:rsidRDefault="00C20063" w:rsidP="00DC062C">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C20063" w:rsidRPr="00786B75" w14:paraId="760126AE" w14:textId="77777777" w:rsidTr="00DC062C">
        <w:trPr>
          <w:trHeight w:val="238"/>
        </w:trPr>
        <w:tc>
          <w:tcPr>
            <w:tcW w:w="3094" w:type="dxa"/>
            <w:tcBorders>
              <w:top w:val="single" w:sz="2" w:space="0" w:color="1F4E79" w:themeColor="accent1" w:themeShade="80"/>
              <w:bottom w:val="nil"/>
            </w:tcBorders>
            <w:shd w:val="clear" w:color="auto" w:fill="auto"/>
          </w:tcPr>
          <w:p w14:paraId="2CD1B1F5" w14:textId="77777777" w:rsidR="00C20063" w:rsidRPr="00786B75" w:rsidRDefault="00C20063" w:rsidP="00DC062C">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03A4D12F" w14:textId="77777777" w:rsidR="00C20063" w:rsidRPr="00786B75" w:rsidRDefault="00C20063" w:rsidP="00DC062C">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4F9AEFF" w14:textId="77777777" w:rsidR="00C20063" w:rsidRPr="00775513" w:rsidRDefault="00C20063" w:rsidP="00DC062C">
            <w:pPr>
              <w:keepNext/>
              <w:keepLines/>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tcPr>
          <w:p w14:paraId="59BB4BF2" w14:textId="77777777" w:rsidR="00C20063" w:rsidRPr="00775513" w:rsidRDefault="00C20063" w:rsidP="00DC062C">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8EAADB" w:themeColor="accent5" w:themeTint="99"/>
            </w:tcBorders>
            <w:shd w:val="clear" w:color="auto" w:fill="auto"/>
            <w:vAlign w:val="center"/>
          </w:tcPr>
          <w:p w14:paraId="015D5E8E" w14:textId="77777777" w:rsidR="00C20063" w:rsidRPr="00775513" w:rsidRDefault="00C20063" w:rsidP="00DC062C">
            <w:pPr>
              <w:keepNext/>
              <w:keepLines/>
              <w:spacing w:after="0"/>
              <w:jc w:val="center"/>
              <w:rPr>
                <w:rFonts w:cs="Arial"/>
                <w:b/>
                <w:szCs w:val="18"/>
              </w:rPr>
            </w:pPr>
            <w:r w:rsidRPr="00775513">
              <w:rPr>
                <w:rFonts w:cs="Arial"/>
                <w:b/>
                <w:sz w:val="14"/>
                <w:szCs w:val="18"/>
              </w:rPr>
              <w:t>Consolidated</w:t>
            </w:r>
          </w:p>
        </w:tc>
      </w:tr>
      <w:tr w:rsidR="00C20063" w:rsidRPr="00786B75" w14:paraId="334A0A78" w14:textId="77777777" w:rsidTr="00DC062C">
        <w:trPr>
          <w:trHeight w:val="238"/>
        </w:trPr>
        <w:tc>
          <w:tcPr>
            <w:tcW w:w="3094" w:type="dxa"/>
            <w:tcBorders>
              <w:top w:val="nil"/>
              <w:bottom w:val="single" w:sz="2" w:space="0" w:color="1F4E79" w:themeColor="accent1" w:themeShade="80"/>
            </w:tcBorders>
            <w:shd w:val="clear" w:color="auto" w:fill="auto"/>
          </w:tcPr>
          <w:p w14:paraId="2535CACA" w14:textId="77777777" w:rsidR="00C20063" w:rsidRPr="00786B75" w:rsidRDefault="00C20063" w:rsidP="00DC062C">
            <w:pPr>
              <w:pStyle w:val="08-Tabelageral"/>
              <w:rPr>
                <w:rFonts w:cs="Arial"/>
                <w:b/>
              </w:rPr>
            </w:pPr>
          </w:p>
        </w:tc>
        <w:tc>
          <w:tcPr>
            <w:tcW w:w="604" w:type="dxa"/>
            <w:tcBorders>
              <w:top w:val="nil"/>
              <w:bottom w:val="single" w:sz="2" w:space="0" w:color="1F4E79" w:themeColor="accent1" w:themeShade="80"/>
            </w:tcBorders>
            <w:shd w:val="clear" w:color="auto" w:fill="auto"/>
          </w:tcPr>
          <w:p w14:paraId="1BB163DA" w14:textId="77777777" w:rsidR="00C20063" w:rsidRPr="00786B75" w:rsidRDefault="00C20063" w:rsidP="00DC062C">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F506C12" w14:textId="77777777" w:rsidR="00C20063" w:rsidRPr="00786B75" w:rsidRDefault="00C20063" w:rsidP="00DC062C">
            <w:pPr>
              <w:pStyle w:val="08-Tabelageral"/>
              <w:rPr>
                <w:rFonts w:cs="Arial"/>
                <w:b/>
              </w:rPr>
            </w:pPr>
            <w:r>
              <w:rPr>
                <w:rFonts w:cs="Arial"/>
                <w:b/>
              </w:rPr>
              <w:t>Non Value</w:t>
            </w:r>
          </w:p>
        </w:tc>
        <w:tc>
          <w:tcPr>
            <w:tcW w:w="1412" w:type="dxa"/>
            <w:tcBorders>
              <w:top w:val="single" w:sz="2" w:space="0" w:color="1F4E79" w:themeColor="accent1" w:themeShade="80"/>
              <w:bottom w:val="single" w:sz="2" w:space="0" w:color="1F4E79" w:themeColor="accent1" w:themeShade="80"/>
            </w:tcBorders>
            <w:shd w:val="clear" w:color="auto" w:fill="auto"/>
          </w:tcPr>
          <w:p w14:paraId="4B4EF27D" w14:textId="77777777" w:rsidR="00C20063" w:rsidRPr="00786B75" w:rsidRDefault="00C20063" w:rsidP="00DC062C">
            <w:pPr>
              <w:pStyle w:val="08-Tabelageral"/>
              <w:rPr>
                <w:rFonts w:cs="Arial"/>
                <w:b/>
              </w:rPr>
            </w:pPr>
            <w:r>
              <w:rPr>
                <w:rFonts w:cs="Arial"/>
                <w:b/>
              </w:rPr>
              <w:t>Present Value</w:t>
            </w:r>
          </w:p>
        </w:tc>
        <w:tc>
          <w:tcPr>
            <w:tcW w:w="283" w:type="dxa"/>
            <w:tcBorders>
              <w:top w:val="nil"/>
              <w:bottom w:val="single" w:sz="2" w:space="0" w:color="1F4E79" w:themeColor="accent1" w:themeShade="80"/>
            </w:tcBorders>
            <w:shd w:val="clear" w:color="auto" w:fill="auto"/>
          </w:tcPr>
          <w:p w14:paraId="2EB97A4E" w14:textId="77777777" w:rsidR="00C20063" w:rsidRPr="00786B75" w:rsidRDefault="00C20063" w:rsidP="00DC062C">
            <w:pPr>
              <w:pStyle w:val="08-Tabelageral"/>
              <w:rPr>
                <w:rFonts w:cs="Arial"/>
                <w:b/>
              </w:rPr>
            </w:pPr>
          </w:p>
        </w:tc>
        <w:tc>
          <w:tcPr>
            <w:tcW w:w="1417" w:type="dxa"/>
            <w:tcBorders>
              <w:top w:val="single" w:sz="2" w:space="0" w:color="8EAADB" w:themeColor="accent5" w:themeTint="99"/>
              <w:bottom w:val="single" w:sz="2" w:space="0" w:color="1F4E79" w:themeColor="accent1" w:themeShade="80"/>
            </w:tcBorders>
            <w:shd w:val="clear" w:color="auto" w:fill="auto"/>
          </w:tcPr>
          <w:p w14:paraId="1C95D476" w14:textId="77777777" w:rsidR="00C20063" w:rsidRPr="00786B75" w:rsidRDefault="00C20063" w:rsidP="00DC062C">
            <w:pPr>
              <w:pStyle w:val="08-Tabelageral"/>
              <w:rPr>
                <w:rFonts w:cs="Arial"/>
                <w:b/>
              </w:rPr>
            </w:pPr>
            <w:r w:rsidRPr="00786B75">
              <w:rPr>
                <w:rFonts w:cs="Arial"/>
                <w:b/>
              </w:rPr>
              <w:t>Valor Nominal</w:t>
            </w:r>
          </w:p>
        </w:tc>
        <w:tc>
          <w:tcPr>
            <w:tcW w:w="1418" w:type="dxa"/>
            <w:tcBorders>
              <w:top w:val="single" w:sz="2" w:space="0" w:color="8EAADB" w:themeColor="accent5" w:themeTint="99"/>
              <w:bottom w:val="single" w:sz="2" w:space="0" w:color="1F4E79" w:themeColor="accent1" w:themeShade="80"/>
            </w:tcBorders>
            <w:shd w:val="clear" w:color="auto" w:fill="auto"/>
          </w:tcPr>
          <w:p w14:paraId="3B046957" w14:textId="77777777" w:rsidR="00C20063" w:rsidRPr="00786B75" w:rsidRDefault="00C20063" w:rsidP="00DC062C">
            <w:pPr>
              <w:pStyle w:val="08-Tabelageral"/>
              <w:rPr>
                <w:rFonts w:cs="Arial"/>
                <w:b/>
              </w:rPr>
            </w:pPr>
            <w:r w:rsidRPr="00786B75">
              <w:rPr>
                <w:rFonts w:cs="Arial"/>
                <w:b/>
              </w:rPr>
              <w:t>Valor Presente</w:t>
            </w:r>
          </w:p>
        </w:tc>
      </w:tr>
      <w:tr w:rsidR="00C20063" w:rsidRPr="00786B75" w14:paraId="59562BF6" w14:textId="77777777" w:rsidTr="00DC062C">
        <w:trPr>
          <w:trHeight w:val="238"/>
        </w:trPr>
        <w:tc>
          <w:tcPr>
            <w:tcW w:w="3094" w:type="dxa"/>
            <w:tcBorders>
              <w:top w:val="single" w:sz="2" w:space="0" w:color="1F4E79" w:themeColor="accent1" w:themeShade="80"/>
            </w:tcBorders>
            <w:shd w:val="clear" w:color="auto" w:fill="auto"/>
          </w:tcPr>
          <w:p w14:paraId="3A806B98" w14:textId="77777777" w:rsidR="00C20063" w:rsidRPr="00786B75" w:rsidRDefault="00C20063" w:rsidP="00DC062C">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3</w:t>
            </w:r>
          </w:p>
        </w:tc>
        <w:tc>
          <w:tcPr>
            <w:tcW w:w="604" w:type="dxa"/>
            <w:tcBorders>
              <w:top w:val="single" w:sz="2" w:space="0" w:color="1F4E79" w:themeColor="accent1" w:themeShade="80"/>
            </w:tcBorders>
            <w:shd w:val="clear" w:color="auto" w:fill="auto"/>
          </w:tcPr>
          <w:p w14:paraId="6BAC836D" w14:textId="77777777" w:rsidR="00C20063" w:rsidRPr="00786B75" w:rsidRDefault="00C20063" w:rsidP="00DC062C">
            <w:pPr>
              <w:pStyle w:val="08-Tabelageral"/>
              <w:ind w:left="113"/>
              <w:jc w:val="center"/>
              <w:rPr>
                <w:rFonts w:cs="Arial"/>
                <w:szCs w:val="14"/>
              </w:rPr>
            </w:pPr>
          </w:p>
        </w:tc>
        <w:tc>
          <w:tcPr>
            <w:tcW w:w="1411" w:type="dxa"/>
            <w:tcBorders>
              <w:top w:val="single" w:sz="2" w:space="0" w:color="1F4E79" w:themeColor="accent1" w:themeShade="80"/>
            </w:tcBorders>
            <w:shd w:val="clear" w:color="auto" w:fill="auto"/>
          </w:tcPr>
          <w:p w14:paraId="543AEB4D" w14:textId="77777777" w:rsidR="00C20063" w:rsidRPr="00786B75" w:rsidRDefault="00C20063" w:rsidP="00DC062C">
            <w:pPr>
              <w:pStyle w:val="08-Tabelageral"/>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tcPr>
          <w:p w14:paraId="7361C8CE" w14:textId="77777777" w:rsidR="00C20063" w:rsidRPr="00786B75" w:rsidRDefault="00C20063" w:rsidP="00DC062C">
            <w:pPr>
              <w:pStyle w:val="08-Tabelageral"/>
              <w:rPr>
                <w:rFonts w:cs="Arial"/>
              </w:rPr>
            </w:pPr>
            <w:r>
              <w:rPr>
                <w:rFonts w:cs="Arial"/>
              </w:rPr>
              <w:t>--</w:t>
            </w:r>
          </w:p>
        </w:tc>
        <w:tc>
          <w:tcPr>
            <w:tcW w:w="283" w:type="dxa"/>
            <w:tcBorders>
              <w:top w:val="single" w:sz="2" w:space="0" w:color="1F4E79" w:themeColor="accent1" w:themeShade="80"/>
            </w:tcBorders>
            <w:shd w:val="clear" w:color="auto" w:fill="auto"/>
          </w:tcPr>
          <w:p w14:paraId="09616CE4" w14:textId="77777777" w:rsidR="00C20063" w:rsidRPr="00786B75" w:rsidRDefault="00C20063" w:rsidP="00DC062C">
            <w:pPr>
              <w:pStyle w:val="08-Tabelageral"/>
              <w:ind w:left="113"/>
              <w:rPr>
                <w:rFonts w:cs="Arial"/>
                <w:szCs w:val="14"/>
              </w:rPr>
            </w:pPr>
          </w:p>
        </w:tc>
        <w:tc>
          <w:tcPr>
            <w:tcW w:w="1417" w:type="dxa"/>
            <w:tcBorders>
              <w:top w:val="single" w:sz="2" w:space="0" w:color="1F4E79" w:themeColor="accent1" w:themeShade="80"/>
            </w:tcBorders>
            <w:shd w:val="clear" w:color="auto" w:fill="auto"/>
          </w:tcPr>
          <w:p w14:paraId="799B2996" w14:textId="77777777" w:rsidR="00C20063" w:rsidRPr="00786B75" w:rsidRDefault="00C20063" w:rsidP="00DC062C">
            <w:pPr>
              <w:pStyle w:val="08-Tabelageral"/>
              <w:ind w:left="113"/>
              <w:rPr>
                <w:rFonts w:cs="Arial"/>
                <w:szCs w:val="14"/>
              </w:rPr>
            </w:pPr>
            <w:r>
              <w:rPr>
                <w:rFonts w:cs="Arial"/>
                <w:szCs w:val="14"/>
              </w:rPr>
              <w:t>7,745</w:t>
            </w:r>
          </w:p>
        </w:tc>
        <w:tc>
          <w:tcPr>
            <w:tcW w:w="1418" w:type="dxa"/>
            <w:tcBorders>
              <w:top w:val="single" w:sz="2" w:space="0" w:color="1F4E79" w:themeColor="accent1" w:themeShade="80"/>
            </w:tcBorders>
            <w:shd w:val="clear" w:color="auto" w:fill="auto"/>
          </w:tcPr>
          <w:p w14:paraId="509759A0" w14:textId="77777777" w:rsidR="00C20063" w:rsidRPr="00786B75" w:rsidRDefault="00C20063" w:rsidP="00DC062C">
            <w:pPr>
              <w:pStyle w:val="08-Tabelageral"/>
              <w:rPr>
                <w:rFonts w:cs="Arial"/>
              </w:rPr>
            </w:pPr>
            <w:r>
              <w:rPr>
                <w:rFonts w:cs="Arial"/>
              </w:rPr>
              <w:t>6,724</w:t>
            </w:r>
          </w:p>
        </w:tc>
      </w:tr>
      <w:tr w:rsidR="00C20063" w:rsidRPr="00786B75" w14:paraId="452DD7AD" w14:textId="77777777" w:rsidTr="00DC062C">
        <w:trPr>
          <w:trHeight w:val="238"/>
        </w:trPr>
        <w:tc>
          <w:tcPr>
            <w:tcW w:w="3094" w:type="dxa"/>
            <w:shd w:val="clear" w:color="auto" w:fill="auto"/>
          </w:tcPr>
          <w:p w14:paraId="59E1583A" w14:textId="77777777" w:rsidR="00C20063" w:rsidRPr="00786B75" w:rsidRDefault="00C20063" w:rsidP="00DC062C">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4</w:t>
            </w:r>
          </w:p>
        </w:tc>
        <w:tc>
          <w:tcPr>
            <w:tcW w:w="604" w:type="dxa"/>
            <w:shd w:val="clear" w:color="auto" w:fill="auto"/>
          </w:tcPr>
          <w:p w14:paraId="35029D6F" w14:textId="77777777" w:rsidR="00C20063" w:rsidRPr="00786B75" w:rsidRDefault="00C20063" w:rsidP="00DC062C">
            <w:pPr>
              <w:pStyle w:val="08-Tabelageral"/>
              <w:ind w:left="113"/>
              <w:jc w:val="center"/>
              <w:rPr>
                <w:rFonts w:cs="Arial"/>
                <w:szCs w:val="14"/>
              </w:rPr>
            </w:pPr>
          </w:p>
        </w:tc>
        <w:tc>
          <w:tcPr>
            <w:tcW w:w="1411" w:type="dxa"/>
            <w:shd w:val="clear" w:color="auto" w:fill="auto"/>
          </w:tcPr>
          <w:p w14:paraId="405E8889" w14:textId="77777777" w:rsidR="00C20063" w:rsidRPr="00786B75" w:rsidRDefault="00C20063" w:rsidP="00DC062C">
            <w:pPr>
              <w:pStyle w:val="08-Tabelageral"/>
              <w:ind w:left="113"/>
              <w:rPr>
                <w:rFonts w:cs="Arial"/>
                <w:szCs w:val="14"/>
              </w:rPr>
            </w:pPr>
            <w:r>
              <w:rPr>
                <w:rFonts w:cs="Arial"/>
                <w:szCs w:val="14"/>
              </w:rPr>
              <w:t>28</w:t>
            </w:r>
          </w:p>
        </w:tc>
        <w:tc>
          <w:tcPr>
            <w:tcW w:w="1412" w:type="dxa"/>
            <w:shd w:val="clear" w:color="auto" w:fill="auto"/>
          </w:tcPr>
          <w:p w14:paraId="05A8C81D" w14:textId="77777777" w:rsidR="00C20063" w:rsidRPr="00786B75" w:rsidRDefault="00C20063" w:rsidP="00DC062C">
            <w:pPr>
              <w:pStyle w:val="08-Tabelageral"/>
              <w:rPr>
                <w:rFonts w:cs="Arial"/>
              </w:rPr>
            </w:pPr>
            <w:r>
              <w:rPr>
                <w:rFonts w:cs="Arial"/>
              </w:rPr>
              <w:t>21</w:t>
            </w:r>
          </w:p>
        </w:tc>
        <w:tc>
          <w:tcPr>
            <w:tcW w:w="283" w:type="dxa"/>
            <w:shd w:val="clear" w:color="auto" w:fill="auto"/>
          </w:tcPr>
          <w:p w14:paraId="3711B9EE" w14:textId="77777777" w:rsidR="00C20063" w:rsidRPr="00786B75" w:rsidRDefault="00C20063" w:rsidP="00DC062C">
            <w:pPr>
              <w:pStyle w:val="08-Tabelageral"/>
              <w:ind w:left="113"/>
              <w:rPr>
                <w:rFonts w:cs="Arial"/>
                <w:szCs w:val="14"/>
              </w:rPr>
            </w:pPr>
          </w:p>
        </w:tc>
        <w:tc>
          <w:tcPr>
            <w:tcW w:w="1417" w:type="dxa"/>
            <w:shd w:val="clear" w:color="auto" w:fill="auto"/>
          </w:tcPr>
          <w:p w14:paraId="3E16BE8C" w14:textId="77777777" w:rsidR="00C20063" w:rsidRPr="00786B75" w:rsidRDefault="00C20063" w:rsidP="00DC062C">
            <w:pPr>
              <w:pStyle w:val="08-Tabelageral"/>
              <w:ind w:left="113"/>
              <w:rPr>
                <w:rFonts w:cs="Arial"/>
                <w:szCs w:val="14"/>
              </w:rPr>
            </w:pPr>
            <w:r>
              <w:rPr>
                <w:rFonts w:cs="Arial"/>
                <w:szCs w:val="14"/>
              </w:rPr>
              <w:t>28</w:t>
            </w:r>
          </w:p>
        </w:tc>
        <w:tc>
          <w:tcPr>
            <w:tcW w:w="1418" w:type="dxa"/>
            <w:shd w:val="clear" w:color="auto" w:fill="auto"/>
          </w:tcPr>
          <w:p w14:paraId="0998C798" w14:textId="77777777" w:rsidR="00C20063" w:rsidRPr="00786B75" w:rsidRDefault="00C20063" w:rsidP="00DC062C">
            <w:pPr>
              <w:pStyle w:val="08-Tabelageral"/>
              <w:rPr>
                <w:rFonts w:cs="Arial"/>
              </w:rPr>
            </w:pPr>
            <w:r>
              <w:rPr>
                <w:rFonts w:cs="Arial"/>
              </w:rPr>
              <w:t>21</w:t>
            </w:r>
          </w:p>
        </w:tc>
      </w:tr>
      <w:tr w:rsidR="00C20063" w:rsidRPr="00786B75" w14:paraId="0B2B6C81" w14:textId="77777777" w:rsidTr="00DC062C">
        <w:trPr>
          <w:trHeight w:val="238"/>
        </w:trPr>
        <w:tc>
          <w:tcPr>
            <w:tcW w:w="3094" w:type="dxa"/>
            <w:shd w:val="clear" w:color="auto" w:fill="auto"/>
          </w:tcPr>
          <w:p w14:paraId="0AB7F04D" w14:textId="77777777" w:rsidR="00C20063" w:rsidRPr="00786B75" w:rsidRDefault="00C20063" w:rsidP="00DC062C">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5</w:t>
            </w:r>
          </w:p>
        </w:tc>
        <w:tc>
          <w:tcPr>
            <w:tcW w:w="604" w:type="dxa"/>
            <w:shd w:val="clear" w:color="auto" w:fill="auto"/>
          </w:tcPr>
          <w:p w14:paraId="4D8A7564" w14:textId="77777777" w:rsidR="00C20063" w:rsidRPr="00786B75" w:rsidRDefault="00C20063" w:rsidP="00DC062C">
            <w:pPr>
              <w:pStyle w:val="08-Tabelageral"/>
              <w:ind w:left="113"/>
              <w:jc w:val="center"/>
              <w:rPr>
                <w:rFonts w:cs="Arial"/>
                <w:szCs w:val="14"/>
              </w:rPr>
            </w:pPr>
          </w:p>
        </w:tc>
        <w:tc>
          <w:tcPr>
            <w:tcW w:w="1411" w:type="dxa"/>
            <w:shd w:val="clear" w:color="auto" w:fill="auto"/>
          </w:tcPr>
          <w:p w14:paraId="53C658BD" w14:textId="77777777" w:rsidR="00C20063" w:rsidRPr="00786B75" w:rsidRDefault="00C20063" w:rsidP="00DC062C">
            <w:pPr>
              <w:pStyle w:val="08-Tabelageral"/>
              <w:ind w:left="113"/>
              <w:rPr>
                <w:rFonts w:cs="Arial"/>
                <w:szCs w:val="14"/>
              </w:rPr>
            </w:pPr>
            <w:r>
              <w:rPr>
                <w:rFonts w:cs="Arial"/>
                <w:szCs w:val="14"/>
              </w:rPr>
              <w:t>--</w:t>
            </w:r>
          </w:p>
        </w:tc>
        <w:tc>
          <w:tcPr>
            <w:tcW w:w="1412" w:type="dxa"/>
            <w:shd w:val="clear" w:color="auto" w:fill="auto"/>
          </w:tcPr>
          <w:p w14:paraId="7B473B93" w14:textId="77777777" w:rsidR="00C20063" w:rsidRPr="00786B75" w:rsidRDefault="00C20063" w:rsidP="00DC062C">
            <w:pPr>
              <w:pStyle w:val="08-Tabelageral"/>
              <w:rPr>
                <w:rFonts w:cs="Arial"/>
              </w:rPr>
            </w:pPr>
            <w:r>
              <w:rPr>
                <w:rFonts w:cs="Arial"/>
              </w:rPr>
              <w:t>--</w:t>
            </w:r>
          </w:p>
        </w:tc>
        <w:tc>
          <w:tcPr>
            <w:tcW w:w="283" w:type="dxa"/>
            <w:shd w:val="clear" w:color="auto" w:fill="auto"/>
          </w:tcPr>
          <w:p w14:paraId="76C56C56" w14:textId="77777777" w:rsidR="00C20063" w:rsidRPr="00786B75" w:rsidRDefault="00C20063" w:rsidP="00DC062C">
            <w:pPr>
              <w:pStyle w:val="08-Tabelageral"/>
              <w:ind w:left="113"/>
              <w:rPr>
                <w:rFonts w:cs="Arial"/>
                <w:szCs w:val="14"/>
              </w:rPr>
            </w:pPr>
          </w:p>
        </w:tc>
        <w:tc>
          <w:tcPr>
            <w:tcW w:w="1417" w:type="dxa"/>
            <w:shd w:val="clear" w:color="auto" w:fill="auto"/>
          </w:tcPr>
          <w:p w14:paraId="0EDA1BDA" w14:textId="77777777" w:rsidR="00C20063" w:rsidRPr="00786B75" w:rsidRDefault="00C20063" w:rsidP="00DC062C">
            <w:pPr>
              <w:pStyle w:val="08-Tabelageral"/>
              <w:ind w:left="113"/>
              <w:rPr>
                <w:rFonts w:cs="Arial"/>
                <w:szCs w:val="14"/>
              </w:rPr>
            </w:pPr>
            <w:r>
              <w:rPr>
                <w:rFonts w:cs="Arial"/>
                <w:szCs w:val="14"/>
              </w:rPr>
              <w:t>--</w:t>
            </w:r>
          </w:p>
        </w:tc>
        <w:tc>
          <w:tcPr>
            <w:tcW w:w="1418" w:type="dxa"/>
            <w:shd w:val="clear" w:color="auto" w:fill="auto"/>
          </w:tcPr>
          <w:p w14:paraId="606B305E" w14:textId="77777777" w:rsidR="00C20063" w:rsidRPr="00786B75" w:rsidRDefault="00C20063" w:rsidP="00DC062C">
            <w:pPr>
              <w:pStyle w:val="08-Tabelageral"/>
              <w:rPr>
                <w:rFonts w:cs="Arial"/>
              </w:rPr>
            </w:pPr>
            <w:r>
              <w:rPr>
                <w:rFonts w:cs="Arial"/>
              </w:rPr>
              <w:t>--</w:t>
            </w:r>
          </w:p>
        </w:tc>
      </w:tr>
      <w:tr w:rsidR="00C20063" w:rsidRPr="00786B75" w14:paraId="73DE82C6" w14:textId="77777777" w:rsidTr="00DC062C">
        <w:trPr>
          <w:trHeight w:val="238"/>
        </w:trPr>
        <w:tc>
          <w:tcPr>
            <w:tcW w:w="3094" w:type="dxa"/>
            <w:shd w:val="clear" w:color="auto" w:fill="auto"/>
          </w:tcPr>
          <w:p w14:paraId="1BEE48FD" w14:textId="77777777" w:rsidR="00C20063" w:rsidRPr="00786B75" w:rsidRDefault="00C20063" w:rsidP="00DC062C">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6</w:t>
            </w:r>
          </w:p>
        </w:tc>
        <w:tc>
          <w:tcPr>
            <w:tcW w:w="604" w:type="dxa"/>
            <w:shd w:val="clear" w:color="auto" w:fill="auto"/>
          </w:tcPr>
          <w:p w14:paraId="1F72C743" w14:textId="77777777" w:rsidR="00C20063" w:rsidRPr="00786B75" w:rsidRDefault="00C20063" w:rsidP="00DC062C">
            <w:pPr>
              <w:pStyle w:val="08-Tabelageral"/>
              <w:ind w:left="113"/>
              <w:jc w:val="center"/>
              <w:rPr>
                <w:rFonts w:cs="Arial"/>
                <w:szCs w:val="14"/>
              </w:rPr>
            </w:pPr>
          </w:p>
        </w:tc>
        <w:tc>
          <w:tcPr>
            <w:tcW w:w="1411" w:type="dxa"/>
            <w:shd w:val="clear" w:color="auto" w:fill="auto"/>
          </w:tcPr>
          <w:p w14:paraId="11531568" w14:textId="77777777" w:rsidR="00C20063" w:rsidRPr="00786B75" w:rsidRDefault="00C20063" w:rsidP="00DC062C">
            <w:pPr>
              <w:pStyle w:val="08-Tabelageral"/>
              <w:ind w:left="113"/>
              <w:rPr>
                <w:rFonts w:cs="Arial"/>
                <w:szCs w:val="14"/>
              </w:rPr>
            </w:pPr>
            <w:r>
              <w:rPr>
                <w:rFonts w:cs="Arial"/>
                <w:szCs w:val="14"/>
              </w:rPr>
              <w:t>--</w:t>
            </w:r>
          </w:p>
        </w:tc>
        <w:tc>
          <w:tcPr>
            <w:tcW w:w="1412" w:type="dxa"/>
            <w:shd w:val="clear" w:color="auto" w:fill="auto"/>
          </w:tcPr>
          <w:p w14:paraId="3B68F5DF" w14:textId="77777777" w:rsidR="00C20063" w:rsidRPr="00786B75" w:rsidRDefault="00C20063" w:rsidP="00DC062C">
            <w:pPr>
              <w:pStyle w:val="08-Tabelageral"/>
              <w:rPr>
                <w:rFonts w:cs="Arial"/>
              </w:rPr>
            </w:pPr>
            <w:r>
              <w:rPr>
                <w:rFonts w:cs="Arial"/>
              </w:rPr>
              <w:t>--</w:t>
            </w:r>
          </w:p>
        </w:tc>
        <w:tc>
          <w:tcPr>
            <w:tcW w:w="283" w:type="dxa"/>
            <w:shd w:val="clear" w:color="auto" w:fill="auto"/>
          </w:tcPr>
          <w:p w14:paraId="44AD439A" w14:textId="77777777" w:rsidR="00C20063" w:rsidRPr="00786B75" w:rsidRDefault="00C20063" w:rsidP="00DC062C">
            <w:pPr>
              <w:pStyle w:val="08-Tabelageral"/>
              <w:ind w:left="113"/>
              <w:rPr>
                <w:rFonts w:cs="Arial"/>
                <w:szCs w:val="14"/>
              </w:rPr>
            </w:pPr>
          </w:p>
        </w:tc>
        <w:tc>
          <w:tcPr>
            <w:tcW w:w="1417" w:type="dxa"/>
            <w:shd w:val="clear" w:color="auto" w:fill="auto"/>
          </w:tcPr>
          <w:p w14:paraId="460751BF" w14:textId="77777777" w:rsidR="00C20063" w:rsidRPr="00786B75" w:rsidRDefault="00C20063" w:rsidP="00DC062C">
            <w:pPr>
              <w:pStyle w:val="08-Tabelageral"/>
              <w:ind w:left="113"/>
              <w:rPr>
                <w:rFonts w:cs="Arial"/>
                <w:szCs w:val="14"/>
              </w:rPr>
            </w:pPr>
            <w:r>
              <w:rPr>
                <w:rFonts w:cs="Arial"/>
                <w:szCs w:val="14"/>
              </w:rPr>
              <w:t>--</w:t>
            </w:r>
          </w:p>
        </w:tc>
        <w:tc>
          <w:tcPr>
            <w:tcW w:w="1418" w:type="dxa"/>
            <w:shd w:val="clear" w:color="auto" w:fill="auto"/>
          </w:tcPr>
          <w:p w14:paraId="21D7EE52" w14:textId="77777777" w:rsidR="00C20063" w:rsidRPr="00786B75" w:rsidRDefault="00C20063" w:rsidP="00DC062C">
            <w:pPr>
              <w:pStyle w:val="08-Tabelageral"/>
              <w:rPr>
                <w:rFonts w:cs="Arial"/>
              </w:rPr>
            </w:pPr>
            <w:r>
              <w:rPr>
                <w:rFonts w:cs="Arial"/>
              </w:rPr>
              <w:t>--</w:t>
            </w:r>
          </w:p>
        </w:tc>
      </w:tr>
      <w:tr w:rsidR="00C20063" w:rsidRPr="00786B75" w14:paraId="57960646" w14:textId="77777777" w:rsidTr="00DC062C">
        <w:trPr>
          <w:trHeight w:val="238"/>
        </w:trPr>
        <w:tc>
          <w:tcPr>
            <w:tcW w:w="3094" w:type="dxa"/>
            <w:shd w:val="clear" w:color="auto" w:fill="auto"/>
          </w:tcPr>
          <w:p w14:paraId="3A4BCE9B" w14:textId="77777777" w:rsidR="00C20063" w:rsidRPr="00786B75" w:rsidRDefault="00C20063" w:rsidP="00DC062C">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7</w:t>
            </w:r>
          </w:p>
        </w:tc>
        <w:tc>
          <w:tcPr>
            <w:tcW w:w="604" w:type="dxa"/>
            <w:shd w:val="clear" w:color="auto" w:fill="auto"/>
          </w:tcPr>
          <w:p w14:paraId="0941E0B6" w14:textId="77777777" w:rsidR="00C20063" w:rsidRPr="00786B75" w:rsidRDefault="00C20063" w:rsidP="00DC062C">
            <w:pPr>
              <w:pStyle w:val="08-Tabelageral"/>
              <w:ind w:left="113"/>
              <w:jc w:val="center"/>
              <w:rPr>
                <w:rFonts w:cs="Arial"/>
                <w:szCs w:val="14"/>
              </w:rPr>
            </w:pPr>
          </w:p>
        </w:tc>
        <w:tc>
          <w:tcPr>
            <w:tcW w:w="1411" w:type="dxa"/>
            <w:shd w:val="clear" w:color="auto" w:fill="auto"/>
          </w:tcPr>
          <w:p w14:paraId="3F5655C6" w14:textId="77777777" w:rsidR="00C20063" w:rsidRPr="00786B75" w:rsidRDefault="00C20063" w:rsidP="00DC062C">
            <w:pPr>
              <w:pStyle w:val="08-Tabelageral"/>
              <w:ind w:left="113"/>
              <w:rPr>
                <w:rFonts w:cs="Arial"/>
                <w:szCs w:val="14"/>
              </w:rPr>
            </w:pPr>
            <w:r>
              <w:rPr>
                <w:rFonts w:cs="Arial"/>
                <w:szCs w:val="14"/>
              </w:rPr>
              <w:t>--</w:t>
            </w:r>
          </w:p>
        </w:tc>
        <w:tc>
          <w:tcPr>
            <w:tcW w:w="1412" w:type="dxa"/>
            <w:shd w:val="clear" w:color="auto" w:fill="auto"/>
          </w:tcPr>
          <w:p w14:paraId="6E25547C" w14:textId="77777777" w:rsidR="00C20063" w:rsidRPr="00786B75" w:rsidRDefault="00C20063" w:rsidP="00DC062C">
            <w:pPr>
              <w:pStyle w:val="08-Tabelageral"/>
              <w:rPr>
                <w:rFonts w:cs="Arial"/>
              </w:rPr>
            </w:pPr>
            <w:r>
              <w:rPr>
                <w:rFonts w:cs="Arial"/>
              </w:rPr>
              <w:t>--</w:t>
            </w:r>
          </w:p>
        </w:tc>
        <w:tc>
          <w:tcPr>
            <w:tcW w:w="283" w:type="dxa"/>
            <w:shd w:val="clear" w:color="auto" w:fill="auto"/>
          </w:tcPr>
          <w:p w14:paraId="292704CC" w14:textId="77777777" w:rsidR="00C20063" w:rsidRPr="00786B75" w:rsidRDefault="00C20063" w:rsidP="00DC062C">
            <w:pPr>
              <w:pStyle w:val="08-Tabelageral"/>
              <w:ind w:left="113"/>
              <w:rPr>
                <w:rFonts w:cs="Arial"/>
                <w:szCs w:val="14"/>
              </w:rPr>
            </w:pPr>
          </w:p>
        </w:tc>
        <w:tc>
          <w:tcPr>
            <w:tcW w:w="1417" w:type="dxa"/>
            <w:shd w:val="clear" w:color="auto" w:fill="auto"/>
          </w:tcPr>
          <w:p w14:paraId="58EFC160" w14:textId="77777777" w:rsidR="00C20063" w:rsidRPr="00786B75" w:rsidRDefault="00C20063" w:rsidP="00DC062C">
            <w:pPr>
              <w:pStyle w:val="08-Tabelageral"/>
              <w:ind w:left="113"/>
              <w:rPr>
                <w:rFonts w:cs="Arial"/>
                <w:szCs w:val="14"/>
              </w:rPr>
            </w:pPr>
            <w:r>
              <w:rPr>
                <w:rFonts w:cs="Arial"/>
                <w:szCs w:val="14"/>
              </w:rPr>
              <w:t>--</w:t>
            </w:r>
          </w:p>
        </w:tc>
        <w:tc>
          <w:tcPr>
            <w:tcW w:w="1418" w:type="dxa"/>
            <w:shd w:val="clear" w:color="auto" w:fill="auto"/>
          </w:tcPr>
          <w:p w14:paraId="00DA73B8" w14:textId="77777777" w:rsidR="00C20063" w:rsidRPr="00786B75" w:rsidRDefault="00C20063" w:rsidP="00DC062C">
            <w:pPr>
              <w:pStyle w:val="08-Tabelageral"/>
              <w:rPr>
                <w:rFonts w:cs="Arial"/>
              </w:rPr>
            </w:pPr>
            <w:r>
              <w:rPr>
                <w:rFonts w:cs="Arial"/>
              </w:rPr>
              <w:t>--</w:t>
            </w:r>
          </w:p>
        </w:tc>
      </w:tr>
      <w:tr w:rsidR="00C20063" w:rsidRPr="00786B75" w14:paraId="2EA076C8" w14:textId="77777777" w:rsidTr="00DC062C">
        <w:trPr>
          <w:trHeight w:val="238"/>
        </w:trPr>
        <w:tc>
          <w:tcPr>
            <w:tcW w:w="3094" w:type="dxa"/>
            <w:tcBorders>
              <w:bottom w:val="nil"/>
            </w:tcBorders>
            <w:shd w:val="clear" w:color="auto" w:fill="auto"/>
          </w:tcPr>
          <w:p w14:paraId="317BA09F" w14:textId="77777777" w:rsidR="00C20063" w:rsidRPr="00786B75" w:rsidRDefault="00C20063" w:rsidP="00DC062C">
            <w:pPr>
              <w:pStyle w:val="08-Tabelageral"/>
              <w:ind w:left="113"/>
              <w:jc w:val="left"/>
              <w:rPr>
                <w:rFonts w:cs="Arial"/>
                <w:szCs w:val="14"/>
              </w:rPr>
            </w:pPr>
            <w:r w:rsidRPr="00786B75">
              <w:rPr>
                <w:rFonts w:cs="Arial"/>
                <w:szCs w:val="14"/>
              </w:rPr>
              <w:t>A</w:t>
            </w:r>
            <w:r>
              <w:rPr>
                <w:rFonts w:cs="Arial"/>
                <w:szCs w:val="14"/>
              </w:rPr>
              <w:t>fther</w:t>
            </w:r>
            <w:r w:rsidRPr="00786B75">
              <w:rPr>
                <w:rFonts w:cs="Arial"/>
                <w:szCs w:val="14"/>
              </w:rPr>
              <w:t xml:space="preserve"> 202</w:t>
            </w:r>
            <w:r>
              <w:rPr>
                <w:rFonts w:cs="Arial"/>
                <w:szCs w:val="14"/>
              </w:rPr>
              <w:t>7</w:t>
            </w:r>
          </w:p>
        </w:tc>
        <w:tc>
          <w:tcPr>
            <w:tcW w:w="604" w:type="dxa"/>
            <w:tcBorders>
              <w:bottom w:val="nil"/>
            </w:tcBorders>
            <w:shd w:val="clear" w:color="auto" w:fill="auto"/>
          </w:tcPr>
          <w:p w14:paraId="6ECDB5FF" w14:textId="77777777" w:rsidR="00C20063" w:rsidRPr="00786B75" w:rsidRDefault="00C20063" w:rsidP="00DC062C">
            <w:pPr>
              <w:pStyle w:val="08-Tabelageral"/>
              <w:jc w:val="center"/>
              <w:rPr>
                <w:rFonts w:cs="Arial"/>
                <w:szCs w:val="14"/>
              </w:rPr>
            </w:pPr>
          </w:p>
        </w:tc>
        <w:tc>
          <w:tcPr>
            <w:tcW w:w="1411" w:type="dxa"/>
            <w:tcBorders>
              <w:bottom w:val="nil"/>
            </w:tcBorders>
            <w:shd w:val="clear" w:color="auto" w:fill="auto"/>
          </w:tcPr>
          <w:p w14:paraId="64CBE75A" w14:textId="77777777" w:rsidR="00C20063" w:rsidRPr="00786B75" w:rsidRDefault="00C20063" w:rsidP="00DC062C">
            <w:pPr>
              <w:pStyle w:val="08-Tabelageral"/>
              <w:rPr>
                <w:rFonts w:cs="Arial"/>
                <w:szCs w:val="14"/>
              </w:rPr>
            </w:pPr>
            <w:r>
              <w:rPr>
                <w:rFonts w:cs="Arial"/>
                <w:szCs w:val="14"/>
              </w:rPr>
              <w:t>--</w:t>
            </w:r>
          </w:p>
        </w:tc>
        <w:tc>
          <w:tcPr>
            <w:tcW w:w="1412" w:type="dxa"/>
            <w:tcBorders>
              <w:bottom w:val="nil"/>
            </w:tcBorders>
            <w:shd w:val="clear" w:color="auto" w:fill="auto"/>
          </w:tcPr>
          <w:p w14:paraId="7D77614D" w14:textId="77777777" w:rsidR="00C20063" w:rsidRPr="00786B75" w:rsidRDefault="00C20063" w:rsidP="00DC062C">
            <w:pPr>
              <w:pStyle w:val="08-Tabelageral"/>
              <w:rPr>
                <w:rFonts w:cs="Arial"/>
              </w:rPr>
            </w:pPr>
            <w:r>
              <w:rPr>
                <w:rFonts w:cs="Arial"/>
              </w:rPr>
              <w:t>--</w:t>
            </w:r>
          </w:p>
        </w:tc>
        <w:tc>
          <w:tcPr>
            <w:tcW w:w="283" w:type="dxa"/>
            <w:tcBorders>
              <w:bottom w:val="nil"/>
            </w:tcBorders>
            <w:shd w:val="clear" w:color="auto" w:fill="auto"/>
          </w:tcPr>
          <w:p w14:paraId="67DCBF9B" w14:textId="77777777" w:rsidR="00C20063" w:rsidRPr="00786B75" w:rsidRDefault="00C20063" w:rsidP="00DC062C">
            <w:pPr>
              <w:pStyle w:val="08-Tabelageral"/>
              <w:rPr>
                <w:rFonts w:cs="Arial"/>
                <w:szCs w:val="14"/>
              </w:rPr>
            </w:pPr>
          </w:p>
        </w:tc>
        <w:tc>
          <w:tcPr>
            <w:tcW w:w="1417" w:type="dxa"/>
            <w:tcBorders>
              <w:bottom w:val="nil"/>
            </w:tcBorders>
            <w:shd w:val="clear" w:color="auto" w:fill="auto"/>
          </w:tcPr>
          <w:p w14:paraId="1AAF883C" w14:textId="77777777" w:rsidR="00C20063" w:rsidRPr="00786B75" w:rsidRDefault="00C20063" w:rsidP="00DC062C">
            <w:pPr>
              <w:pStyle w:val="08-Tabelageral"/>
              <w:rPr>
                <w:rFonts w:cs="Arial"/>
                <w:szCs w:val="14"/>
              </w:rPr>
            </w:pPr>
            <w:r>
              <w:rPr>
                <w:rFonts w:cs="Arial"/>
                <w:szCs w:val="14"/>
              </w:rPr>
              <w:t>--</w:t>
            </w:r>
          </w:p>
        </w:tc>
        <w:tc>
          <w:tcPr>
            <w:tcW w:w="1418" w:type="dxa"/>
            <w:tcBorders>
              <w:bottom w:val="nil"/>
            </w:tcBorders>
            <w:shd w:val="clear" w:color="auto" w:fill="auto"/>
          </w:tcPr>
          <w:p w14:paraId="5B0A20FD" w14:textId="77777777" w:rsidR="00C20063" w:rsidRPr="00786B75" w:rsidRDefault="00C20063" w:rsidP="00DC062C">
            <w:pPr>
              <w:pStyle w:val="08-Tabelageral"/>
              <w:rPr>
                <w:rFonts w:cs="Arial"/>
              </w:rPr>
            </w:pPr>
            <w:r>
              <w:rPr>
                <w:rFonts w:cs="Arial"/>
              </w:rPr>
              <w:t>--</w:t>
            </w:r>
          </w:p>
        </w:tc>
      </w:tr>
      <w:tr w:rsidR="00C20063" w:rsidRPr="00786B75" w14:paraId="3C412F90" w14:textId="77777777" w:rsidTr="00DC062C">
        <w:trPr>
          <w:trHeight w:val="238"/>
        </w:trPr>
        <w:tc>
          <w:tcPr>
            <w:tcW w:w="3094" w:type="dxa"/>
            <w:tcBorders>
              <w:top w:val="nil"/>
              <w:bottom w:val="single" w:sz="2" w:space="0" w:color="1F4E79" w:themeColor="accent1" w:themeShade="80"/>
            </w:tcBorders>
            <w:shd w:val="clear" w:color="auto" w:fill="auto"/>
          </w:tcPr>
          <w:p w14:paraId="5CF9AD92" w14:textId="77777777" w:rsidR="00C20063" w:rsidRPr="00786B75" w:rsidRDefault="00C20063" w:rsidP="00DC062C">
            <w:pPr>
              <w:pStyle w:val="08-Tabelageral"/>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7184AED9" w14:textId="77777777" w:rsidR="00C20063" w:rsidRPr="00786B75" w:rsidRDefault="00C20063" w:rsidP="00DC062C">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tcPr>
          <w:p w14:paraId="0A34C1DB" w14:textId="77777777" w:rsidR="00C20063" w:rsidRPr="00786B75" w:rsidRDefault="00C20063" w:rsidP="00DC062C">
            <w:pPr>
              <w:pStyle w:val="08-Tabelageral"/>
              <w:rPr>
                <w:rFonts w:cs="Arial"/>
                <w:b/>
                <w:szCs w:val="14"/>
              </w:rPr>
            </w:pPr>
            <w:r>
              <w:rPr>
                <w:rFonts w:cs="Arial"/>
                <w:b/>
                <w:szCs w:val="14"/>
              </w:rPr>
              <w:t>28</w:t>
            </w:r>
          </w:p>
        </w:tc>
        <w:tc>
          <w:tcPr>
            <w:tcW w:w="1412" w:type="dxa"/>
            <w:tcBorders>
              <w:top w:val="nil"/>
              <w:bottom w:val="single" w:sz="2" w:space="0" w:color="1F4E79" w:themeColor="accent1" w:themeShade="80"/>
            </w:tcBorders>
            <w:shd w:val="clear" w:color="auto" w:fill="auto"/>
          </w:tcPr>
          <w:p w14:paraId="24FDAE53" w14:textId="77777777" w:rsidR="00C20063" w:rsidRPr="00786B75" w:rsidRDefault="00C20063" w:rsidP="00DC062C">
            <w:pPr>
              <w:pStyle w:val="08-Tabelageral"/>
              <w:rPr>
                <w:rFonts w:cs="Arial"/>
                <w:b/>
              </w:rPr>
            </w:pPr>
            <w:r>
              <w:rPr>
                <w:rFonts w:cs="Arial"/>
                <w:b/>
              </w:rPr>
              <w:t>21</w:t>
            </w:r>
          </w:p>
        </w:tc>
        <w:tc>
          <w:tcPr>
            <w:tcW w:w="283" w:type="dxa"/>
            <w:tcBorders>
              <w:top w:val="nil"/>
              <w:bottom w:val="single" w:sz="2" w:space="0" w:color="1F4E79" w:themeColor="accent1" w:themeShade="80"/>
            </w:tcBorders>
            <w:shd w:val="clear" w:color="auto" w:fill="auto"/>
          </w:tcPr>
          <w:p w14:paraId="33156FBC" w14:textId="77777777" w:rsidR="00C20063" w:rsidRPr="00786B75" w:rsidRDefault="00C20063" w:rsidP="00DC062C">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586C4102" w14:textId="77777777" w:rsidR="00C20063" w:rsidRPr="00786B75" w:rsidRDefault="00C20063" w:rsidP="00DC062C">
            <w:pPr>
              <w:pStyle w:val="08-Tabelageral"/>
              <w:rPr>
                <w:rFonts w:cs="Arial"/>
                <w:b/>
                <w:szCs w:val="14"/>
              </w:rPr>
            </w:pPr>
            <w:r>
              <w:rPr>
                <w:rFonts w:cs="Arial"/>
                <w:b/>
                <w:szCs w:val="14"/>
              </w:rPr>
              <w:t>7,773</w:t>
            </w:r>
          </w:p>
        </w:tc>
        <w:tc>
          <w:tcPr>
            <w:tcW w:w="1418" w:type="dxa"/>
            <w:tcBorders>
              <w:top w:val="nil"/>
              <w:bottom w:val="single" w:sz="2" w:space="0" w:color="1F4E79" w:themeColor="accent1" w:themeShade="80"/>
            </w:tcBorders>
            <w:shd w:val="clear" w:color="auto" w:fill="auto"/>
          </w:tcPr>
          <w:p w14:paraId="4C06CF07" w14:textId="77777777" w:rsidR="00C20063" w:rsidRPr="00786B75" w:rsidRDefault="00C20063" w:rsidP="00DC062C">
            <w:pPr>
              <w:pStyle w:val="08-Tabelageral"/>
              <w:rPr>
                <w:rFonts w:cs="Arial"/>
                <w:b/>
              </w:rPr>
            </w:pPr>
            <w:r>
              <w:rPr>
                <w:rFonts w:cs="Arial"/>
                <w:b/>
              </w:rPr>
              <w:t>6,745</w:t>
            </w:r>
          </w:p>
        </w:tc>
      </w:tr>
    </w:tbl>
    <w:p w14:paraId="2BCA6FFF" w14:textId="77777777" w:rsidR="00C20063" w:rsidRDefault="00C20063" w:rsidP="00DC062C">
      <w:pPr>
        <w:keepNext/>
        <w:keepLines/>
        <w:rPr>
          <w:rFonts w:cs="Arial"/>
          <w:b/>
          <w:color w:val="1F4E79" w:themeColor="accent1" w:themeShade="80"/>
          <w:szCs w:val="18"/>
        </w:rPr>
      </w:pPr>
    </w:p>
    <w:p w14:paraId="10374475" w14:textId="77777777" w:rsidR="00C20063" w:rsidRDefault="00C20063" w:rsidP="00DC062C">
      <w:pPr>
        <w:pStyle w:val="05-Textonormal"/>
        <w:keepNext/>
        <w:keepLines/>
        <w:rPr>
          <w:lang w:val="en-US"/>
        </w:rPr>
      </w:pPr>
      <w:r w:rsidRPr="003E2305">
        <w:rPr>
          <w:lang w:val="en-US"/>
        </w:rPr>
        <w:t xml:space="preserve">The expected realization of deferred tax assets (tax credits) is supported by a technical study prepared </w:t>
      </w:r>
      <w:r>
        <w:rPr>
          <w:lang w:val="en-US"/>
        </w:rPr>
        <w:t>for de base date of</w:t>
      </w:r>
      <w:r w:rsidRPr="003E2305">
        <w:rPr>
          <w:lang w:val="en-US"/>
        </w:rPr>
        <w:t xml:space="preserve"> Dec 31, 20</w:t>
      </w:r>
      <w:r>
        <w:rPr>
          <w:lang w:val="en-US"/>
        </w:rPr>
        <w:t>22</w:t>
      </w:r>
      <w:r w:rsidRPr="003E2305">
        <w:rPr>
          <w:lang w:val="en-US"/>
        </w:rPr>
        <w:t>, and is calculated based on the discounted present value of the average Selic rate (TMS) projected for each reporting period</w:t>
      </w:r>
      <w:r>
        <w:rPr>
          <w:lang w:val="en-US"/>
        </w:rPr>
        <w:t>.</w:t>
      </w:r>
    </w:p>
    <w:p w14:paraId="334A0689" w14:textId="77777777" w:rsidR="00C20063" w:rsidRDefault="00C20063" w:rsidP="00DC062C">
      <w:pPr>
        <w:pStyle w:val="05-Textonormal"/>
        <w:rPr>
          <w:lang w:val="en-US"/>
        </w:rPr>
      </w:pPr>
      <w:r w:rsidRPr="001A1479">
        <w:rPr>
          <w:lang w:val="en-US"/>
        </w:rPr>
        <w:t xml:space="preserve">During the first quarter of 2023, tax credits were realized in the amount of R$ </w:t>
      </w:r>
      <w:r>
        <w:rPr>
          <w:lang w:val="en-US"/>
        </w:rPr>
        <w:t>12</w:t>
      </w:r>
      <w:r w:rsidRPr="001A1479">
        <w:rPr>
          <w:lang w:val="en-US"/>
        </w:rPr>
        <w:t xml:space="preserve"> thousand in the parent company and R$ 236 thousand in the consolidated.</w:t>
      </w:r>
    </w:p>
    <w:p w14:paraId="4D1DC90A" w14:textId="77777777" w:rsidR="00C20063" w:rsidRPr="00F110A6" w:rsidRDefault="00C20063" w:rsidP="00DC062C">
      <w:pPr>
        <w:pStyle w:val="05-Textonormal"/>
        <w:keepNext/>
        <w:keepLines/>
        <w:rPr>
          <w:rFonts w:cs="Arial"/>
          <w:b/>
          <w:color w:val="1F4E79" w:themeColor="accent1" w:themeShade="80"/>
          <w:lang w:val="en-US"/>
        </w:rPr>
      </w:pPr>
      <w:r w:rsidRPr="00F110A6">
        <w:rPr>
          <w:rFonts w:cs="Arial"/>
          <w:b/>
          <w:color w:val="1F4E79" w:themeColor="accent1" w:themeShade="80"/>
          <w:lang w:val="en-US"/>
        </w:rPr>
        <w:t xml:space="preserve">g) </w:t>
      </w:r>
      <w:r w:rsidRPr="00662308">
        <w:rPr>
          <w:rFonts w:cs="Arial"/>
          <w:b/>
          <w:color w:val="1F4E79" w:themeColor="accent1" w:themeShade="80"/>
          <w:lang w:val="en-US"/>
        </w:rPr>
        <w:t>Current tax liabilities</w:t>
      </w:r>
    </w:p>
    <w:p w14:paraId="0AB6508A" w14:textId="77777777" w:rsidR="00C20063" w:rsidRPr="00F110A6" w:rsidRDefault="00C20063" w:rsidP="00DC062C">
      <w:pPr>
        <w:spacing w:after="0" w:line="240" w:lineRule="auto"/>
        <w:jc w:val="right"/>
        <w:rPr>
          <w:rFonts w:cs="Arial"/>
          <w:b/>
          <w:sz w:val="14"/>
          <w:lang w:val="en-US" w:eastAsia="pt-BR"/>
        </w:rPr>
      </w:pPr>
      <w:r w:rsidRPr="00F110A6">
        <w:rPr>
          <w:rFonts w:cs="Arial"/>
          <w:b/>
          <w:sz w:val="14"/>
          <w:lang w:val="en-US" w:eastAsia="pt-BR"/>
        </w:rPr>
        <w:t>R$ 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C20063" w:rsidRPr="00E16069" w14:paraId="782DF554" w14:textId="77777777" w:rsidTr="00DC062C">
        <w:trPr>
          <w:trHeight w:val="238"/>
        </w:trPr>
        <w:tc>
          <w:tcPr>
            <w:tcW w:w="3402" w:type="dxa"/>
            <w:tcBorders>
              <w:top w:val="single" w:sz="2" w:space="0" w:color="1F4E79" w:themeColor="accent1" w:themeShade="80"/>
              <w:bottom w:val="nil"/>
            </w:tcBorders>
            <w:shd w:val="clear" w:color="auto" w:fill="auto"/>
          </w:tcPr>
          <w:p w14:paraId="0F3C71B0" w14:textId="77777777" w:rsidR="00C20063" w:rsidRPr="00F110A6" w:rsidRDefault="00C20063" w:rsidP="00DC062C">
            <w:pPr>
              <w:spacing w:after="0"/>
              <w:jc w:val="center"/>
              <w:rPr>
                <w:rFonts w:cs="Arial"/>
                <w:b/>
                <w:szCs w:val="18"/>
                <w:lang w:val="en-US"/>
              </w:rPr>
            </w:pPr>
          </w:p>
        </w:tc>
        <w:tc>
          <w:tcPr>
            <w:tcW w:w="296" w:type="dxa"/>
            <w:tcBorders>
              <w:top w:val="single" w:sz="2" w:space="0" w:color="1F4E79" w:themeColor="accent1" w:themeShade="80"/>
              <w:bottom w:val="nil"/>
            </w:tcBorders>
            <w:shd w:val="clear" w:color="auto" w:fill="auto"/>
          </w:tcPr>
          <w:p w14:paraId="1CE21F38" w14:textId="77777777" w:rsidR="00C20063" w:rsidRPr="00F110A6" w:rsidRDefault="00C20063" w:rsidP="00DC062C">
            <w:pPr>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9D45640" w14:textId="77777777" w:rsidR="00C20063" w:rsidRPr="00E16069" w:rsidRDefault="00C20063" w:rsidP="00DC062C">
            <w:pPr>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51FDA3D9" w14:textId="77777777" w:rsidR="00C20063" w:rsidRPr="00E16069" w:rsidRDefault="00C20063" w:rsidP="00DC062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A83AA6E" w14:textId="77777777" w:rsidR="00C20063" w:rsidRPr="00E16069" w:rsidRDefault="00C20063" w:rsidP="00DC062C">
            <w:pPr>
              <w:spacing w:after="0"/>
              <w:jc w:val="center"/>
              <w:rPr>
                <w:rFonts w:cs="Arial"/>
                <w:b/>
                <w:szCs w:val="18"/>
                <w:vertAlign w:val="superscript"/>
              </w:rPr>
            </w:pPr>
            <w:r w:rsidRPr="00775513">
              <w:rPr>
                <w:rFonts w:cs="Arial"/>
                <w:b/>
                <w:sz w:val="14"/>
                <w:szCs w:val="18"/>
              </w:rPr>
              <w:t>Consolidated</w:t>
            </w:r>
          </w:p>
        </w:tc>
      </w:tr>
      <w:tr w:rsidR="00C20063" w:rsidRPr="00E16069" w14:paraId="32EA99F0" w14:textId="77777777" w:rsidTr="00DC062C">
        <w:trPr>
          <w:trHeight w:val="238"/>
        </w:trPr>
        <w:tc>
          <w:tcPr>
            <w:tcW w:w="3402" w:type="dxa"/>
            <w:tcBorders>
              <w:top w:val="nil"/>
              <w:bottom w:val="single" w:sz="2" w:space="0" w:color="1F4E79" w:themeColor="accent1" w:themeShade="80"/>
            </w:tcBorders>
            <w:shd w:val="clear" w:color="auto" w:fill="auto"/>
          </w:tcPr>
          <w:p w14:paraId="1629A0A3" w14:textId="77777777" w:rsidR="00C20063" w:rsidRPr="00E16069" w:rsidRDefault="00C20063" w:rsidP="00DC062C">
            <w:pPr>
              <w:pStyle w:val="08-Tabelageral"/>
              <w:rPr>
                <w:rFonts w:cs="Arial"/>
                <w:b/>
              </w:rPr>
            </w:pPr>
          </w:p>
        </w:tc>
        <w:tc>
          <w:tcPr>
            <w:tcW w:w="296" w:type="dxa"/>
            <w:tcBorders>
              <w:top w:val="nil"/>
              <w:bottom w:val="single" w:sz="2" w:space="0" w:color="1F4E79" w:themeColor="accent1" w:themeShade="80"/>
            </w:tcBorders>
            <w:shd w:val="clear" w:color="auto" w:fill="auto"/>
          </w:tcPr>
          <w:p w14:paraId="56045046" w14:textId="77777777" w:rsidR="00C20063" w:rsidRPr="00E16069" w:rsidRDefault="00C20063" w:rsidP="00DC062C">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E887D12" w14:textId="77777777" w:rsidR="00C20063" w:rsidRPr="00C057A8" w:rsidRDefault="00C20063" w:rsidP="00DC062C">
            <w:pPr>
              <w:pStyle w:val="08-Tabelageral"/>
              <w:rPr>
                <w:rFonts w:cs="Arial"/>
                <w:b/>
                <w:vertAlign w:val="superscript"/>
              </w:rPr>
            </w:pPr>
            <w:r>
              <w:rPr>
                <w:b/>
              </w:rPr>
              <w:t>Mar</w:t>
            </w:r>
            <w:r w:rsidRPr="00C057A8">
              <w:rPr>
                <w:b/>
              </w:rPr>
              <w:t xml:space="preserve"> 3</w:t>
            </w:r>
            <w:r>
              <w:rPr>
                <w:b/>
              </w:rPr>
              <w:t>1</w:t>
            </w:r>
            <w:r w:rsidRPr="00C057A8">
              <w:rPr>
                <w:b/>
              </w:rPr>
              <w:t>, 202</w:t>
            </w:r>
            <w:r>
              <w:rPr>
                <w:b/>
              </w:rPr>
              <w:t>3</w:t>
            </w:r>
          </w:p>
        </w:tc>
        <w:tc>
          <w:tcPr>
            <w:tcW w:w="1412" w:type="dxa"/>
            <w:tcBorders>
              <w:top w:val="single" w:sz="2" w:space="0" w:color="1F4E79" w:themeColor="accent1" w:themeShade="80"/>
              <w:bottom w:val="single" w:sz="2" w:space="0" w:color="1F4E79" w:themeColor="accent1" w:themeShade="80"/>
            </w:tcBorders>
            <w:shd w:val="clear" w:color="auto" w:fill="auto"/>
          </w:tcPr>
          <w:p w14:paraId="55330E1A" w14:textId="77777777" w:rsidR="00C20063" w:rsidRPr="00C057A8" w:rsidRDefault="00C20063" w:rsidP="00DC062C">
            <w:pPr>
              <w:pStyle w:val="08-Tabelageral"/>
              <w:rPr>
                <w:rFonts w:cs="Arial"/>
                <w:b/>
                <w:vertAlign w:val="superscript"/>
              </w:rPr>
            </w:pPr>
            <w:r w:rsidRPr="00C057A8">
              <w:rPr>
                <w:b/>
              </w:rPr>
              <w:t>Dec 31, 20</w:t>
            </w:r>
            <w:r>
              <w:rPr>
                <w:b/>
              </w:rPr>
              <w:t>22</w:t>
            </w:r>
          </w:p>
        </w:tc>
        <w:tc>
          <w:tcPr>
            <w:tcW w:w="283" w:type="dxa"/>
            <w:tcBorders>
              <w:top w:val="nil"/>
              <w:bottom w:val="single" w:sz="2" w:space="0" w:color="1F4E79" w:themeColor="accent1" w:themeShade="80"/>
            </w:tcBorders>
            <w:shd w:val="clear" w:color="auto" w:fill="auto"/>
          </w:tcPr>
          <w:p w14:paraId="22B0F14F" w14:textId="77777777" w:rsidR="00C20063" w:rsidRPr="00C057A8" w:rsidRDefault="00C20063"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792632D2" w14:textId="77777777" w:rsidR="00C20063" w:rsidRPr="00C057A8" w:rsidRDefault="00C20063" w:rsidP="00DC062C">
            <w:pPr>
              <w:pStyle w:val="08-Tabelageral"/>
              <w:rPr>
                <w:rFonts w:cs="Arial"/>
                <w:b/>
              </w:rPr>
            </w:pPr>
            <w:r>
              <w:rPr>
                <w:b/>
              </w:rPr>
              <w:t>Mar</w:t>
            </w:r>
            <w:r w:rsidRPr="00C057A8">
              <w:rPr>
                <w:b/>
              </w:rPr>
              <w:t xml:space="preserve"> 3</w:t>
            </w:r>
            <w:r>
              <w:rPr>
                <w:b/>
              </w:rPr>
              <w:t>1</w:t>
            </w:r>
            <w:r w:rsidRPr="00C057A8">
              <w:rPr>
                <w:b/>
              </w:rPr>
              <w:t>, 202</w:t>
            </w:r>
            <w:r>
              <w:rPr>
                <w:b/>
              </w:rPr>
              <w:t>3</w:t>
            </w:r>
          </w:p>
        </w:tc>
        <w:tc>
          <w:tcPr>
            <w:tcW w:w="1418" w:type="dxa"/>
            <w:tcBorders>
              <w:top w:val="single" w:sz="2" w:space="0" w:color="1F4E79" w:themeColor="accent1" w:themeShade="80"/>
              <w:bottom w:val="single" w:sz="2" w:space="0" w:color="1F4E79" w:themeColor="accent1" w:themeShade="80"/>
            </w:tcBorders>
            <w:shd w:val="clear" w:color="auto" w:fill="auto"/>
          </w:tcPr>
          <w:p w14:paraId="49789B4C" w14:textId="77777777" w:rsidR="00C20063" w:rsidRPr="00C057A8" w:rsidRDefault="00C20063" w:rsidP="00DC062C">
            <w:pPr>
              <w:pStyle w:val="08-Tabelageral"/>
              <w:rPr>
                <w:rFonts w:cs="Arial"/>
                <w:b/>
              </w:rPr>
            </w:pPr>
            <w:r w:rsidRPr="00C057A8">
              <w:rPr>
                <w:b/>
              </w:rPr>
              <w:t>Dec 31, 20</w:t>
            </w:r>
            <w:r>
              <w:rPr>
                <w:b/>
              </w:rPr>
              <w:t>22</w:t>
            </w:r>
          </w:p>
        </w:tc>
      </w:tr>
      <w:tr w:rsidR="00C20063" w:rsidRPr="00E16069" w14:paraId="04C0F745" w14:textId="77777777" w:rsidTr="00DC062C">
        <w:trPr>
          <w:trHeight w:val="238"/>
        </w:trPr>
        <w:tc>
          <w:tcPr>
            <w:tcW w:w="3402" w:type="dxa"/>
            <w:tcBorders>
              <w:top w:val="single" w:sz="2" w:space="0" w:color="1F4E79" w:themeColor="accent1" w:themeShade="80"/>
              <w:bottom w:val="nil"/>
            </w:tcBorders>
            <w:shd w:val="clear" w:color="auto" w:fill="auto"/>
          </w:tcPr>
          <w:p w14:paraId="6D20522B" w14:textId="77777777" w:rsidR="00C20063" w:rsidRPr="00E16069" w:rsidRDefault="00C20063" w:rsidP="00DC062C">
            <w:pPr>
              <w:pStyle w:val="08-Tabelageral"/>
              <w:ind w:left="113"/>
              <w:jc w:val="left"/>
              <w:rPr>
                <w:rFonts w:cs="Arial"/>
                <w:szCs w:val="14"/>
              </w:rPr>
            </w:pPr>
            <w:r>
              <w:rPr>
                <w:rFonts w:cs="Arial"/>
                <w:szCs w:val="14"/>
              </w:rPr>
              <w:t>Icome tax</w:t>
            </w:r>
          </w:p>
        </w:tc>
        <w:tc>
          <w:tcPr>
            <w:tcW w:w="296" w:type="dxa"/>
            <w:tcBorders>
              <w:top w:val="single" w:sz="2" w:space="0" w:color="1F4E79" w:themeColor="accent1" w:themeShade="80"/>
            </w:tcBorders>
            <w:shd w:val="clear" w:color="auto" w:fill="auto"/>
          </w:tcPr>
          <w:p w14:paraId="0BFD2E7D" w14:textId="77777777" w:rsidR="00C20063" w:rsidRPr="00E16069" w:rsidRDefault="00C20063" w:rsidP="00DC062C">
            <w:pPr>
              <w:pStyle w:val="08-Tabelageral"/>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0AED366C" w14:textId="77777777" w:rsidR="00C20063" w:rsidRPr="00E16069" w:rsidRDefault="00C20063" w:rsidP="00DC062C">
            <w:pPr>
              <w:pStyle w:val="08-Tabelageral"/>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vAlign w:val="center"/>
          </w:tcPr>
          <w:p w14:paraId="494D8BE0" w14:textId="77777777" w:rsidR="00C20063" w:rsidRPr="00E16069" w:rsidRDefault="00C20063" w:rsidP="00DC062C">
            <w:pPr>
              <w:pStyle w:val="08-Tabelageral"/>
              <w:ind w:left="113"/>
              <w:rPr>
                <w:rFonts w:cs="Arial"/>
                <w:szCs w:val="14"/>
              </w:rPr>
            </w:pPr>
            <w:r>
              <w:rPr>
                <w:rFonts w:cs="Arial"/>
                <w:szCs w:val="14"/>
              </w:rPr>
              <w:t>--</w:t>
            </w:r>
          </w:p>
        </w:tc>
        <w:tc>
          <w:tcPr>
            <w:tcW w:w="283" w:type="dxa"/>
            <w:tcBorders>
              <w:top w:val="single" w:sz="2" w:space="0" w:color="1F4E79" w:themeColor="accent1" w:themeShade="80"/>
            </w:tcBorders>
            <w:shd w:val="clear" w:color="auto" w:fill="auto"/>
            <w:vAlign w:val="center"/>
          </w:tcPr>
          <w:p w14:paraId="3EFBE485" w14:textId="77777777" w:rsidR="00C20063" w:rsidRPr="00E16069" w:rsidRDefault="00C20063" w:rsidP="00DC062C">
            <w:pPr>
              <w:pStyle w:val="08-Tabelageral"/>
              <w:ind w:left="113"/>
              <w:rPr>
                <w:rFonts w:cs="Arial"/>
                <w:szCs w:val="14"/>
              </w:rPr>
            </w:pPr>
          </w:p>
        </w:tc>
        <w:tc>
          <w:tcPr>
            <w:tcW w:w="1417" w:type="dxa"/>
            <w:tcBorders>
              <w:top w:val="single" w:sz="2" w:space="0" w:color="1F4E79" w:themeColor="accent1" w:themeShade="80"/>
            </w:tcBorders>
            <w:shd w:val="clear" w:color="auto" w:fill="auto"/>
            <w:vAlign w:val="center"/>
          </w:tcPr>
          <w:p w14:paraId="607A9B7B" w14:textId="77777777" w:rsidR="00C20063" w:rsidRPr="00E16069" w:rsidRDefault="00C20063" w:rsidP="00DC062C">
            <w:pPr>
              <w:pStyle w:val="08-Tabelageral"/>
              <w:ind w:left="113"/>
              <w:rPr>
                <w:rFonts w:cs="Arial"/>
                <w:szCs w:val="14"/>
              </w:rPr>
            </w:pPr>
            <w:r>
              <w:rPr>
                <w:rFonts w:cs="Arial"/>
                <w:szCs w:val="14"/>
              </w:rPr>
              <w:t>269,699</w:t>
            </w:r>
          </w:p>
        </w:tc>
        <w:tc>
          <w:tcPr>
            <w:tcW w:w="1418" w:type="dxa"/>
            <w:tcBorders>
              <w:top w:val="single" w:sz="2" w:space="0" w:color="1F4E79" w:themeColor="accent1" w:themeShade="80"/>
            </w:tcBorders>
            <w:shd w:val="clear" w:color="auto" w:fill="auto"/>
            <w:vAlign w:val="center"/>
          </w:tcPr>
          <w:p w14:paraId="5AAB9D5E" w14:textId="77777777" w:rsidR="00C20063" w:rsidRPr="00E16069" w:rsidRDefault="00C20063" w:rsidP="00DC062C">
            <w:pPr>
              <w:pStyle w:val="08-Tabelageral"/>
              <w:ind w:left="113"/>
              <w:rPr>
                <w:rFonts w:cs="Arial"/>
                <w:szCs w:val="14"/>
              </w:rPr>
            </w:pPr>
            <w:r>
              <w:rPr>
                <w:rFonts w:cs="Arial"/>
                <w:szCs w:val="14"/>
              </w:rPr>
              <w:t>720,405</w:t>
            </w:r>
          </w:p>
        </w:tc>
      </w:tr>
      <w:tr w:rsidR="00C20063" w:rsidRPr="00E16069" w14:paraId="577E5468" w14:textId="77777777" w:rsidTr="00DC062C">
        <w:trPr>
          <w:trHeight w:val="238"/>
        </w:trPr>
        <w:tc>
          <w:tcPr>
            <w:tcW w:w="3402" w:type="dxa"/>
            <w:shd w:val="clear" w:color="auto" w:fill="auto"/>
          </w:tcPr>
          <w:p w14:paraId="79DAB68E" w14:textId="77777777" w:rsidR="00C20063" w:rsidRPr="00E16069" w:rsidRDefault="00C20063" w:rsidP="00DC062C">
            <w:pPr>
              <w:pStyle w:val="08-Tabelageral"/>
              <w:tabs>
                <w:tab w:val="right" w:pos="2878"/>
              </w:tabs>
              <w:ind w:left="113"/>
              <w:jc w:val="left"/>
              <w:rPr>
                <w:rFonts w:cs="Arial"/>
                <w:szCs w:val="14"/>
              </w:rPr>
            </w:pPr>
            <w:r>
              <w:rPr>
                <w:rFonts w:cs="Arial"/>
                <w:szCs w:val="14"/>
              </w:rPr>
              <w:t>Social contribution</w:t>
            </w:r>
            <w:r w:rsidRPr="00E16069">
              <w:rPr>
                <w:rFonts w:cs="Arial"/>
                <w:szCs w:val="14"/>
              </w:rPr>
              <w:tab/>
            </w:r>
          </w:p>
        </w:tc>
        <w:tc>
          <w:tcPr>
            <w:tcW w:w="296" w:type="dxa"/>
            <w:shd w:val="clear" w:color="auto" w:fill="auto"/>
          </w:tcPr>
          <w:p w14:paraId="569A5108" w14:textId="77777777" w:rsidR="00C20063" w:rsidRPr="00E16069" w:rsidRDefault="00C20063" w:rsidP="00DC062C">
            <w:pPr>
              <w:pStyle w:val="08-Tabelageral"/>
              <w:ind w:left="113"/>
              <w:jc w:val="center"/>
              <w:rPr>
                <w:rFonts w:cs="Arial"/>
                <w:szCs w:val="14"/>
              </w:rPr>
            </w:pPr>
          </w:p>
        </w:tc>
        <w:tc>
          <w:tcPr>
            <w:tcW w:w="1411" w:type="dxa"/>
            <w:shd w:val="clear" w:color="auto" w:fill="auto"/>
            <w:vAlign w:val="center"/>
          </w:tcPr>
          <w:p w14:paraId="79238C06" w14:textId="77777777" w:rsidR="00C20063" w:rsidRPr="00E16069" w:rsidRDefault="00C20063" w:rsidP="00DC062C">
            <w:pPr>
              <w:pStyle w:val="08-Tabelageral"/>
              <w:ind w:left="113"/>
              <w:rPr>
                <w:rFonts w:cs="Arial"/>
                <w:szCs w:val="14"/>
              </w:rPr>
            </w:pPr>
            <w:r>
              <w:rPr>
                <w:rFonts w:cs="Arial"/>
                <w:szCs w:val="14"/>
              </w:rPr>
              <w:t>--</w:t>
            </w:r>
          </w:p>
        </w:tc>
        <w:tc>
          <w:tcPr>
            <w:tcW w:w="1412" w:type="dxa"/>
            <w:shd w:val="clear" w:color="auto" w:fill="auto"/>
            <w:vAlign w:val="center"/>
          </w:tcPr>
          <w:p w14:paraId="63BFC680" w14:textId="77777777" w:rsidR="00C20063" w:rsidRPr="00E16069" w:rsidRDefault="00C20063" w:rsidP="00DC062C">
            <w:pPr>
              <w:pStyle w:val="08-Tabelageral"/>
              <w:ind w:left="113"/>
              <w:rPr>
                <w:rFonts w:cs="Arial"/>
                <w:szCs w:val="14"/>
              </w:rPr>
            </w:pPr>
            <w:r>
              <w:rPr>
                <w:rFonts w:cs="Arial"/>
                <w:szCs w:val="14"/>
              </w:rPr>
              <w:t>--</w:t>
            </w:r>
          </w:p>
        </w:tc>
        <w:tc>
          <w:tcPr>
            <w:tcW w:w="283" w:type="dxa"/>
            <w:shd w:val="clear" w:color="auto" w:fill="auto"/>
            <w:vAlign w:val="center"/>
          </w:tcPr>
          <w:p w14:paraId="4F2F144F" w14:textId="77777777" w:rsidR="00C20063" w:rsidRPr="00E16069" w:rsidRDefault="00C20063" w:rsidP="00DC062C">
            <w:pPr>
              <w:pStyle w:val="08-Tabelageral"/>
              <w:ind w:left="113"/>
              <w:rPr>
                <w:rFonts w:cs="Arial"/>
                <w:szCs w:val="14"/>
              </w:rPr>
            </w:pPr>
          </w:p>
        </w:tc>
        <w:tc>
          <w:tcPr>
            <w:tcW w:w="1417" w:type="dxa"/>
            <w:shd w:val="clear" w:color="auto" w:fill="auto"/>
            <w:vAlign w:val="center"/>
          </w:tcPr>
          <w:p w14:paraId="5C2B058C" w14:textId="77777777" w:rsidR="00C20063" w:rsidRPr="00E16069" w:rsidRDefault="00C20063" w:rsidP="00DC062C">
            <w:pPr>
              <w:pStyle w:val="08-Tabelageral"/>
              <w:ind w:left="113"/>
              <w:rPr>
                <w:rFonts w:cs="Arial"/>
                <w:szCs w:val="14"/>
              </w:rPr>
            </w:pPr>
            <w:r>
              <w:rPr>
                <w:rFonts w:cs="Arial"/>
                <w:szCs w:val="14"/>
              </w:rPr>
              <w:t>97,096</w:t>
            </w:r>
          </w:p>
        </w:tc>
        <w:tc>
          <w:tcPr>
            <w:tcW w:w="1418" w:type="dxa"/>
            <w:shd w:val="clear" w:color="auto" w:fill="auto"/>
            <w:vAlign w:val="center"/>
          </w:tcPr>
          <w:p w14:paraId="7980A672" w14:textId="77777777" w:rsidR="00C20063" w:rsidRPr="00E16069" w:rsidRDefault="00C20063" w:rsidP="00DC062C">
            <w:pPr>
              <w:pStyle w:val="08-Tabelageral"/>
              <w:ind w:left="113"/>
              <w:rPr>
                <w:rFonts w:cs="Arial"/>
                <w:szCs w:val="14"/>
              </w:rPr>
            </w:pPr>
            <w:r>
              <w:rPr>
                <w:rFonts w:cs="Arial"/>
                <w:szCs w:val="14"/>
              </w:rPr>
              <w:t>235,655</w:t>
            </w:r>
          </w:p>
        </w:tc>
      </w:tr>
      <w:tr w:rsidR="00C20063" w:rsidRPr="00E16069" w14:paraId="0AD881E9" w14:textId="77777777" w:rsidTr="00DC062C">
        <w:trPr>
          <w:trHeight w:val="238"/>
        </w:trPr>
        <w:tc>
          <w:tcPr>
            <w:tcW w:w="3402" w:type="dxa"/>
            <w:shd w:val="clear" w:color="auto" w:fill="auto"/>
          </w:tcPr>
          <w:p w14:paraId="2478F053" w14:textId="77777777" w:rsidR="00C20063" w:rsidRPr="00E16069" w:rsidRDefault="00C20063" w:rsidP="00DC062C">
            <w:pPr>
              <w:pStyle w:val="08-Tabelageral"/>
              <w:ind w:left="113"/>
              <w:jc w:val="left"/>
              <w:rPr>
                <w:rFonts w:cs="Arial"/>
                <w:szCs w:val="14"/>
              </w:rPr>
            </w:pPr>
            <w:r w:rsidRPr="00E16069">
              <w:rPr>
                <w:rFonts w:cs="Arial"/>
                <w:szCs w:val="14"/>
              </w:rPr>
              <w:t>Cofins</w:t>
            </w:r>
          </w:p>
        </w:tc>
        <w:tc>
          <w:tcPr>
            <w:tcW w:w="296" w:type="dxa"/>
            <w:shd w:val="clear" w:color="auto" w:fill="auto"/>
          </w:tcPr>
          <w:p w14:paraId="4EA87220" w14:textId="77777777" w:rsidR="00C20063" w:rsidRPr="00E16069" w:rsidRDefault="00C20063" w:rsidP="00DC062C">
            <w:pPr>
              <w:pStyle w:val="08-Tabelageral"/>
              <w:ind w:left="113"/>
              <w:jc w:val="center"/>
              <w:rPr>
                <w:rFonts w:cs="Arial"/>
                <w:szCs w:val="14"/>
              </w:rPr>
            </w:pPr>
          </w:p>
        </w:tc>
        <w:tc>
          <w:tcPr>
            <w:tcW w:w="1411" w:type="dxa"/>
            <w:shd w:val="clear" w:color="auto" w:fill="auto"/>
            <w:vAlign w:val="center"/>
          </w:tcPr>
          <w:p w14:paraId="2F2F0487" w14:textId="77777777" w:rsidR="00C20063" w:rsidRPr="00E16069" w:rsidRDefault="00C20063" w:rsidP="00DC062C">
            <w:pPr>
              <w:pStyle w:val="08-Tabelageral"/>
              <w:ind w:left="113"/>
              <w:rPr>
                <w:rFonts w:cs="Arial"/>
                <w:szCs w:val="14"/>
              </w:rPr>
            </w:pPr>
            <w:r>
              <w:rPr>
                <w:rFonts w:cs="Arial"/>
                <w:szCs w:val="14"/>
              </w:rPr>
              <w:t>313</w:t>
            </w:r>
          </w:p>
        </w:tc>
        <w:tc>
          <w:tcPr>
            <w:tcW w:w="1412" w:type="dxa"/>
            <w:shd w:val="clear" w:color="auto" w:fill="auto"/>
            <w:vAlign w:val="center"/>
          </w:tcPr>
          <w:p w14:paraId="39CD6CC9" w14:textId="77777777" w:rsidR="00C20063" w:rsidRPr="00E16069" w:rsidRDefault="00C20063" w:rsidP="00DC062C">
            <w:pPr>
              <w:pStyle w:val="08-Tabelageral"/>
              <w:ind w:left="113"/>
              <w:rPr>
                <w:rFonts w:cs="Arial"/>
                <w:szCs w:val="14"/>
              </w:rPr>
            </w:pPr>
            <w:r>
              <w:rPr>
                <w:rFonts w:cs="Arial"/>
                <w:szCs w:val="14"/>
              </w:rPr>
              <w:t>52</w:t>
            </w:r>
          </w:p>
        </w:tc>
        <w:tc>
          <w:tcPr>
            <w:tcW w:w="283" w:type="dxa"/>
            <w:shd w:val="clear" w:color="auto" w:fill="auto"/>
            <w:vAlign w:val="center"/>
          </w:tcPr>
          <w:p w14:paraId="18D32846" w14:textId="77777777" w:rsidR="00C20063" w:rsidRPr="00E16069" w:rsidRDefault="00C20063" w:rsidP="00DC062C">
            <w:pPr>
              <w:pStyle w:val="08-Tabelageral"/>
              <w:ind w:left="113"/>
              <w:rPr>
                <w:rFonts w:cs="Arial"/>
                <w:szCs w:val="14"/>
              </w:rPr>
            </w:pPr>
          </w:p>
        </w:tc>
        <w:tc>
          <w:tcPr>
            <w:tcW w:w="1417" w:type="dxa"/>
            <w:shd w:val="clear" w:color="auto" w:fill="auto"/>
            <w:vAlign w:val="center"/>
          </w:tcPr>
          <w:p w14:paraId="77BCC351" w14:textId="77777777" w:rsidR="00C20063" w:rsidRPr="00E16069" w:rsidRDefault="00C20063" w:rsidP="00DC062C">
            <w:pPr>
              <w:pStyle w:val="08-Tabelageral"/>
              <w:ind w:left="113"/>
              <w:rPr>
                <w:rFonts w:cs="Arial"/>
                <w:szCs w:val="14"/>
              </w:rPr>
            </w:pPr>
            <w:r>
              <w:rPr>
                <w:rFonts w:cs="Arial"/>
                <w:szCs w:val="14"/>
              </w:rPr>
              <w:t>34,382</w:t>
            </w:r>
          </w:p>
        </w:tc>
        <w:tc>
          <w:tcPr>
            <w:tcW w:w="1418" w:type="dxa"/>
            <w:shd w:val="clear" w:color="auto" w:fill="auto"/>
            <w:vAlign w:val="center"/>
          </w:tcPr>
          <w:p w14:paraId="1F9DFBFB" w14:textId="77777777" w:rsidR="00C20063" w:rsidRPr="00E16069" w:rsidRDefault="00C20063" w:rsidP="00DC062C">
            <w:pPr>
              <w:pStyle w:val="08-Tabelageral"/>
              <w:ind w:left="113"/>
              <w:rPr>
                <w:rFonts w:cs="Arial"/>
                <w:szCs w:val="14"/>
              </w:rPr>
            </w:pPr>
            <w:r>
              <w:rPr>
                <w:rFonts w:cs="Arial"/>
                <w:szCs w:val="14"/>
              </w:rPr>
              <w:t>56,710</w:t>
            </w:r>
          </w:p>
        </w:tc>
      </w:tr>
      <w:tr w:rsidR="00C20063" w:rsidRPr="00E16069" w14:paraId="1F8D93A6" w14:textId="77777777" w:rsidTr="00DC062C">
        <w:trPr>
          <w:trHeight w:val="238"/>
        </w:trPr>
        <w:tc>
          <w:tcPr>
            <w:tcW w:w="3402" w:type="dxa"/>
            <w:shd w:val="clear" w:color="auto" w:fill="auto"/>
          </w:tcPr>
          <w:p w14:paraId="2EFC8430" w14:textId="77777777" w:rsidR="00C20063" w:rsidRPr="00E16069" w:rsidRDefault="00C20063" w:rsidP="00DC062C">
            <w:pPr>
              <w:pStyle w:val="08-Tabelageral"/>
              <w:ind w:left="113"/>
              <w:jc w:val="left"/>
              <w:rPr>
                <w:rFonts w:cs="Arial"/>
                <w:szCs w:val="14"/>
              </w:rPr>
            </w:pPr>
            <w:r w:rsidRPr="00E16069">
              <w:rPr>
                <w:rFonts w:cs="Arial"/>
                <w:szCs w:val="14"/>
              </w:rPr>
              <w:t>ISS</w:t>
            </w:r>
          </w:p>
        </w:tc>
        <w:tc>
          <w:tcPr>
            <w:tcW w:w="296" w:type="dxa"/>
            <w:shd w:val="clear" w:color="auto" w:fill="auto"/>
          </w:tcPr>
          <w:p w14:paraId="2867F649" w14:textId="77777777" w:rsidR="00C20063" w:rsidRPr="00E16069" w:rsidRDefault="00C20063" w:rsidP="00DC062C">
            <w:pPr>
              <w:pStyle w:val="08-Tabelageral"/>
              <w:ind w:left="113"/>
              <w:jc w:val="center"/>
              <w:rPr>
                <w:rFonts w:cs="Arial"/>
                <w:szCs w:val="14"/>
              </w:rPr>
            </w:pPr>
          </w:p>
        </w:tc>
        <w:tc>
          <w:tcPr>
            <w:tcW w:w="1411" w:type="dxa"/>
            <w:shd w:val="clear" w:color="auto" w:fill="auto"/>
            <w:vAlign w:val="center"/>
          </w:tcPr>
          <w:p w14:paraId="376027FC" w14:textId="77777777" w:rsidR="00C20063" w:rsidRPr="00E16069" w:rsidRDefault="00C20063" w:rsidP="00DC062C">
            <w:pPr>
              <w:pStyle w:val="08-Tabelageral"/>
              <w:ind w:left="113"/>
              <w:rPr>
                <w:rFonts w:cs="Arial"/>
                <w:szCs w:val="14"/>
              </w:rPr>
            </w:pPr>
            <w:r>
              <w:rPr>
                <w:rFonts w:cs="Arial"/>
                <w:szCs w:val="14"/>
              </w:rPr>
              <w:t>--</w:t>
            </w:r>
          </w:p>
        </w:tc>
        <w:tc>
          <w:tcPr>
            <w:tcW w:w="1412" w:type="dxa"/>
            <w:shd w:val="clear" w:color="auto" w:fill="auto"/>
            <w:vAlign w:val="center"/>
          </w:tcPr>
          <w:p w14:paraId="7EEAC3BD" w14:textId="77777777" w:rsidR="00C20063" w:rsidRPr="00E16069" w:rsidRDefault="00C20063" w:rsidP="00DC062C">
            <w:pPr>
              <w:pStyle w:val="08-Tabelageral"/>
              <w:ind w:left="113"/>
              <w:rPr>
                <w:rFonts w:cs="Arial"/>
                <w:szCs w:val="14"/>
              </w:rPr>
            </w:pPr>
            <w:r>
              <w:rPr>
                <w:rFonts w:cs="Arial"/>
                <w:szCs w:val="14"/>
              </w:rPr>
              <w:t>--</w:t>
            </w:r>
          </w:p>
        </w:tc>
        <w:tc>
          <w:tcPr>
            <w:tcW w:w="283" w:type="dxa"/>
            <w:shd w:val="clear" w:color="auto" w:fill="auto"/>
            <w:vAlign w:val="center"/>
          </w:tcPr>
          <w:p w14:paraId="0F6417A8" w14:textId="77777777" w:rsidR="00C20063" w:rsidRPr="00E16069" w:rsidRDefault="00C20063" w:rsidP="00DC062C">
            <w:pPr>
              <w:pStyle w:val="08-Tabelageral"/>
              <w:ind w:left="113"/>
              <w:rPr>
                <w:rFonts w:cs="Arial"/>
                <w:szCs w:val="14"/>
              </w:rPr>
            </w:pPr>
          </w:p>
        </w:tc>
        <w:tc>
          <w:tcPr>
            <w:tcW w:w="1417" w:type="dxa"/>
            <w:shd w:val="clear" w:color="auto" w:fill="auto"/>
            <w:vAlign w:val="center"/>
          </w:tcPr>
          <w:p w14:paraId="0DEC5463" w14:textId="77777777" w:rsidR="00C20063" w:rsidRPr="00E16069" w:rsidRDefault="00C20063" w:rsidP="00DC062C">
            <w:pPr>
              <w:pStyle w:val="08-Tabelageral"/>
              <w:ind w:left="113"/>
              <w:rPr>
                <w:rFonts w:cs="Arial"/>
                <w:szCs w:val="14"/>
              </w:rPr>
            </w:pPr>
            <w:r>
              <w:rPr>
                <w:rFonts w:cs="Arial"/>
                <w:szCs w:val="14"/>
              </w:rPr>
              <w:t>9,895</w:t>
            </w:r>
          </w:p>
        </w:tc>
        <w:tc>
          <w:tcPr>
            <w:tcW w:w="1418" w:type="dxa"/>
            <w:shd w:val="clear" w:color="auto" w:fill="auto"/>
            <w:vAlign w:val="center"/>
          </w:tcPr>
          <w:p w14:paraId="3E6E10F6" w14:textId="77777777" w:rsidR="00C20063" w:rsidRPr="00E16069" w:rsidRDefault="00C20063" w:rsidP="00DC062C">
            <w:pPr>
              <w:pStyle w:val="08-Tabelageral"/>
              <w:ind w:left="113"/>
              <w:rPr>
                <w:rFonts w:cs="Arial"/>
                <w:szCs w:val="14"/>
              </w:rPr>
            </w:pPr>
            <w:r>
              <w:rPr>
                <w:rFonts w:cs="Arial"/>
                <w:szCs w:val="14"/>
              </w:rPr>
              <w:t>14,121</w:t>
            </w:r>
          </w:p>
        </w:tc>
      </w:tr>
      <w:tr w:rsidR="00C20063" w:rsidRPr="00E16069" w14:paraId="68CB8732" w14:textId="77777777" w:rsidTr="00DC062C">
        <w:trPr>
          <w:trHeight w:val="238"/>
        </w:trPr>
        <w:tc>
          <w:tcPr>
            <w:tcW w:w="3402" w:type="dxa"/>
            <w:shd w:val="clear" w:color="auto" w:fill="auto"/>
          </w:tcPr>
          <w:p w14:paraId="1565F876" w14:textId="77777777" w:rsidR="00C20063" w:rsidRPr="00E16069" w:rsidRDefault="00C20063" w:rsidP="00DC062C">
            <w:pPr>
              <w:pStyle w:val="08-Tabelageral"/>
              <w:ind w:left="113"/>
              <w:jc w:val="left"/>
              <w:rPr>
                <w:rFonts w:cs="Arial"/>
                <w:szCs w:val="14"/>
              </w:rPr>
            </w:pPr>
            <w:r w:rsidRPr="00E16069">
              <w:rPr>
                <w:rFonts w:cs="Arial"/>
                <w:szCs w:val="14"/>
              </w:rPr>
              <w:t>Pasep</w:t>
            </w:r>
          </w:p>
        </w:tc>
        <w:tc>
          <w:tcPr>
            <w:tcW w:w="296" w:type="dxa"/>
            <w:shd w:val="clear" w:color="auto" w:fill="auto"/>
          </w:tcPr>
          <w:p w14:paraId="03F98057" w14:textId="77777777" w:rsidR="00C20063" w:rsidRPr="00E16069" w:rsidRDefault="00C20063" w:rsidP="00DC062C">
            <w:pPr>
              <w:pStyle w:val="08-Tabelageral"/>
              <w:ind w:left="113"/>
              <w:jc w:val="center"/>
              <w:rPr>
                <w:rFonts w:cs="Arial"/>
                <w:szCs w:val="14"/>
              </w:rPr>
            </w:pPr>
          </w:p>
        </w:tc>
        <w:tc>
          <w:tcPr>
            <w:tcW w:w="1411" w:type="dxa"/>
            <w:shd w:val="clear" w:color="auto" w:fill="auto"/>
            <w:vAlign w:val="center"/>
          </w:tcPr>
          <w:p w14:paraId="15BD494C" w14:textId="77777777" w:rsidR="00C20063" w:rsidRPr="00E16069" w:rsidRDefault="00C20063" w:rsidP="00DC062C">
            <w:pPr>
              <w:pStyle w:val="08-Tabelageral"/>
              <w:ind w:left="113"/>
              <w:rPr>
                <w:rFonts w:cs="Arial"/>
                <w:szCs w:val="14"/>
              </w:rPr>
            </w:pPr>
            <w:r>
              <w:rPr>
                <w:rFonts w:cs="Arial"/>
                <w:szCs w:val="14"/>
              </w:rPr>
              <w:t>61</w:t>
            </w:r>
          </w:p>
        </w:tc>
        <w:tc>
          <w:tcPr>
            <w:tcW w:w="1412" w:type="dxa"/>
            <w:shd w:val="clear" w:color="auto" w:fill="auto"/>
            <w:vAlign w:val="center"/>
          </w:tcPr>
          <w:p w14:paraId="19B1AB39" w14:textId="77777777" w:rsidR="00C20063" w:rsidRPr="00E16069" w:rsidRDefault="00C20063" w:rsidP="00DC062C">
            <w:pPr>
              <w:pStyle w:val="08-Tabelageral"/>
              <w:ind w:left="113"/>
              <w:rPr>
                <w:rFonts w:cs="Arial"/>
                <w:szCs w:val="14"/>
              </w:rPr>
            </w:pPr>
            <w:r>
              <w:rPr>
                <w:rFonts w:cs="Arial"/>
                <w:szCs w:val="14"/>
              </w:rPr>
              <w:t>8</w:t>
            </w:r>
          </w:p>
        </w:tc>
        <w:tc>
          <w:tcPr>
            <w:tcW w:w="283" w:type="dxa"/>
            <w:shd w:val="clear" w:color="auto" w:fill="auto"/>
            <w:vAlign w:val="center"/>
          </w:tcPr>
          <w:p w14:paraId="50026F8A" w14:textId="77777777" w:rsidR="00C20063" w:rsidRPr="00E16069" w:rsidRDefault="00C20063" w:rsidP="00DC062C">
            <w:pPr>
              <w:pStyle w:val="08-Tabelageral"/>
              <w:ind w:left="113"/>
              <w:rPr>
                <w:rFonts w:cs="Arial"/>
                <w:szCs w:val="14"/>
              </w:rPr>
            </w:pPr>
          </w:p>
        </w:tc>
        <w:tc>
          <w:tcPr>
            <w:tcW w:w="1417" w:type="dxa"/>
            <w:shd w:val="clear" w:color="auto" w:fill="auto"/>
            <w:vAlign w:val="center"/>
          </w:tcPr>
          <w:p w14:paraId="087DE611" w14:textId="77777777" w:rsidR="00C20063" w:rsidRPr="00E16069" w:rsidRDefault="00C20063" w:rsidP="00DC062C">
            <w:pPr>
              <w:pStyle w:val="08-Tabelageral"/>
              <w:ind w:left="113"/>
              <w:rPr>
                <w:rFonts w:cs="Arial"/>
                <w:szCs w:val="14"/>
              </w:rPr>
            </w:pPr>
            <w:r>
              <w:rPr>
                <w:rFonts w:cs="Arial"/>
                <w:szCs w:val="14"/>
              </w:rPr>
              <w:t>7,372</w:t>
            </w:r>
          </w:p>
        </w:tc>
        <w:tc>
          <w:tcPr>
            <w:tcW w:w="1418" w:type="dxa"/>
            <w:shd w:val="clear" w:color="auto" w:fill="auto"/>
            <w:vAlign w:val="center"/>
          </w:tcPr>
          <w:p w14:paraId="60EFC0FD" w14:textId="77777777" w:rsidR="00C20063" w:rsidRPr="00E16069" w:rsidRDefault="00C20063" w:rsidP="00DC062C">
            <w:pPr>
              <w:pStyle w:val="08-Tabelageral"/>
              <w:ind w:left="113"/>
              <w:rPr>
                <w:rFonts w:cs="Arial"/>
                <w:szCs w:val="14"/>
              </w:rPr>
            </w:pPr>
            <w:r>
              <w:rPr>
                <w:rFonts w:cs="Arial"/>
                <w:szCs w:val="14"/>
              </w:rPr>
              <w:t>12,162</w:t>
            </w:r>
          </w:p>
        </w:tc>
      </w:tr>
      <w:tr w:rsidR="00C20063" w:rsidRPr="00E16069" w14:paraId="7BA3EADF" w14:textId="77777777" w:rsidTr="00DC062C">
        <w:trPr>
          <w:trHeight w:val="238"/>
        </w:trPr>
        <w:tc>
          <w:tcPr>
            <w:tcW w:w="3402" w:type="dxa"/>
            <w:shd w:val="clear" w:color="auto" w:fill="auto"/>
          </w:tcPr>
          <w:p w14:paraId="630E6879" w14:textId="77777777" w:rsidR="00C20063" w:rsidRPr="00E16069" w:rsidRDefault="00C20063" w:rsidP="00DC062C">
            <w:pPr>
              <w:pStyle w:val="08-Tabelageral"/>
              <w:ind w:left="113"/>
              <w:jc w:val="left"/>
              <w:rPr>
                <w:rFonts w:cs="Arial"/>
                <w:szCs w:val="14"/>
              </w:rPr>
            </w:pPr>
            <w:r>
              <w:rPr>
                <w:rFonts w:cs="Arial"/>
                <w:szCs w:val="14"/>
              </w:rPr>
              <w:t>Other</w:t>
            </w:r>
          </w:p>
        </w:tc>
        <w:tc>
          <w:tcPr>
            <w:tcW w:w="296" w:type="dxa"/>
            <w:shd w:val="clear" w:color="auto" w:fill="auto"/>
          </w:tcPr>
          <w:p w14:paraId="3ACAC598" w14:textId="77777777" w:rsidR="00C20063" w:rsidRPr="00E16069" w:rsidRDefault="00C20063" w:rsidP="00DC062C">
            <w:pPr>
              <w:pStyle w:val="08-Tabelageral"/>
              <w:jc w:val="center"/>
              <w:rPr>
                <w:rFonts w:cs="Arial"/>
                <w:szCs w:val="14"/>
              </w:rPr>
            </w:pPr>
          </w:p>
        </w:tc>
        <w:tc>
          <w:tcPr>
            <w:tcW w:w="1411" w:type="dxa"/>
            <w:shd w:val="clear" w:color="auto" w:fill="auto"/>
            <w:vAlign w:val="center"/>
          </w:tcPr>
          <w:p w14:paraId="100B37AE" w14:textId="77777777" w:rsidR="00C20063" w:rsidRPr="00E16069" w:rsidRDefault="00C20063" w:rsidP="00DC062C">
            <w:pPr>
              <w:pStyle w:val="08-Tabelageral"/>
              <w:rPr>
                <w:rFonts w:cs="Arial"/>
                <w:szCs w:val="14"/>
              </w:rPr>
            </w:pPr>
            <w:r>
              <w:rPr>
                <w:rFonts w:cs="Arial"/>
                <w:szCs w:val="14"/>
              </w:rPr>
              <w:t>557</w:t>
            </w:r>
          </w:p>
        </w:tc>
        <w:tc>
          <w:tcPr>
            <w:tcW w:w="1412" w:type="dxa"/>
            <w:shd w:val="clear" w:color="auto" w:fill="auto"/>
            <w:vAlign w:val="center"/>
          </w:tcPr>
          <w:p w14:paraId="1963D16D" w14:textId="77777777" w:rsidR="00C20063" w:rsidRPr="00E16069" w:rsidRDefault="00C20063" w:rsidP="00DC062C">
            <w:pPr>
              <w:pStyle w:val="08-Tabelageral"/>
              <w:rPr>
                <w:rFonts w:cs="Arial"/>
                <w:szCs w:val="14"/>
              </w:rPr>
            </w:pPr>
            <w:r>
              <w:rPr>
                <w:rFonts w:cs="Arial"/>
                <w:szCs w:val="14"/>
              </w:rPr>
              <w:t>31</w:t>
            </w:r>
          </w:p>
        </w:tc>
        <w:tc>
          <w:tcPr>
            <w:tcW w:w="283" w:type="dxa"/>
            <w:shd w:val="clear" w:color="auto" w:fill="auto"/>
            <w:vAlign w:val="center"/>
          </w:tcPr>
          <w:p w14:paraId="2565F374" w14:textId="77777777" w:rsidR="00C20063" w:rsidRPr="00E16069" w:rsidRDefault="00C20063" w:rsidP="00DC062C">
            <w:pPr>
              <w:pStyle w:val="08-Tabelageral"/>
              <w:rPr>
                <w:rFonts w:cs="Arial"/>
                <w:szCs w:val="14"/>
              </w:rPr>
            </w:pPr>
          </w:p>
        </w:tc>
        <w:tc>
          <w:tcPr>
            <w:tcW w:w="1417" w:type="dxa"/>
            <w:shd w:val="clear" w:color="auto" w:fill="auto"/>
            <w:vAlign w:val="center"/>
          </w:tcPr>
          <w:p w14:paraId="53396D1A" w14:textId="77777777" w:rsidR="00C20063" w:rsidRPr="00E16069" w:rsidRDefault="00C20063" w:rsidP="00DC062C">
            <w:pPr>
              <w:pStyle w:val="08-Tabelageral"/>
              <w:rPr>
                <w:rFonts w:cs="Arial"/>
                <w:szCs w:val="14"/>
              </w:rPr>
            </w:pPr>
            <w:r>
              <w:rPr>
                <w:rFonts w:cs="Arial"/>
                <w:szCs w:val="14"/>
              </w:rPr>
              <w:t>584</w:t>
            </w:r>
          </w:p>
        </w:tc>
        <w:tc>
          <w:tcPr>
            <w:tcW w:w="1418" w:type="dxa"/>
            <w:shd w:val="clear" w:color="auto" w:fill="auto"/>
            <w:vAlign w:val="center"/>
          </w:tcPr>
          <w:p w14:paraId="5D1B4E9E" w14:textId="77777777" w:rsidR="00C20063" w:rsidRPr="00E16069" w:rsidRDefault="00C20063" w:rsidP="00DC062C">
            <w:pPr>
              <w:pStyle w:val="08-Tabelageral"/>
              <w:rPr>
                <w:rFonts w:cs="Arial"/>
                <w:szCs w:val="14"/>
              </w:rPr>
            </w:pPr>
            <w:r>
              <w:rPr>
                <w:rFonts w:cs="Arial"/>
                <w:szCs w:val="14"/>
              </w:rPr>
              <w:t>62</w:t>
            </w:r>
          </w:p>
        </w:tc>
      </w:tr>
      <w:tr w:rsidR="00C20063" w:rsidRPr="00E16069" w14:paraId="12079EF1" w14:textId="77777777" w:rsidTr="00DC062C">
        <w:trPr>
          <w:trHeight w:val="238"/>
        </w:trPr>
        <w:tc>
          <w:tcPr>
            <w:tcW w:w="3402" w:type="dxa"/>
            <w:tcBorders>
              <w:bottom w:val="nil"/>
            </w:tcBorders>
            <w:shd w:val="clear" w:color="auto" w:fill="auto"/>
          </w:tcPr>
          <w:p w14:paraId="5A76674B" w14:textId="77777777" w:rsidR="00C20063" w:rsidRPr="00E16069" w:rsidRDefault="00C20063" w:rsidP="00DC062C">
            <w:pPr>
              <w:pStyle w:val="08-Tabelageral"/>
              <w:ind w:left="113"/>
              <w:jc w:val="left"/>
              <w:rPr>
                <w:rFonts w:cs="Arial"/>
                <w:szCs w:val="14"/>
              </w:rPr>
            </w:pPr>
            <w:r w:rsidRPr="00E16069">
              <w:rPr>
                <w:rFonts w:cs="Arial"/>
                <w:szCs w:val="14"/>
              </w:rPr>
              <w:t>(-)</w:t>
            </w:r>
            <w:r>
              <w:rPr>
                <w:rFonts w:cs="Arial"/>
                <w:szCs w:val="14"/>
              </w:rPr>
              <w:t xml:space="preserve"> Current taxes deducted/offset</w:t>
            </w:r>
          </w:p>
        </w:tc>
        <w:tc>
          <w:tcPr>
            <w:tcW w:w="296" w:type="dxa"/>
            <w:tcBorders>
              <w:bottom w:val="nil"/>
            </w:tcBorders>
            <w:shd w:val="clear" w:color="auto" w:fill="auto"/>
          </w:tcPr>
          <w:p w14:paraId="0B6592DF" w14:textId="77777777" w:rsidR="00C20063" w:rsidRPr="00E16069" w:rsidRDefault="00C20063" w:rsidP="00DC062C">
            <w:pPr>
              <w:pStyle w:val="08-Tabelageral"/>
              <w:ind w:left="113"/>
              <w:jc w:val="center"/>
              <w:rPr>
                <w:rFonts w:cs="Arial"/>
                <w:szCs w:val="14"/>
              </w:rPr>
            </w:pPr>
          </w:p>
        </w:tc>
        <w:tc>
          <w:tcPr>
            <w:tcW w:w="1411" w:type="dxa"/>
            <w:tcBorders>
              <w:bottom w:val="nil"/>
            </w:tcBorders>
            <w:shd w:val="clear" w:color="auto" w:fill="auto"/>
            <w:vAlign w:val="center"/>
          </w:tcPr>
          <w:p w14:paraId="52C03AB2" w14:textId="77777777" w:rsidR="00C20063" w:rsidRPr="00E16069" w:rsidRDefault="00C20063" w:rsidP="00DC062C">
            <w:pPr>
              <w:pStyle w:val="08-Tabelageral"/>
              <w:ind w:left="113"/>
              <w:rPr>
                <w:rFonts w:cs="Arial"/>
                <w:szCs w:val="14"/>
              </w:rPr>
            </w:pPr>
            <w:r>
              <w:rPr>
                <w:rFonts w:cs="Arial"/>
                <w:szCs w:val="14"/>
              </w:rPr>
              <w:t>(374)</w:t>
            </w:r>
          </w:p>
        </w:tc>
        <w:tc>
          <w:tcPr>
            <w:tcW w:w="1412" w:type="dxa"/>
            <w:tcBorders>
              <w:bottom w:val="nil"/>
            </w:tcBorders>
            <w:shd w:val="clear" w:color="auto" w:fill="auto"/>
            <w:vAlign w:val="center"/>
          </w:tcPr>
          <w:p w14:paraId="339895A8" w14:textId="77777777" w:rsidR="00C20063" w:rsidRPr="00E16069" w:rsidRDefault="00C20063" w:rsidP="00DC062C">
            <w:pPr>
              <w:pStyle w:val="08-Tabelageral"/>
              <w:ind w:left="113"/>
              <w:rPr>
                <w:rFonts w:cs="Arial"/>
                <w:szCs w:val="14"/>
              </w:rPr>
            </w:pPr>
            <w:r>
              <w:rPr>
                <w:rFonts w:cs="Arial"/>
                <w:szCs w:val="14"/>
              </w:rPr>
              <w:t>(60)</w:t>
            </w:r>
          </w:p>
        </w:tc>
        <w:tc>
          <w:tcPr>
            <w:tcW w:w="283" w:type="dxa"/>
            <w:tcBorders>
              <w:bottom w:val="nil"/>
            </w:tcBorders>
            <w:shd w:val="clear" w:color="auto" w:fill="auto"/>
            <w:vAlign w:val="center"/>
          </w:tcPr>
          <w:p w14:paraId="7FB22372" w14:textId="77777777" w:rsidR="00C20063" w:rsidRPr="00E16069" w:rsidRDefault="00C20063" w:rsidP="00DC062C">
            <w:pPr>
              <w:pStyle w:val="08-Tabelageral"/>
              <w:ind w:left="113"/>
              <w:rPr>
                <w:rFonts w:cs="Arial"/>
                <w:szCs w:val="14"/>
              </w:rPr>
            </w:pPr>
          </w:p>
        </w:tc>
        <w:tc>
          <w:tcPr>
            <w:tcW w:w="1417" w:type="dxa"/>
            <w:tcBorders>
              <w:bottom w:val="nil"/>
            </w:tcBorders>
            <w:shd w:val="clear" w:color="auto" w:fill="auto"/>
            <w:vAlign w:val="center"/>
          </w:tcPr>
          <w:p w14:paraId="7006CF50" w14:textId="77777777" w:rsidR="00C20063" w:rsidRPr="00E16069" w:rsidRDefault="00C20063" w:rsidP="00DC062C">
            <w:pPr>
              <w:pStyle w:val="08-Tabelageral"/>
              <w:ind w:left="113"/>
              <w:rPr>
                <w:rFonts w:cs="Arial"/>
                <w:szCs w:val="14"/>
              </w:rPr>
            </w:pPr>
            <w:r>
              <w:rPr>
                <w:rFonts w:cs="Arial"/>
                <w:szCs w:val="14"/>
              </w:rPr>
              <w:t>(160,356)</w:t>
            </w:r>
          </w:p>
        </w:tc>
        <w:tc>
          <w:tcPr>
            <w:tcW w:w="1418" w:type="dxa"/>
            <w:tcBorders>
              <w:bottom w:val="nil"/>
            </w:tcBorders>
            <w:shd w:val="clear" w:color="auto" w:fill="auto"/>
            <w:vAlign w:val="center"/>
          </w:tcPr>
          <w:p w14:paraId="504C167D" w14:textId="77777777" w:rsidR="00C20063" w:rsidRPr="00E16069" w:rsidRDefault="00C20063" w:rsidP="00DC062C">
            <w:pPr>
              <w:pStyle w:val="08-Tabelageral"/>
              <w:ind w:left="113"/>
              <w:rPr>
                <w:rFonts w:cs="Arial"/>
                <w:szCs w:val="14"/>
              </w:rPr>
            </w:pPr>
            <w:r>
              <w:rPr>
                <w:rFonts w:cs="Arial"/>
                <w:szCs w:val="14"/>
              </w:rPr>
              <w:t>(75,241)</w:t>
            </w:r>
          </w:p>
        </w:tc>
      </w:tr>
      <w:tr w:rsidR="00C20063" w:rsidRPr="00E16069" w14:paraId="647B223A" w14:textId="77777777" w:rsidTr="00DC062C">
        <w:trPr>
          <w:trHeight w:val="238"/>
        </w:trPr>
        <w:tc>
          <w:tcPr>
            <w:tcW w:w="3402" w:type="dxa"/>
            <w:tcBorders>
              <w:top w:val="nil"/>
              <w:bottom w:val="single" w:sz="2" w:space="0" w:color="1F4E79" w:themeColor="accent1" w:themeShade="80"/>
            </w:tcBorders>
            <w:shd w:val="clear" w:color="auto" w:fill="auto"/>
          </w:tcPr>
          <w:p w14:paraId="49693BBF" w14:textId="77777777" w:rsidR="00C20063" w:rsidRPr="00E16069" w:rsidRDefault="00C20063" w:rsidP="00DC062C">
            <w:pPr>
              <w:pStyle w:val="08-Tabelageral"/>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6525F111" w14:textId="77777777" w:rsidR="00C20063" w:rsidRPr="00E16069" w:rsidRDefault="00C20063" w:rsidP="00DC062C">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7B9DFB7A" w14:textId="77777777" w:rsidR="00C20063" w:rsidRPr="00E16069" w:rsidRDefault="00C20063" w:rsidP="00DC062C">
            <w:pPr>
              <w:pStyle w:val="08-Tabelageral"/>
              <w:rPr>
                <w:rFonts w:cs="Arial"/>
                <w:b/>
                <w:szCs w:val="14"/>
              </w:rPr>
            </w:pPr>
            <w:r>
              <w:rPr>
                <w:rFonts w:cs="Arial"/>
                <w:b/>
                <w:szCs w:val="14"/>
              </w:rPr>
              <w:t>557</w:t>
            </w:r>
          </w:p>
        </w:tc>
        <w:tc>
          <w:tcPr>
            <w:tcW w:w="1412" w:type="dxa"/>
            <w:tcBorders>
              <w:top w:val="nil"/>
              <w:bottom w:val="single" w:sz="2" w:space="0" w:color="1F4E79" w:themeColor="accent1" w:themeShade="80"/>
            </w:tcBorders>
            <w:shd w:val="clear" w:color="auto" w:fill="auto"/>
            <w:vAlign w:val="center"/>
          </w:tcPr>
          <w:p w14:paraId="76C58382" w14:textId="77777777" w:rsidR="00C20063" w:rsidRPr="00E16069" w:rsidRDefault="00C20063" w:rsidP="00DC062C">
            <w:pPr>
              <w:pStyle w:val="08-Tabelageral"/>
              <w:rPr>
                <w:rFonts w:cs="Arial"/>
                <w:b/>
                <w:szCs w:val="14"/>
              </w:rPr>
            </w:pPr>
            <w:r>
              <w:rPr>
                <w:rFonts w:cs="Arial"/>
                <w:b/>
                <w:szCs w:val="14"/>
              </w:rPr>
              <w:t>31</w:t>
            </w:r>
          </w:p>
        </w:tc>
        <w:tc>
          <w:tcPr>
            <w:tcW w:w="283" w:type="dxa"/>
            <w:tcBorders>
              <w:top w:val="nil"/>
              <w:bottom w:val="single" w:sz="2" w:space="0" w:color="1F4E79" w:themeColor="accent1" w:themeShade="80"/>
            </w:tcBorders>
            <w:shd w:val="clear" w:color="auto" w:fill="auto"/>
            <w:vAlign w:val="center"/>
          </w:tcPr>
          <w:p w14:paraId="12530CBD" w14:textId="77777777" w:rsidR="00C20063" w:rsidRPr="00E16069" w:rsidRDefault="00C20063" w:rsidP="00DC062C">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71C618A" w14:textId="77777777" w:rsidR="00C20063" w:rsidRPr="00E16069" w:rsidRDefault="00C20063" w:rsidP="00DC062C">
            <w:pPr>
              <w:pStyle w:val="08-Tabelageral"/>
              <w:rPr>
                <w:rFonts w:cs="Arial"/>
                <w:b/>
                <w:szCs w:val="14"/>
              </w:rPr>
            </w:pPr>
            <w:r>
              <w:rPr>
                <w:rFonts w:cs="Arial"/>
                <w:b/>
                <w:szCs w:val="14"/>
              </w:rPr>
              <w:t>258,672</w:t>
            </w:r>
          </w:p>
        </w:tc>
        <w:tc>
          <w:tcPr>
            <w:tcW w:w="1418" w:type="dxa"/>
            <w:tcBorders>
              <w:top w:val="nil"/>
              <w:bottom w:val="single" w:sz="2" w:space="0" w:color="1F4E79" w:themeColor="accent1" w:themeShade="80"/>
            </w:tcBorders>
            <w:shd w:val="clear" w:color="auto" w:fill="auto"/>
            <w:vAlign w:val="center"/>
          </w:tcPr>
          <w:p w14:paraId="36D6AB6C" w14:textId="77777777" w:rsidR="00C20063" w:rsidRPr="00E16069" w:rsidRDefault="00C20063" w:rsidP="00DC062C">
            <w:pPr>
              <w:pStyle w:val="08-Tabelageral"/>
              <w:rPr>
                <w:rFonts w:cs="Arial"/>
                <w:b/>
                <w:szCs w:val="14"/>
              </w:rPr>
            </w:pPr>
            <w:r>
              <w:rPr>
                <w:rFonts w:cs="Arial"/>
                <w:b/>
                <w:szCs w:val="14"/>
              </w:rPr>
              <w:t>963,874</w:t>
            </w:r>
          </w:p>
        </w:tc>
      </w:tr>
    </w:tbl>
    <w:p w14:paraId="62DCFCA9" w14:textId="77777777" w:rsidR="00C20063" w:rsidRPr="00F110A6" w:rsidRDefault="00C20063" w:rsidP="00DC062C">
      <w:pPr>
        <w:jc w:val="both"/>
        <w:rPr>
          <w:rFonts w:cs="Arial"/>
          <w:sz w:val="14"/>
          <w:szCs w:val="14"/>
          <w:lang w:val="en-US"/>
        </w:rPr>
      </w:pPr>
      <w:r w:rsidRPr="00F110A6">
        <w:rPr>
          <w:rFonts w:cs="Arial"/>
          <w:sz w:val="14"/>
          <w:szCs w:val="14"/>
          <w:lang w:val="en-US"/>
        </w:rPr>
        <w:t xml:space="preserve">(1) </w:t>
      </w:r>
      <w:r>
        <w:rPr>
          <w:rFonts w:cs="Arial"/>
          <w:sz w:val="14"/>
          <w:szCs w:val="14"/>
          <w:lang w:val="en-US"/>
        </w:rPr>
        <w:t>Refer to tax credits (withholding tax) deducted or offset against tax debts.</w:t>
      </w:r>
    </w:p>
    <w:p w14:paraId="52D5C752" w14:textId="77777777" w:rsidR="00C20063" w:rsidRPr="00F110A6" w:rsidRDefault="00C20063" w:rsidP="00DC062C">
      <w:pPr>
        <w:keepNext/>
        <w:spacing w:after="40"/>
        <w:rPr>
          <w:rFonts w:cs="Arial"/>
          <w:b/>
          <w:color w:val="1F4E79" w:themeColor="accent1" w:themeShade="80"/>
          <w:szCs w:val="18"/>
          <w:lang w:val="en-US"/>
        </w:rPr>
      </w:pPr>
      <w:r w:rsidRPr="00F110A6">
        <w:rPr>
          <w:rFonts w:cs="Arial"/>
          <w:b/>
          <w:color w:val="1F4E79" w:themeColor="accent1" w:themeShade="80"/>
          <w:szCs w:val="18"/>
          <w:lang w:val="en-US"/>
        </w:rPr>
        <w:t xml:space="preserve">h) </w:t>
      </w:r>
      <w:r w:rsidRPr="00662308">
        <w:rPr>
          <w:rFonts w:cs="Arial"/>
          <w:b/>
          <w:color w:val="1F4E79" w:themeColor="accent1" w:themeShade="80"/>
          <w:szCs w:val="18"/>
          <w:lang w:val="en-US"/>
        </w:rPr>
        <w:t>Deferred Tax Liabilities</w:t>
      </w:r>
    </w:p>
    <w:p w14:paraId="6E4C6C27" w14:textId="77777777" w:rsidR="00C20063" w:rsidRPr="00F110A6" w:rsidRDefault="00C20063" w:rsidP="00DC062C">
      <w:pPr>
        <w:keepNext/>
        <w:spacing w:after="0" w:line="240" w:lineRule="auto"/>
        <w:jc w:val="right"/>
        <w:rPr>
          <w:rFonts w:cs="Arial"/>
          <w:b/>
          <w:sz w:val="14"/>
          <w:lang w:val="en-US" w:eastAsia="pt-BR"/>
        </w:rPr>
      </w:pPr>
      <w:r w:rsidRPr="00F110A6">
        <w:rPr>
          <w:rFonts w:cs="Arial"/>
          <w:b/>
          <w:sz w:val="14"/>
          <w:lang w:val="en-US" w:eastAsia="pt-BR"/>
        </w:rPr>
        <w:t>R$ 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C20063" w:rsidRPr="00BC6379" w14:paraId="01F8B5EE" w14:textId="77777777" w:rsidTr="00DC062C">
        <w:trPr>
          <w:trHeight w:val="238"/>
        </w:trPr>
        <w:tc>
          <w:tcPr>
            <w:tcW w:w="5030" w:type="dxa"/>
            <w:tcBorders>
              <w:top w:val="single" w:sz="2" w:space="0" w:color="1F4E79" w:themeColor="accent1" w:themeShade="80"/>
              <w:bottom w:val="nil"/>
            </w:tcBorders>
            <w:shd w:val="clear" w:color="auto" w:fill="auto"/>
          </w:tcPr>
          <w:p w14:paraId="04DE0C6F" w14:textId="77777777" w:rsidR="00C20063" w:rsidRPr="00F110A6" w:rsidRDefault="00C20063" w:rsidP="00DC062C">
            <w:pPr>
              <w:keepNext/>
              <w:spacing w:after="0"/>
              <w:jc w:val="center"/>
              <w:rPr>
                <w:rFonts w:cs="Arial"/>
                <w:b/>
                <w:szCs w:val="18"/>
                <w:lang w:val="en-US"/>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558F9FF7" w14:textId="77777777" w:rsidR="00C20063" w:rsidRPr="003D3118" w:rsidRDefault="00C20063" w:rsidP="00DC062C">
            <w:pPr>
              <w:keepNext/>
              <w:spacing w:after="0"/>
              <w:jc w:val="center"/>
              <w:rPr>
                <w:rFonts w:cs="Arial"/>
                <w:b/>
                <w:szCs w:val="18"/>
              </w:rPr>
            </w:pPr>
            <w:r w:rsidRPr="003D3118">
              <w:rPr>
                <w:rFonts w:cs="Arial"/>
                <w:b/>
                <w:sz w:val="14"/>
                <w:szCs w:val="18"/>
              </w:rPr>
              <w:t>Consolidated</w:t>
            </w:r>
          </w:p>
        </w:tc>
      </w:tr>
      <w:tr w:rsidR="00C20063" w:rsidRPr="00BC6379" w14:paraId="34AC605B" w14:textId="77777777" w:rsidTr="00DC062C">
        <w:trPr>
          <w:trHeight w:val="238"/>
        </w:trPr>
        <w:tc>
          <w:tcPr>
            <w:tcW w:w="5030" w:type="dxa"/>
            <w:tcBorders>
              <w:top w:val="nil"/>
              <w:bottom w:val="single" w:sz="2" w:space="0" w:color="1F4E79" w:themeColor="accent1" w:themeShade="80"/>
            </w:tcBorders>
            <w:shd w:val="clear" w:color="auto" w:fill="auto"/>
          </w:tcPr>
          <w:p w14:paraId="3D680DDA" w14:textId="77777777" w:rsidR="00C20063" w:rsidRPr="00BC6379" w:rsidRDefault="00C20063" w:rsidP="00DC062C">
            <w:pPr>
              <w:pStyle w:val="08-Tabelageral"/>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5BE84C59" w14:textId="77777777" w:rsidR="00C20063" w:rsidRPr="00BC6379" w:rsidRDefault="00C20063" w:rsidP="00DC062C">
            <w:pPr>
              <w:pStyle w:val="08-Tabelageral"/>
              <w:rPr>
                <w:rFonts w:cs="Arial"/>
                <w:b/>
              </w:rPr>
            </w:pPr>
            <w:r>
              <w:rPr>
                <w:rFonts w:cs="Arial"/>
                <w:b/>
              </w:rPr>
              <w:t>Mar 31, 2023</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79C5CF3D" w14:textId="77777777" w:rsidR="00C20063" w:rsidRPr="00BC6379" w:rsidRDefault="00C20063" w:rsidP="00DC062C">
            <w:pPr>
              <w:pStyle w:val="08-Tabelageral"/>
              <w:rPr>
                <w:rFonts w:cs="Arial"/>
                <w:b/>
              </w:rPr>
            </w:pPr>
            <w:r>
              <w:rPr>
                <w:rFonts w:cs="Arial"/>
                <w:b/>
              </w:rPr>
              <w:t>Dec 31, 2022</w:t>
            </w:r>
          </w:p>
        </w:tc>
      </w:tr>
      <w:tr w:rsidR="00C20063" w:rsidRPr="00BC6379" w14:paraId="68FF511B" w14:textId="77777777" w:rsidTr="00DC062C">
        <w:trPr>
          <w:trHeight w:val="238"/>
        </w:trPr>
        <w:tc>
          <w:tcPr>
            <w:tcW w:w="5030" w:type="dxa"/>
            <w:tcBorders>
              <w:top w:val="single" w:sz="2" w:space="0" w:color="1F4E79" w:themeColor="accent1" w:themeShade="80"/>
            </w:tcBorders>
            <w:shd w:val="clear" w:color="auto" w:fill="auto"/>
          </w:tcPr>
          <w:p w14:paraId="53F94D03" w14:textId="77777777" w:rsidR="00C20063" w:rsidRPr="00F110A6" w:rsidRDefault="00C20063" w:rsidP="00DC062C">
            <w:pPr>
              <w:pStyle w:val="08-Tabelageral"/>
              <w:ind w:left="113"/>
              <w:jc w:val="left"/>
              <w:rPr>
                <w:rFonts w:cs="Arial"/>
                <w:szCs w:val="14"/>
                <w:vertAlign w:val="superscript"/>
                <w:lang w:val="en-US"/>
              </w:rPr>
            </w:pPr>
            <w:r w:rsidRPr="00737F7C">
              <w:rPr>
                <w:rFonts w:cs="Arial"/>
                <w:szCs w:val="14"/>
                <w:lang w:val="en-US"/>
              </w:rPr>
              <w:t>Arising from partnership with M</w:t>
            </w:r>
            <w:r>
              <w:rPr>
                <w:rFonts w:cs="Arial"/>
                <w:szCs w:val="14"/>
                <w:lang w:val="en-US"/>
              </w:rPr>
              <w:t xml:space="preserve">apfre </w:t>
            </w:r>
            <w:r w:rsidRPr="00F110A6">
              <w:rPr>
                <w:vertAlign w:val="superscript"/>
                <w:lang w:val="en-US"/>
              </w:rPr>
              <w:t>(1)</w:t>
            </w:r>
          </w:p>
        </w:tc>
        <w:tc>
          <w:tcPr>
            <w:tcW w:w="2304" w:type="dxa"/>
            <w:tcBorders>
              <w:top w:val="single" w:sz="2" w:space="0" w:color="1F4E79" w:themeColor="accent1" w:themeShade="80"/>
            </w:tcBorders>
            <w:shd w:val="clear" w:color="auto" w:fill="auto"/>
            <w:vAlign w:val="center"/>
          </w:tcPr>
          <w:p w14:paraId="1E0C50A5" w14:textId="77777777" w:rsidR="00C20063" w:rsidRPr="00BC6379" w:rsidRDefault="00C20063" w:rsidP="00DC062C">
            <w:pPr>
              <w:pStyle w:val="08-Tabelageral"/>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597E9AA3" w14:textId="77777777" w:rsidR="00C20063" w:rsidRPr="00BC6379" w:rsidRDefault="00C20063" w:rsidP="00DC062C">
            <w:pPr>
              <w:pStyle w:val="08-Tabelageral"/>
              <w:ind w:left="113"/>
              <w:rPr>
                <w:rFonts w:cs="Arial"/>
                <w:szCs w:val="14"/>
              </w:rPr>
            </w:pPr>
            <w:r>
              <w:rPr>
                <w:rFonts w:cs="Arial"/>
                <w:szCs w:val="14"/>
              </w:rPr>
              <w:t>223,387</w:t>
            </w:r>
          </w:p>
        </w:tc>
      </w:tr>
      <w:tr w:rsidR="00C20063" w:rsidRPr="00BC6379" w14:paraId="51149293" w14:textId="77777777" w:rsidTr="00DC062C">
        <w:trPr>
          <w:trHeight w:val="238"/>
        </w:trPr>
        <w:tc>
          <w:tcPr>
            <w:tcW w:w="5030" w:type="dxa"/>
            <w:shd w:val="clear" w:color="auto" w:fill="auto"/>
          </w:tcPr>
          <w:p w14:paraId="25D7563F" w14:textId="77777777" w:rsidR="00C20063" w:rsidRPr="00F110A6" w:rsidRDefault="00C20063" w:rsidP="00DC062C">
            <w:pPr>
              <w:pStyle w:val="08-Tabelageral"/>
              <w:ind w:left="113"/>
              <w:jc w:val="left"/>
              <w:rPr>
                <w:rFonts w:cs="Arial"/>
                <w:szCs w:val="14"/>
                <w:lang w:val="en-US"/>
              </w:rPr>
            </w:pPr>
            <w:r w:rsidRPr="00BD2C9C">
              <w:rPr>
                <w:rFonts w:cs="Arial"/>
                <w:szCs w:val="14"/>
                <w:lang w:val="en-US"/>
              </w:rPr>
              <w:t>Arising from amortization of Brasilcap’s goodwill</w:t>
            </w:r>
          </w:p>
        </w:tc>
        <w:tc>
          <w:tcPr>
            <w:tcW w:w="2304" w:type="dxa"/>
            <w:shd w:val="clear" w:color="auto" w:fill="auto"/>
            <w:vAlign w:val="center"/>
          </w:tcPr>
          <w:p w14:paraId="511475C5" w14:textId="77777777" w:rsidR="00C20063" w:rsidRPr="00BC6379" w:rsidRDefault="00C20063" w:rsidP="00DC062C">
            <w:pPr>
              <w:pStyle w:val="08-Tabelageral"/>
              <w:ind w:left="113"/>
              <w:rPr>
                <w:rFonts w:cs="Arial"/>
                <w:szCs w:val="14"/>
              </w:rPr>
            </w:pPr>
            <w:r>
              <w:rPr>
                <w:rFonts w:cs="Arial"/>
                <w:szCs w:val="14"/>
              </w:rPr>
              <w:t>4,647</w:t>
            </w:r>
          </w:p>
        </w:tc>
        <w:tc>
          <w:tcPr>
            <w:tcW w:w="2305" w:type="dxa"/>
            <w:shd w:val="clear" w:color="auto" w:fill="auto"/>
            <w:vAlign w:val="center"/>
          </w:tcPr>
          <w:p w14:paraId="18F6D9F7" w14:textId="77777777" w:rsidR="00C20063" w:rsidRPr="00BC6379" w:rsidRDefault="00C20063" w:rsidP="00DC062C">
            <w:pPr>
              <w:pStyle w:val="08-Tabelageral"/>
              <w:ind w:left="113"/>
              <w:rPr>
                <w:rFonts w:cs="Arial"/>
                <w:szCs w:val="14"/>
              </w:rPr>
            </w:pPr>
            <w:r>
              <w:rPr>
                <w:rFonts w:cs="Arial"/>
                <w:szCs w:val="14"/>
              </w:rPr>
              <w:t>4,647</w:t>
            </w:r>
          </w:p>
        </w:tc>
      </w:tr>
      <w:tr w:rsidR="00C20063" w:rsidRPr="00BC6379" w14:paraId="630B9B68" w14:textId="77777777" w:rsidTr="00DC062C">
        <w:trPr>
          <w:trHeight w:val="238"/>
        </w:trPr>
        <w:tc>
          <w:tcPr>
            <w:tcW w:w="5030" w:type="dxa"/>
            <w:tcBorders>
              <w:bottom w:val="nil"/>
            </w:tcBorders>
            <w:shd w:val="clear" w:color="auto" w:fill="auto"/>
          </w:tcPr>
          <w:p w14:paraId="1D47F3EF" w14:textId="77777777" w:rsidR="00C20063" w:rsidRPr="00BD2C9C" w:rsidRDefault="00C20063" w:rsidP="00DC062C">
            <w:pPr>
              <w:pStyle w:val="08-Tabelageral"/>
              <w:ind w:left="113"/>
              <w:jc w:val="left"/>
              <w:rPr>
                <w:rFonts w:cs="Arial"/>
                <w:szCs w:val="14"/>
              </w:rPr>
            </w:pPr>
            <w:r w:rsidRPr="00BD2C9C">
              <w:rPr>
                <w:rFonts w:cs="Arial"/>
                <w:szCs w:val="14"/>
              </w:rPr>
              <w:t>Other temporay differences</w:t>
            </w:r>
          </w:p>
        </w:tc>
        <w:tc>
          <w:tcPr>
            <w:tcW w:w="2304" w:type="dxa"/>
            <w:tcBorders>
              <w:bottom w:val="nil"/>
            </w:tcBorders>
            <w:shd w:val="clear" w:color="auto" w:fill="auto"/>
            <w:vAlign w:val="center"/>
          </w:tcPr>
          <w:p w14:paraId="6C65EC31" w14:textId="77777777" w:rsidR="00C20063" w:rsidRPr="00BC6379" w:rsidRDefault="00C20063" w:rsidP="00DC062C">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1D2301DF" w14:textId="77777777" w:rsidR="00C20063" w:rsidRPr="00BC6379" w:rsidRDefault="00C20063" w:rsidP="00DC062C">
            <w:pPr>
              <w:pStyle w:val="08-Tabelageral"/>
              <w:ind w:left="113"/>
              <w:rPr>
                <w:rFonts w:cs="Arial"/>
                <w:szCs w:val="14"/>
              </w:rPr>
            </w:pPr>
            <w:r>
              <w:rPr>
                <w:rFonts w:cs="Arial"/>
                <w:szCs w:val="14"/>
              </w:rPr>
              <w:t>531</w:t>
            </w:r>
          </w:p>
        </w:tc>
      </w:tr>
      <w:tr w:rsidR="00C20063" w:rsidRPr="00BC6379" w14:paraId="0929CDF2" w14:textId="77777777" w:rsidTr="00DC062C">
        <w:trPr>
          <w:trHeight w:val="238"/>
        </w:trPr>
        <w:tc>
          <w:tcPr>
            <w:tcW w:w="5030" w:type="dxa"/>
            <w:tcBorders>
              <w:top w:val="nil"/>
              <w:bottom w:val="single" w:sz="2" w:space="0" w:color="1F4E79" w:themeColor="accent1" w:themeShade="80"/>
            </w:tcBorders>
            <w:shd w:val="clear" w:color="auto" w:fill="auto"/>
          </w:tcPr>
          <w:p w14:paraId="4F55C4FD" w14:textId="77777777" w:rsidR="00C20063" w:rsidRPr="00BC6379" w:rsidRDefault="00C20063" w:rsidP="00DC062C">
            <w:pPr>
              <w:pStyle w:val="08-Tabelageral"/>
              <w:jc w:val="left"/>
              <w:rPr>
                <w:rFonts w:cs="Arial"/>
                <w:b/>
                <w:szCs w:val="14"/>
              </w:rPr>
            </w:pPr>
            <w:r w:rsidRPr="00BC6379">
              <w:rPr>
                <w:rFonts w:cs="Arial"/>
                <w:b/>
              </w:rPr>
              <w:t xml:space="preserve">Total </w:t>
            </w:r>
          </w:p>
        </w:tc>
        <w:tc>
          <w:tcPr>
            <w:tcW w:w="2304" w:type="dxa"/>
            <w:tcBorders>
              <w:top w:val="nil"/>
              <w:bottom w:val="single" w:sz="2" w:space="0" w:color="1F4E79" w:themeColor="accent1" w:themeShade="80"/>
            </w:tcBorders>
            <w:shd w:val="clear" w:color="auto" w:fill="auto"/>
            <w:vAlign w:val="center"/>
          </w:tcPr>
          <w:p w14:paraId="28730071" w14:textId="77777777" w:rsidR="00C20063" w:rsidRPr="00BC6379" w:rsidRDefault="00C20063" w:rsidP="00DC062C">
            <w:pPr>
              <w:pStyle w:val="08-Tabelageral"/>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5EE4C36B" w14:textId="77777777" w:rsidR="00C20063" w:rsidRPr="00BC6379" w:rsidRDefault="00C20063" w:rsidP="00DC062C">
            <w:pPr>
              <w:pStyle w:val="08-Tabelageral"/>
              <w:rPr>
                <w:rFonts w:cs="Arial"/>
                <w:b/>
                <w:szCs w:val="14"/>
              </w:rPr>
            </w:pPr>
            <w:r>
              <w:rPr>
                <w:rFonts w:cs="Arial"/>
                <w:b/>
                <w:szCs w:val="14"/>
              </w:rPr>
              <w:t>228,565</w:t>
            </w:r>
          </w:p>
        </w:tc>
      </w:tr>
    </w:tbl>
    <w:p w14:paraId="23CE69E0" w14:textId="77777777" w:rsidR="00C20063" w:rsidRPr="00F110A6" w:rsidRDefault="00C20063" w:rsidP="00C20063">
      <w:pPr>
        <w:pStyle w:val="07-Legenda"/>
        <w:numPr>
          <w:ilvl w:val="0"/>
          <w:numId w:val="16"/>
        </w:numPr>
        <w:ind w:left="284" w:hanging="284"/>
        <w:rPr>
          <w:rFonts w:cs="Arial"/>
          <w:szCs w:val="14"/>
          <w:lang w:val="en-US"/>
        </w:rPr>
      </w:pPr>
      <w:r w:rsidRPr="00F110A6">
        <w:rPr>
          <w:rFonts w:cs="Arial"/>
          <w:spacing w:val="0"/>
          <w:szCs w:val="14"/>
          <w:lang w:val="en-US"/>
        </w:rPr>
        <w:t>Refers to the provision for deferred taxes arising from intangibles in the investment in BB M</w:t>
      </w:r>
      <w:r>
        <w:rPr>
          <w:rFonts w:cs="Arial"/>
          <w:spacing w:val="0"/>
          <w:szCs w:val="14"/>
          <w:lang w:val="en-US"/>
        </w:rPr>
        <w:t>APFRE.</w:t>
      </w:r>
    </w:p>
    <w:p w14:paraId="40C06940" w14:textId="77777777" w:rsidR="00C20063" w:rsidRPr="00F110A6" w:rsidRDefault="00C20063" w:rsidP="00DC062C">
      <w:pPr>
        <w:spacing w:after="0"/>
        <w:jc w:val="right"/>
        <w:rPr>
          <w:rFonts w:cs="Arial"/>
          <w:b/>
          <w:sz w:val="14"/>
          <w:lang w:val="en-US" w:eastAsia="pt-BR"/>
        </w:rPr>
      </w:pPr>
    </w:p>
    <w:bookmarkEnd w:id="39"/>
    <w:p w14:paraId="3092A2E7" w14:textId="77777777" w:rsidR="00C20063" w:rsidRDefault="00C20063" w:rsidP="00DC062C">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04804BEB" w14:textId="406737EA" w:rsidR="002A1B52" w:rsidRDefault="002A1B52">
      <w:pPr>
        <w:rPr>
          <w:rFonts w:eastAsia="Times New Roman" w:cs="Times New Roman"/>
          <w:szCs w:val="20"/>
          <w:lang w:val="en-US" w:eastAsia="pt-BR"/>
        </w:rPr>
      </w:pPr>
      <w:r>
        <w:rPr>
          <w:szCs w:val="20"/>
          <w:lang w:val="en-US"/>
        </w:rPr>
        <w:br w:type="page"/>
      </w:r>
    </w:p>
    <w:p w14:paraId="52D8D0DE" w14:textId="77777777" w:rsidR="00C20063" w:rsidRDefault="00C20063" w:rsidP="00DC062C">
      <w:pPr>
        <w:pStyle w:val="05-Textonormal"/>
        <w:rPr>
          <w:spacing w:val="0"/>
          <w:szCs w:val="20"/>
          <w:lang w:val="en-US"/>
        </w:rPr>
      </w:pPr>
    </w:p>
    <w:p w14:paraId="7CDC3596" w14:textId="3372635D" w:rsidR="00C20063" w:rsidRPr="00676A06" w:rsidRDefault="00C20063" w:rsidP="00DC062C">
      <w:pPr>
        <w:pStyle w:val="Ttulo1"/>
        <w:rPr>
          <w:b w:val="0"/>
          <w:bCs w:val="0"/>
        </w:rPr>
      </w:pPr>
      <w:bookmarkStart w:id="41" w:name="_Toc134823577"/>
      <w:r w:rsidRPr="00676A06">
        <w:t>13 – OTHER INCOME AND EXPENSE</w:t>
      </w:r>
      <w:bookmarkEnd w:id="41"/>
    </w:p>
    <w:p w14:paraId="2700AF2F" w14:textId="77777777" w:rsidR="00C20063" w:rsidRPr="00F74BE3" w:rsidRDefault="00C20063" w:rsidP="00DC062C">
      <w:pPr>
        <w:spacing w:after="0" w:line="240" w:lineRule="auto"/>
        <w:jc w:val="right"/>
        <w:rPr>
          <w:rFonts w:cs="Arial"/>
          <w:b/>
          <w:sz w:val="14"/>
          <w:szCs w:val="14"/>
        </w:rPr>
      </w:pPr>
      <w:r w:rsidRPr="00F74BE3">
        <w:rPr>
          <w:rFonts w:cs="Arial"/>
          <w:b/>
          <w:sz w:val="14"/>
          <w:szCs w:val="14"/>
        </w:rPr>
        <w:t>R$ thousand</w:t>
      </w:r>
    </w:p>
    <w:tbl>
      <w:tblPr>
        <w:tblW w:w="9648"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C20063" w:rsidRPr="005171F7" w14:paraId="0D26CB6C" w14:textId="77777777" w:rsidTr="00DC062C">
        <w:trPr>
          <w:trHeight w:val="20"/>
          <w:jc w:val="center"/>
        </w:trPr>
        <w:tc>
          <w:tcPr>
            <w:tcW w:w="3936" w:type="dxa"/>
            <w:gridSpan w:val="2"/>
            <w:tcBorders>
              <w:top w:val="single" w:sz="2" w:space="0" w:color="8EAADB" w:themeColor="accent5" w:themeTint="99"/>
              <w:bottom w:val="nil"/>
            </w:tcBorders>
            <w:shd w:val="clear" w:color="auto" w:fill="auto"/>
          </w:tcPr>
          <w:p w14:paraId="604D62EF" w14:textId="77777777" w:rsidR="00C20063" w:rsidRPr="005171F7" w:rsidRDefault="00C20063" w:rsidP="00DC062C">
            <w:pPr>
              <w:keepNext/>
              <w:keepLines/>
              <w:spacing w:before="40" w:after="40"/>
              <w:jc w:val="center"/>
              <w:rPr>
                <w:rFonts w:cs="Arial"/>
                <w:b/>
                <w:bCs/>
                <w:spacing w:val="-2"/>
                <w:sz w:val="14"/>
                <w:szCs w:val="14"/>
              </w:rPr>
            </w:pPr>
          </w:p>
        </w:tc>
        <w:tc>
          <w:tcPr>
            <w:tcW w:w="2757" w:type="dxa"/>
            <w:gridSpan w:val="5"/>
            <w:tcBorders>
              <w:top w:val="single" w:sz="2" w:space="0" w:color="8EAADB" w:themeColor="accent5" w:themeTint="99"/>
              <w:bottom w:val="single" w:sz="2" w:space="0" w:color="8EAADB" w:themeColor="accent5" w:themeTint="99"/>
            </w:tcBorders>
            <w:shd w:val="clear" w:color="auto" w:fill="auto"/>
            <w:vAlign w:val="center"/>
          </w:tcPr>
          <w:p w14:paraId="13D941E5" w14:textId="77777777" w:rsidR="00C20063" w:rsidRPr="005171F7" w:rsidRDefault="00C20063" w:rsidP="00DC062C">
            <w:pPr>
              <w:keepNext/>
              <w:keepLines/>
              <w:spacing w:before="40" w:after="40"/>
              <w:jc w:val="center"/>
              <w:rPr>
                <w:rFonts w:cs="Arial"/>
                <w:b/>
                <w:spacing w:val="-2"/>
                <w:sz w:val="14"/>
                <w:szCs w:val="14"/>
              </w:rPr>
            </w:pPr>
            <w:r>
              <w:rPr>
                <w:rFonts w:cs="Arial"/>
                <w:b/>
                <w:spacing w:val="-2"/>
                <w:sz w:val="14"/>
                <w:szCs w:val="14"/>
              </w:rPr>
              <w:t>Parent</w:t>
            </w:r>
          </w:p>
        </w:tc>
        <w:tc>
          <w:tcPr>
            <w:tcW w:w="279" w:type="dxa"/>
            <w:gridSpan w:val="3"/>
            <w:tcBorders>
              <w:top w:val="single" w:sz="2" w:space="0" w:color="8EAADB" w:themeColor="accent5" w:themeTint="99"/>
              <w:bottom w:val="nil"/>
            </w:tcBorders>
            <w:shd w:val="clear" w:color="auto" w:fill="auto"/>
            <w:vAlign w:val="center"/>
          </w:tcPr>
          <w:p w14:paraId="10C1A438" w14:textId="77777777" w:rsidR="00C20063" w:rsidRPr="005171F7" w:rsidRDefault="00C20063" w:rsidP="00DC062C">
            <w:pPr>
              <w:keepNext/>
              <w:keepLines/>
              <w:spacing w:before="40" w:after="40"/>
              <w:jc w:val="center"/>
              <w:rPr>
                <w:rFonts w:cs="Arial"/>
                <w:b/>
                <w:bCs/>
                <w:spacing w:val="-2"/>
                <w:sz w:val="14"/>
                <w:szCs w:val="14"/>
              </w:rPr>
            </w:pPr>
          </w:p>
        </w:tc>
        <w:tc>
          <w:tcPr>
            <w:tcW w:w="2676" w:type="dxa"/>
            <w:gridSpan w:val="4"/>
            <w:tcBorders>
              <w:top w:val="single" w:sz="2" w:space="0" w:color="8EAADB" w:themeColor="accent5" w:themeTint="99"/>
              <w:bottom w:val="single" w:sz="2" w:space="0" w:color="8EAADB" w:themeColor="accent5" w:themeTint="99"/>
            </w:tcBorders>
            <w:shd w:val="clear" w:color="auto" w:fill="auto"/>
            <w:vAlign w:val="center"/>
          </w:tcPr>
          <w:p w14:paraId="6FC5AA65" w14:textId="77777777" w:rsidR="00C20063" w:rsidRPr="005171F7" w:rsidRDefault="00C20063" w:rsidP="00DC062C">
            <w:pPr>
              <w:keepNext/>
              <w:keepLines/>
              <w:spacing w:before="40" w:after="40"/>
              <w:jc w:val="center"/>
              <w:rPr>
                <w:rFonts w:cs="Arial"/>
                <w:b/>
                <w:spacing w:val="-2"/>
                <w:sz w:val="14"/>
                <w:szCs w:val="14"/>
              </w:rPr>
            </w:pPr>
            <w:r>
              <w:rPr>
                <w:rFonts w:cs="Arial"/>
                <w:b/>
                <w:spacing w:val="-2"/>
                <w:sz w:val="14"/>
                <w:szCs w:val="14"/>
              </w:rPr>
              <w:t>Consolidated</w:t>
            </w:r>
          </w:p>
        </w:tc>
      </w:tr>
      <w:tr w:rsidR="00C20063" w:rsidRPr="00EB1911" w14:paraId="42ED6A1B" w14:textId="77777777" w:rsidTr="00DC062C">
        <w:trPr>
          <w:gridAfter w:val="1"/>
          <w:wAfter w:w="6" w:type="dxa"/>
          <w:trHeight w:val="20"/>
          <w:jc w:val="center"/>
        </w:trPr>
        <w:tc>
          <w:tcPr>
            <w:tcW w:w="3000" w:type="dxa"/>
            <w:tcBorders>
              <w:top w:val="nil"/>
              <w:bottom w:val="single" w:sz="2" w:space="0" w:color="8EAADB" w:themeColor="accent5" w:themeTint="99"/>
            </w:tcBorders>
            <w:shd w:val="clear" w:color="auto" w:fill="auto"/>
            <w:vAlign w:val="center"/>
          </w:tcPr>
          <w:p w14:paraId="2456A2E9" w14:textId="77777777" w:rsidR="00C20063" w:rsidRPr="00EB1911" w:rsidRDefault="00C20063" w:rsidP="00DC062C">
            <w:pPr>
              <w:keepNext/>
              <w:keepLines/>
              <w:spacing w:before="40" w:after="40"/>
              <w:jc w:val="right"/>
              <w:rPr>
                <w:rFonts w:cs="Arial"/>
                <w:b/>
                <w:spacing w:val="-2"/>
                <w:sz w:val="14"/>
                <w:szCs w:val="14"/>
              </w:rPr>
            </w:pPr>
          </w:p>
        </w:tc>
        <w:tc>
          <w:tcPr>
            <w:tcW w:w="1096" w:type="dxa"/>
            <w:gridSpan w:val="2"/>
            <w:tcBorders>
              <w:top w:val="nil"/>
              <w:bottom w:val="single" w:sz="2" w:space="0" w:color="8EAADB" w:themeColor="accent5" w:themeTint="99"/>
            </w:tcBorders>
            <w:shd w:val="clear" w:color="auto" w:fill="auto"/>
            <w:vAlign w:val="center"/>
          </w:tcPr>
          <w:p w14:paraId="2AB492B9" w14:textId="77777777" w:rsidR="00C20063" w:rsidRPr="00EB1911" w:rsidRDefault="00C20063" w:rsidP="00DC062C">
            <w:pPr>
              <w:keepNext/>
              <w:keepLines/>
              <w:spacing w:before="40" w:after="40"/>
              <w:jc w:val="right"/>
              <w:rPr>
                <w:rFonts w:cs="Arial"/>
                <w:b/>
                <w:spacing w:val="-2"/>
                <w:sz w:val="14"/>
                <w:szCs w:val="14"/>
              </w:rPr>
            </w:pPr>
          </w:p>
        </w:tc>
        <w:tc>
          <w:tcPr>
            <w:tcW w:w="1275" w:type="dxa"/>
            <w:gridSpan w:val="2"/>
            <w:tcBorders>
              <w:top w:val="single" w:sz="4" w:space="0" w:color="1F4E79" w:themeColor="accent1" w:themeShade="80"/>
              <w:bottom w:val="single" w:sz="2" w:space="0" w:color="1F4E79" w:themeColor="accent1" w:themeShade="80"/>
            </w:tcBorders>
            <w:shd w:val="clear" w:color="auto" w:fill="auto"/>
            <w:vAlign w:val="center"/>
          </w:tcPr>
          <w:p w14:paraId="6C6D8105" w14:textId="77777777" w:rsidR="00C20063" w:rsidRPr="00EB1911" w:rsidRDefault="00C20063" w:rsidP="00DC062C">
            <w:pPr>
              <w:pStyle w:val="08-Tabelageral"/>
              <w:rPr>
                <w:rFonts w:cs="Arial"/>
                <w:b/>
                <w:szCs w:val="14"/>
              </w:rPr>
            </w:pPr>
            <w:r w:rsidRPr="002D61B6">
              <w:rPr>
                <w:rFonts w:cs="Arial"/>
                <w:b/>
                <w:szCs w:val="14"/>
              </w:rPr>
              <w:t>1</w:t>
            </w:r>
            <w:r w:rsidRPr="002D61B6">
              <w:rPr>
                <w:rFonts w:cs="Arial"/>
                <w:b/>
                <w:szCs w:val="14"/>
                <w:vertAlign w:val="superscript"/>
              </w:rPr>
              <w:t>st</w:t>
            </w:r>
            <w:r w:rsidRPr="002D61B6">
              <w:rPr>
                <w:rFonts w:cs="Arial"/>
                <w:b/>
                <w:szCs w:val="14"/>
              </w:rPr>
              <w:t xml:space="preserve"> Quarter 202</w:t>
            </w:r>
            <w:r>
              <w:rPr>
                <w:rFonts w:cs="Arial"/>
                <w:b/>
                <w:szCs w:val="14"/>
              </w:rPr>
              <w:t>3</w:t>
            </w:r>
          </w:p>
        </w:tc>
        <w:tc>
          <w:tcPr>
            <w:tcW w:w="1418" w:type="dxa"/>
            <w:gridSpan w:val="3"/>
            <w:tcBorders>
              <w:top w:val="single" w:sz="4" w:space="0" w:color="1F4E79" w:themeColor="accent1" w:themeShade="80"/>
              <w:bottom w:val="single" w:sz="2" w:space="0" w:color="1F4E79" w:themeColor="accent1" w:themeShade="80"/>
            </w:tcBorders>
            <w:shd w:val="clear" w:color="auto" w:fill="auto"/>
            <w:vAlign w:val="center"/>
          </w:tcPr>
          <w:p w14:paraId="3FFB9766" w14:textId="77777777" w:rsidR="00C20063" w:rsidRPr="00EB1911" w:rsidRDefault="00C20063" w:rsidP="00DC062C">
            <w:pPr>
              <w:pStyle w:val="08-Tabelageral"/>
              <w:rPr>
                <w:rFonts w:cs="Arial"/>
                <w:b/>
                <w:szCs w:val="14"/>
              </w:rPr>
            </w:pPr>
            <w:r w:rsidRPr="002D61B6">
              <w:rPr>
                <w:rFonts w:cs="Arial"/>
                <w:b/>
                <w:szCs w:val="14"/>
              </w:rPr>
              <w:t>1</w:t>
            </w:r>
            <w:r w:rsidRPr="002D61B6">
              <w:rPr>
                <w:rFonts w:cs="Arial"/>
                <w:b/>
                <w:szCs w:val="14"/>
                <w:vertAlign w:val="superscript"/>
              </w:rPr>
              <w:t>st</w:t>
            </w:r>
            <w:r w:rsidRPr="002D61B6">
              <w:rPr>
                <w:rFonts w:cs="Arial"/>
                <w:b/>
                <w:szCs w:val="14"/>
              </w:rPr>
              <w:t xml:space="preserve"> Quarter 202</w:t>
            </w:r>
            <w:r>
              <w:rPr>
                <w:rFonts w:cs="Arial"/>
                <w:b/>
                <w:szCs w:val="14"/>
              </w:rPr>
              <w:t>2</w:t>
            </w:r>
          </w:p>
        </w:tc>
        <w:tc>
          <w:tcPr>
            <w:tcW w:w="236" w:type="dxa"/>
            <w:gridSpan w:val="3"/>
            <w:tcBorders>
              <w:top w:val="nil"/>
              <w:left w:val="nil"/>
              <w:bottom w:val="single" w:sz="2" w:space="0" w:color="1F4E79" w:themeColor="accent1" w:themeShade="80"/>
              <w:right w:val="nil"/>
            </w:tcBorders>
            <w:shd w:val="clear" w:color="auto" w:fill="auto"/>
            <w:vAlign w:val="center"/>
          </w:tcPr>
          <w:p w14:paraId="31EC0430" w14:textId="77777777" w:rsidR="00C20063" w:rsidRPr="00EB1911" w:rsidRDefault="00C20063" w:rsidP="00DC062C">
            <w:pPr>
              <w:pStyle w:val="08-Tabelageral"/>
              <w:rPr>
                <w:rFonts w:cs="Arial"/>
                <w:b/>
                <w:szCs w:val="14"/>
              </w:rPr>
            </w:pPr>
          </w:p>
        </w:tc>
        <w:tc>
          <w:tcPr>
            <w:tcW w:w="1272" w:type="dxa"/>
            <w:tcBorders>
              <w:top w:val="single" w:sz="4" w:space="0" w:color="1F4E79" w:themeColor="accent1" w:themeShade="80"/>
              <w:bottom w:val="single" w:sz="2" w:space="0" w:color="1F4E79" w:themeColor="accent1" w:themeShade="80"/>
            </w:tcBorders>
            <w:shd w:val="clear" w:color="auto" w:fill="auto"/>
            <w:vAlign w:val="center"/>
          </w:tcPr>
          <w:p w14:paraId="46698100" w14:textId="77777777" w:rsidR="00C20063" w:rsidRPr="00EB1911" w:rsidRDefault="00C20063" w:rsidP="00DC062C">
            <w:pPr>
              <w:pStyle w:val="08-Tabelageral"/>
              <w:rPr>
                <w:rFonts w:cs="Arial"/>
                <w:b/>
                <w:szCs w:val="14"/>
              </w:rPr>
            </w:pPr>
            <w:r w:rsidRPr="002D61B6">
              <w:rPr>
                <w:rFonts w:cs="Arial"/>
                <w:b/>
                <w:szCs w:val="14"/>
              </w:rPr>
              <w:t>1</w:t>
            </w:r>
            <w:r w:rsidRPr="002D61B6">
              <w:rPr>
                <w:rFonts w:cs="Arial"/>
                <w:b/>
                <w:szCs w:val="14"/>
                <w:vertAlign w:val="superscript"/>
              </w:rPr>
              <w:t>st</w:t>
            </w:r>
            <w:r w:rsidRPr="002D61B6">
              <w:rPr>
                <w:rFonts w:cs="Arial"/>
                <w:b/>
                <w:szCs w:val="14"/>
              </w:rPr>
              <w:t xml:space="preserve"> Quarter 202</w:t>
            </w:r>
            <w:r>
              <w:rPr>
                <w:rFonts w:cs="Arial"/>
                <w:b/>
                <w:szCs w:val="14"/>
              </w:rPr>
              <w:t>3</w:t>
            </w:r>
          </w:p>
        </w:tc>
        <w:tc>
          <w:tcPr>
            <w:tcW w:w="1345" w:type="dxa"/>
            <w:tcBorders>
              <w:top w:val="single" w:sz="4" w:space="0" w:color="1F4E79" w:themeColor="accent1" w:themeShade="80"/>
              <w:bottom w:val="single" w:sz="2" w:space="0" w:color="1F4E79" w:themeColor="accent1" w:themeShade="80"/>
            </w:tcBorders>
            <w:shd w:val="clear" w:color="auto" w:fill="auto"/>
            <w:vAlign w:val="center"/>
          </w:tcPr>
          <w:p w14:paraId="5886B57D" w14:textId="77777777" w:rsidR="00C20063" w:rsidRPr="00EB1911" w:rsidRDefault="00C20063" w:rsidP="00DC062C">
            <w:pPr>
              <w:pStyle w:val="08-Tabelageral"/>
              <w:rPr>
                <w:b/>
              </w:rPr>
            </w:pPr>
            <w:r w:rsidRPr="002D61B6">
              <w:rPr>
                <w:rFonts w:cs="Arial"/>
                <w:b/>
                <w:szCs w:val="14"/>
              </w:rPr>
              <w:t>1</w:t>
            </w:r>
            <w:r w:rsidRPr="002D61B6">
              <w:rPr>
                <w:rFonts w:cs="Arial"/>
                <w:b/>
                <w:szCs w:val="14"/>
                <w:vertAlign w:val="superscript"/>
              </w:rPr>
              <w:t>st</w:t>
            </w:r>
            <w:r w:rsidRPr="002D61B6">
              <w:rPr>
                <w:rFonts w:cs="Arial"/>
                <w:b/>
                <w:szCs w:val="14"/>
              </w:rPr>
              <w:t xml:space="preserve"> Quarter 202</w:t>
            </w:r>
            <w:r>
              <w:rPr>
                <w:rFonts w:cs="Arial"/>
                <w:b/>
                <w:szCs w:val="14"/>
              </w:rPr>
              <w:t>2</w:t>
            </w:r>
          </w:p>
        </w:tc>
      </w:tr>
      <w:tr w:rsidR="00C20063" w:rsidRPr="005171F7" w14:paraId="2840016E" w14:textId="77777777" w:rsidTr="00DC062C">
        <w:trPr>
          <w:trHeight w:val="20"/>
          <w:jc w:val="center"/>
        </w:trPr>
        <w:tc>
          <w:tcPr>
            <w:tcW w:w="3936" w:type="dxa"/>
            <w:gridSpan w:val="2"/>
            <w:shd w:val="clear" w:color="auto" w:fill="auto"/>
            <w:vAlign w:val="center"/>
          </w:tcPr>
          <w:p w14:paraId="290C64A7" w14:textId="77777777" w:rsidR="00C20063" w:rsidRPr="005171F7" w:rsidRDefault="00C20063" w:rsidP="00DC062C">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single" w:sz="2" w:space="0" w:color="1F4E79" w:themeColor="accent1" w:themeShade="80"/>
              <w:left w:val="nil"/>
              <w:bottom w:val="nil"/>
              <w:right w:val="nil"/>
            </w:tcBorders>
            <w:shd w:val="clear" w:color="auto" w:fill="auto"/>
            <w:vAlign w:val="center"/>
          </w:tcPr>
          <w:p w14:paraId="5B7E2226" w14:textId="77777777" w:rsidR="00C20063" w:rsidRPr="00AE31F4" w:rsidRDefault="00C20063" w:rsidP="00DC062C">
            <w:pPr>
              <w:pStyle w:val="08-Tabelageral"/>
            </w:pPr>
            <w:r>
              <w:t>3,018</w:t>
            </w:r>
          </w:p>
        </w:tc>
        <w:tc>
          <w:tcPr>
            <w:tcW w:w="1359" w:type="dxa"/>
            <w:gridSpan w:val="2"/>
            <w:tcBorders>
              <w:top w:val="single" w:sz="2" w:space="0" w:color="1F4E79" w:themeColor="accent1" w:themeShade="80"/>
              <w:left w:val="nil"/>
              <w:bottom w:val="nil"/>
              <w:right w:val="nil"/>
            </w:tcBorders>
            <w:shd w:val="clear" w:color="auto" w:fill="auto"/>
            <w:vAlign w:val="center"/>
          </w:tcPr>
          <w:p w14:paraId="10F0F096" w14:textId="77777777" w:rsidR="00C20063" w:rsidRPr="00AE31F4" w:rsidRDefault="00C20063" w:rsidP="00DC062C">
            <w:pPr>
              <w:pStyle w:val="08-Tabelageral"/>
            </w:pPr>
            <w:r w:rsidRPr="006F3DDF">
              <w:t>2</w:t>
            </w:r>
            <w:r>
              <w:t>,</w:t>
            </w:r>
            <w:r w:rsidRPr="006F3DDF">
              <w:t>567</w:t>
            </w:r>
          </w:p>
        </w:tc>
        <w:tc>
          <w:tcPr>
            <w:tcW w:w="236" w:type="dxa"/>
            <w:gridSpan w:val="3"/>
            <w:tcBorders>
              <w:top w:val="single" w:sz="2" w:space="0" w:color="1F4E79" w:themeColor="accent1" w:themeShade="80"/>
              <w:left w:val="nil"/>
              <w:bottom w:val="nil"/>
              <w:right w:val="nil"/>
            </w:tcBorders>
            <w:shd w:val="clear" w:color="auto" w:fill="auto"/>
            <w:vAlign w:val="center"/>
          </w:tcPr>
          <w:p w14:paraId="064A69BC" w14:textId="77777777" w:rsidR="00C20063" w:rsidRPr="00AE31F4" w:rsidRDefault="00C20063" w:rsidP="00DC062C">
            <w:pPr>
              <w:pStyle w:val="08-Tabelageral"/>
            </w:pPr>
          </w:p>
        </w:tc>
        <w:tc>
          <w:tcPr>
            <w:tcW w:w="1407" w:type="dxa"/>
            <w:gridSpan w:val="3"/>
            <w:tcBorders>
              <w:top w:val="single" w:sz="2" w:space="0" w:color="1F4E79" w:themeColor="accent1" w:themeShade="80"/>
              <w:left w:val="nil"/>
              <w:bottom w:val="nil"/>
              <w:right w:val="nil"/>
            </w:tcBorders>
            <w:shd w:val="clear" w:color="auto" w:fill="auto"/>
            <w:vAlign w:val="center"/>
          </w:tcPr>
          <w:p w14:paraId="6FC71075" w14:textId="77777777" w:rsidR="00C20063" w:rsidRPr="00AE31F4" w:rsidRDefault="00C20063" w:rsidP="00DC062C">
            <w:pPr>
              <w:pStyle w:val="08-Tabelageral"/>
            </w:pPr>
            <w:r>
              <w:t>3,018</w:t>
            </w:r>
          </w:p>
        </w:tc>
        <w:tc>
          <w:tcPr>
            <w:tcW w:w="1351" w:type="dxa"/>
            <w:gridSpan w:val="2"/>
            <w:tcBorders>
              <w:top w:val="single" w:sz="2" w:space="0" w:color="1F4E79" w:themeColor="accent1" w:themeShade="80"/>
              <w:left w:val="nil"/>
              <w:bottom w:val="nil"/>
              <w:right w:val="nil"/>
            </w:tcBorders>
            <w:shd w:val="clear" w:color="auto" w:fill="auto"/>
            <w:vAlign w:val="center"/>
          </w:tcPr>
          <w:p w14:paraId="42CF5D6D" w14:textId="77777777" w:rsidR="00C20063" w:rsidRPr="00AE31F4" w:rsidRDefault="00C20063" w:rsidP="00DC062C">
            <w:pPr>
              <w:pStyle w:val="08-Tabelageral"/>
            </w:pPr>
            <w:r w:rsidRPr="006F3DDF">
              <w:t>2</w:t>
            </w:r>
            <w:r>
              <w:t>,</w:t>
            </w:r>
            <w:r w:rsidRPr="006F3DDF">
              <w:t>567</w:t>
            </w:r>
          </w:p>
        </w:tc>
      </w:tr>
      <w:tr w:rsidR="00C20063" w:rsidRPr="005171F7" w14:paraId="3C332D5E" w14:textId="77777777" w:rsidTr="00DC062C">
        <w:trPr>
          <w:trHeight w:val="20"/>
          <w:jc w:val="center"/>
        </w:trPr>
        <w:tc>
          <w:tcPr>
            <w:tcW w:w="3936" w:type="dxa"/>
            <w:gridSpan w:val="2"/>
            <w:shd w:val="clear" w:color="auto" w:fill="auto"/>
            <w:vAlign w:val="center"/>
          </w:tcPr>
          <w:p w14:paraId="3A83A2D7" w14:textId="77777777" w:rsidR="00C20063" w:rsidRPr="005171F7" w:rsidRDefault="00C20063" w:rsidP="00DC062C">
            <w:pPr>
              <w:pStyle w:val="08-Tabelageral"/>
              <w:ind w:left="113"/>
              <w:jc w:val="left"/>
              <w:rPr>
                <w:rFonts w:cs="Arial"/>
                <w:szCs w:val="14"/>
              </w:rPr>
            </w:pPr>
            <w:r w:rsidRPr="00A2009E">
              <w:rPr>
                <w:rFonts w:cs="Arial"/>
                <w:szCs w:val="14"/>
              </w:rPr>
              <w:t>(Addition)/Reversal of provisions for labor, tax and civil lawsuits</w:t>
            </w:r>
          </w:p>
        </w:tc>
        <w:tc>
          <w:tcPr>
            <w:tcW w:w="1359" w:type="dxa"/>
            <w:gridSpan w:val="2"/>
            <w:tcBorders>
              <w:top w:val="nil"/>
            </w:tcBorders>
            <w:shd w:val="clear" w:color="auto" w:fill="auto"/>
            <w:vAlign w:val="center"/>
          </w:tcPr>
          <w:p w14:paraId="670AEFB0" w14:textId="77777777" w:rsidR="00C20063" w:rsidRPr="00AE31F4" w:rsidRDefault="00C20063" w:rsidP="00DC062C">
            <w:pPr>
              <w:pStyle w:val="08-Tabelageral"/>
            </w:pPr>
            <w:r>
              <w:t>(1)</w:t>
            </w:r>
          </w:p>
        </w:tc>
        <w:tc>
          <w:tcPr>
            <w:tcW w:w="1359" w:type="dxa"/>
            <w:gridSpan w:val="2"/>
            <w:tcBorders>
              <w:top w:val="nil"/>
            </w:tcBorders>
            <w:shd w:val="clear" w:color="auto" w:fill="auto"/>
            <w:vAlign w:val="center"/>
          </w:tcPr>
          <w:p w14:paraId="299A2E1F" w14:textId="77777777" w:rsidR="00C20063" w:rsidRPr="00AE31F4" w:rsidRDefault="00C20063" w:rsidP="00DC062C">
            <w:pPr>
              <w:pStyle w:val="08-Tabelageral"/>
            </w:pPr>
            <w:r>
              <w:t>--</w:t>
            </w:r>
          </w:p>
        </w:tc>
        <w:tc>
          <w:tcPr>
            <w:tcW w:w="236" w:type="dxa"/>
            <w:gridSpan w:val="3"/>
            <w:tcBorders>
              <w:top w:val="nil"/>
            </w:tcBorders>
            <w:shd w:val="clear" w:color="auto" w:fill="auto"/>
            <w:vAlign w:val="center"/>
          </w:tcPr>
          <w:p w14:paraId="1AE8266B" w14:textId="77777777" w:rsidR="00C20063" w:rsidRPr="00AE31F4" w:rsidRDefault="00C20063" w:rsidP="00DC062C">
            <w:pPr>
              <w:pStyle w:val="08-Tabelageral"/>
            </w:pPr>
          </w:p>
        </w:tc>
        <w:tc>
          <w:tcPr>
            <w:tcW w:w="1407" w:type="dxa"/>
            <w:gridSpan w:val="3"/>
            <w:tcBorders>
              <w:top w:val="nil"/>
            </w:tcBorders>
            <w:shd w:val="clear" w:color="auto" w:fill="auto"/>
            <w:vAlign w:val="center"/>
          </w:tcPr>
          <w:p w14:paraId="57169177" w14:textId="77777777" w:rsidR="00C20063" w:rsidRPr="00AE31F4" w:rsidRDefault="00C20063" w:rsidP="00DC062C">
            <w:pPr>
              <w:pStyle w:val="08-Tabelageral"/>
            </w:pPr>
            <w:r>
              <w:t>(1,455)</w:t>
            </w:r>
          </w:p>
        </w:tc>
        <w:tc>
          <w:tcPr>
            <w:tcW w:w="1351" w:type="dxa"/>
            <w:gridSpan w:val="2"/>
            <w:tcBorders>
              <w:top w:val="nil"/>
            </w:tcBorders>
            <w:shd w:val="clear" w:color="auto" w:fill="auto"/>
            <w:vAlign w:val="center"/>
          </w:tcPr>
          <w:p w14:paraId="17D75DB8" w14:textId="77777777" w:rsidR="00C20063" w:rsidRPr="00AE31F4" w:rsidRDefault="00C20063" w:rsidP="00DC062C">
            <w:pPr>
              <w:pStyle w:val="08-Tabelageral"/>
            </w:pPr>
            <w:r w:rsidRPr="006F3DDF">
              <w:t>(108)</w:t>
            </w:r>
          </w:p>
        </w:tc>
      </w:tr>
      <w:tr w:rsidR="00C20063" w:rsidRPr="005171F7" w14:paraId="6A6B7B2A" w14:textId="77777777" w:rsidTr="00DC062C">
        <w:trPr>
          <w:trHeight w:val="20"/>
          <w:jc w:val="center"/>
        </w:trPr>
        <w:tc>
          <w:tcPr>
            <w:tcW w:w="3936" w:type="dxa"/>
            <w:gridSpan w:val="2"/>
            <w:shd w:val="clear" w:color="auto" w:fill="auto"/>
            <w:vAlign w:val="center"/>
          </w:tcPr>
          <w:p w14:paraId="12603A9B" w14:textId="77777777" w:rsidR="00C20063" w:rsidRPr="005171F7" w:rsidRDefault="00C20063" w:rsidP="00DC062C">
            <w:pPr>
              <w:pStyle w:val="08-Tabelageral"/>
              <w:ind w:left="113"/>
              <w:jc w:val="left"/>
              <w:rPr>
                <w:rFonts w:cs="Arial"/>
                <w:szCs w:val="14"/>
              </w:rPr>
            </w:pPr>
            <w:r w:rsidRPr="00A2009E">
              <w:rPr>
                <w:rFonts w:cs="Arial"/>
                <w:szCs w:val="14"/>
              </w:rPr>
              <w:t>Depreciation/amortization expense</w:t>
            </w:r>
          </w:p>
        </w:tc>
        <w:tc>
          <w:tcPr>
            <w:tcW w:w="1359" w:type="dxa"/>
            <w:gridSpan w:val="2"/>
            <w:shd w:val="clear" w:color="auto" w:fill="auto"/>
            <w:vAlign w:val="center"/>
          </w:tcPr>
          <w:p w14:paraId="10B4FC6A" w14:textId="77777777" w:rsidR="00C20063" w:rsidRPr="00AE31F4" w:rsidRDefault="00C20063" w:rsidP="00DC062C">
            <w:pPr>
              <w:pStyle w:val="08-Tabelageral"/>
            </w:pPr>
            <w:r>
              <w:t>(40)</w:t>
            </w:r>
          </w:p>
        </w:tc>
        <w:tc>
          <w:tcPr>
            <w:tcW w:w="1359" w:type="dxa"/>
            <w:gridSpan w:val="2"/>
            <w:shd w:val="clear" w:color="auto" w:fill="auto"/>
            <w:vAlign w:val="center"/>
          </w:tcPr>
          <w:p w14:paraId="0A443984" w14:textId="77777777" w:rsidR="00C20063" w:rsidRPr="00AE31F4" w:rsidRDefault="00C20063" w:rsidP="00DC062C">
            <w:pPr>
              <w:pStyle w:val="08-Tabelageral"/>
            </w:pPr>
            <w:r w:rsidRPr="006F3DDF">
              <w:t>(35)</w:t>
            </w:r>
          </w:p>
        </w:tc>
        <w:tc>
          <w:tcPr>
            <w:tcW w:w="236" w:type="dxa"/>
            <w:gridSpan w:val="3"/>
            <w:shd w:val="clear" w:color="auto" w:fill="auto"/>
            <w:vAlign w:val="center"/>
          </w:tcPr>
          <w:p w14:paraId="765F299B" w14:textId="77777777" w:rsidR="00C20063" w:rsidRPr="00AE31F4" w:rsidRDefault="00C20063" w:rsidP="00DC062C">
            <w:pPr>
              <w:pStyle w:val="08-Tabelageral"/>
            </w:pPr>
          </w:p>
        </w:tc>
        <w:tc>
          <w:tcPr>
            <w:tcW w:w="1407" w:type="dxa"/>
            <w:gridSpan w:val="3"/>
            <w:shd w:val="clear" w:color="auto" w:fill="auto"/>
            <w:vAlign w:val="center"/>
          </w:tcPr>
          <w:p w14:paraId="3BCC2967" w14:textId="77777777" w:rsidR="00C20063" w:rsidRPr="00AE31F4" w:rsidRDefault="00C20063" w:rsidP="00DC062C">
            <w:pPr>
              <w:pStyle w:val="08-Tabelageral"/>
            </w:pPr>
            <w:r>
              <w:t>(320)</w:t>
            </w:r>
          </w:p>
        </w:tc>
        <w:tc>
          <w:tcPr>
            <w:tcW w:w="1351" w:type="dxa"/>
            <w:gridSpan w:val="2"/>
            <w:shd w:val="clear" w:color="auto" w:fill="auto"/>
            <w:vAlign w:val="center"/>
          </w:tcPr>
          <w:p w14:paraId="225D2545" w14:textId="77777777" w:rsidR="00C20063" w:rsidRPr="00AE31F4" w:rsidRDefault="00C20063" w:rsidP="00DC062C">
            <w:pPr>
              <w:pStyle w:val="08-Tabelageral"/>
            </w:pPr>
            <w:r w:rsidRPr="006F3DDF">
              <w:t>(300)</w:t>
            </w:r>
          </w:p>
        </w:tc>
      </w:tr>
      <w:tr w:rsidR="00C20063" w:rsidRPr="005171F7" w14:paraId="545F2465" w14:textId="77777777" w:rsidTr="00DC062C">
        <w:trPr>
          <w:trHeight w:val="20"/>
          <w:jc w:val="center"/>
        </w:trPr>
        <w:tc>
          <w:tcPr>
            <w:tcW w:w="3936" w:type="dxa"/>
            <w:gridSpan w:val="2"/>
            <w:shd w:val="clear" w:color="auto" w:fill="auto"/>
            <w:vAlign w:val="center"/>
          </w:tcPr>
          <w:p w14:paraId="3860F5D1" w14:textId="77777777" w:rsidR="00C20063" w:rsidRPr="005171F7" w:rsidRDefault="00C20063" w:rsidP="00DC062C">
            <w:pPr>
              <w:pStyle w:val="08-Tabelageral"/>
              <w:ind w:left="113"/>
              <w:jc w:val="left"/>
              <w:rPr>
                <w:rFonts w:cs="Arial"/>
                <w:szCs w:val="14"/>
              </w:rPr>
            </w:pPr>
            <w:r w:rsidRPr="00A2009E">
              <w:rPr>
                <w:rFonts w:cs="Arial"/>
                <w:szCs w:val="14"/>
              </w:rPr>
              <w:t>Income/(expense) earn in earn out</w:t>
            </w:r>
            <w:r w:rsidRPr="005171F7">
              <w:rPr>
                <w:rFonts w:cs="Arial"/>
                <w:szCs w:val="14"/>
              </w:rPr>
              <w:t xml:space="preserve"> </w:t>
            </w:r>
            <w:r w:rsidRPr="005171F7">
              <w:rPr>
                <w:rFonts w:cs="Arial"/>
                <w:szCs w:val="14"/>
                <w:vertAlign w:val="superscript"/>
              </w:rPr>
              <w:t>(</w:t>
            </w:r>
            <w:r>
              <w:rPr>
                <w:rFonts w:cs="Arial"/>
                <w:szCs w:val="14"/>
                <w:vertAlign w:val="superscript"/>
              </w:rPr>
              <w:t>2</w:t>
            </w:r>
            <w:r w:rsidRPr="005171F7">
              <w:rPr>
                <w:rFonts w:cs="Arial"/>
                <w:szCs w:val="14"/>
                <w:vertAlign w:val="superscript"/>
              </w:rPr>
              <w:t>)</w:t>
            </w:r>
          </w:p>
        </w:tc>
        <w:tc>
          <w:tcPr>
            <w:tcW w:w="1359" w:type="dxa"/>
            <w:gridSpan w:val="2"/>
            <w:shd w:val="clear" w:color="auto" w:fill="auto"/>
            <w:vAlign w:val="center"/>
          </w:tcPr>
          <w:p w14:paraId="7AC31A8E" w14:textId="77777777" w:rsidR="00C20063" w:rsidRPr="00AE31F4" w:rsidRDefault="00C20063" w:rsidP="00DC062C">
            <w:pPr>
              <w:pStyle w:val="08-Tabelageral"/>
            </w:pPr>
            <w:r>
              <w:t>--</w:t>
            </w:r>
          </w:p>
        </w:tc>
        <w:tc>
          <w:tcPr>
            <w:tcW w:w="1359" w:type="dxa"/>
            <w:gridSpan w:val="2"/>
            <w:shd w:val="clear" w:color="auto" w:fill="auto"/>
            <w:vAlign w:val="center"/>
          </w:tcPr>
          <w:p w14:paraId="29DEAC4E" w14:textId="77777777" w:rsidR="00C20063" w:rsidRPr="00AE31F4" w:rsidRDefault="00C20063" w:rsidP="00DC062C">
            <w:pPr>
              <w:pStyle w:val="08-Tabelageral"/>
            </w:pPr>
            <w:r>
              <w:t>--</w:t>
            </w:r>
          </w:p>
        </w:tc>
        <w:tc>
          <w:tcPr>
            <w:tcW w:w="236" w:type="dxa"/>
            <w:gridSpan w:val="3"/>
            <w:shd w:val="clear" w:color="auto" w:fill="auto"/>
            <w:vAlign w:val="center"/>
          </w:tcPr>
          <w:p w14:paraId="5E84E368" w14:textId="77777777" w:rsidR="00C20063" w:rsidRPr="00AE31F4" w:rsidRDefault="00C20063" w:rsidP="00DC062C">
            <w:pPr>
              <w:pStyle w:val="08-Tabelageral"/>
            </w:pPr>
          </w:p>
        </w:tc>
        <w:tc>
          <w:tcPr>
            <w:tcW w:w="1407" w:type="dxa"/>
            <w:gridSpan w:val="3"/>
            <w:shd w:val="clear" w:color="auto" w:fill="auto"/>
            <w:vAlign w:val="center"/>
          </w:tcPr>
          <w:p w14:paraId="2B14FA07" w14:textId="77777777" w:rsidR="00C20063" w:rsidRPr="00AE31F4" w:rsidRDefault="00C20063" w:rsidP="00DC062C">
            <w:pPr>
              <w:pStyle w:val="08-Tabelageral"/>
            </w:pPr>
            <w:r>
              <w:t>--</w:t>
            </w:r>
          </w:p>
        </w:tc>
        <w:tc>
          <w:tcPr>
            <w:tcW w:w="1351" w:type="dxa"/>
            <w:gridSpan w:val="2"/>
            <w:shd w:val="clear" w:color="auto" w:fill="auto"/>
            <w:vAlign w:val="center"/>
          </w:tcPr>
          <w:p w14:paraId="5EC8B1F0" w14:textId="77777777" w:rsidR="00C20063" w:rsidRPr="00AE31F4" w:rsidRDefault="00C20063" w:rsidP="00DC062C">
            <w:pPr>
              <w:pStyle w:val="08-Tabelageral"/>
            </w:pPr>
            <w:r w:rsidRPr="006F3DDF">
              <w:t>(7</w:t>
            </w:r>
            <w:r>
              <w:t>,</w:t>
            </w:r>
            <w:r w:rsidRPr="006F3DDF">
              <w:t>336)</w:t>
            </w:r>
          </w:p>
        </w:tc>
      </w:tr>
      <w:tr w:rsidR="00C20063" w:rsidRPr="005171F7" w14:paraId="2048F18A" w14:textId="77777777" w:rsidTr="00DC062C">
        <w:trPr>
          <w:trHeight w:val="20"/>
          <w:jc w:val="center"/>
        </w:trPr>
        <w:tc>
          <w:tcPr>
            <w:tcW w:w="3936" w:type="dxa"/>
            <w:gridSpan w:val="2"/>
            <w:shd w:val="clear" w:color="auto" w:fill="auto"/>
            <w:vAlign w:val="center"/>
          </w:tcPr>
          <w:p w14:paraId="61041938" w14:textId="77777777" w:rsidR="00C20063" w:rsidRDefault="00C20063" w:rsidP="00DC062C">
            <w:pPr>
              <w:pStyle w:val="08-Tabelageral"/>
              <w:ind w:left="113"/>
              <w:jc w:val="left"/>
              <w:rPr>
                <w:rFonts w:cs="Arial"/>
                <w:szCs w:val="14"/>
              </w:rPr>
            </w:pPr>
            <w:r w:rsidRPr="00763E89">
              <w:rPr>
                <w:rFonts w:cs="Arial"/>
                <w:szCs w:val="14"/>
              </w:rPr>
              <w:t xml:space="preserve">Provision for brokerage to returned </w:t>
            </w:r>
            <w:r w:rsidRPr="00763E89">
              <w:rPr>
                <w:rFonts w:cs="Arial"/>
                <w:szCs w:val="14"/>
                <w:vertAlign w:val="superscript"/>
              </w:rPr>
              <w:t>(3)</w:t>
            </w:r>
          </w:p>
        </w:tc>
        <w:tc>
          <w:tcPr>
            <w:tcW w:w="1359" w:type="dxa"/>
            <w:gridSpan w:val="2"/>
            <w:tcBorders>
              <w:bottom w:val="nil"/>
            </w:tcBorders>
            <w:shd w:val="clear" w:color="auto" w:fill="auto"/>
            <w:vAlign w:val="center"/>
          </w:tcPr>
          <w:p w14:paraId="75487413" w14:textId="77777777" w:rsidR="00C20063" w:rsidRDefault="00C20063" w:rsidP="00DC062C">
            <w:pPr>
              <w:pStyle w:val="08-Tabelageral"/>
            </w:pPr>
            <w:r>
              <w:t>--</w:t>
            </w:r>
          </w:p>
        </w:tc>
        <w:tc>
          <w:tcPr>
            <w:tcW w:w="1359" w:type="dxa"/>
            <w:gridSpan w:val="2"/>
            <w:tcBorders>
              <w:bottom w:val="nil"/>
            </w:tcBorders>
            <w:shd w:val="clear" w:color="auto" w:fill="auto"/>
            <w:vAlign w:val="center"/>
          </w:tcPr>
          <w:p w14:paraId="7799EAF8" w14:textId="77777777" w:rsidR="00C20063" w:rsidRDefault="00C20063" w:rsidP="00DC062C">
            <w:pPr>
              <w:pStyle w:val="08-Tabelageral"/>
            </w:pPr>
            <w:r>
              <w:t>--</w:t>
            </w:r>
          </w:p>
        </w:tc>
        <w:tc>
          <w:tcPr>
            <w:tcW w:w="236" w:type="dxa"/>
            <w:gridSpan w:val="3"/>
            <w:tcBorders>
              <w:bottom w:val="nil"/>
            </w:tcBorders>
            <w:shd w:val="clear" w:color="auto" w:fill="auto"/>
            <w:vAlign w:val="center"/>
          </w:tcPr>
          <w:p w14:paraId="66D825DA" w14:textId="77777777" w:rsidR="00C20063" w:rsidRPr="00AE31F4" w:rsidRDefault="00C20063" w:rsidP="00DC062C">
            <w:pPr>
              <w:pStyle w:val="08-Tabelageral"/>
            </w:pPr>
          </w:p>
        </w:tc>
        <w:tc>
          <w:tcPr>
            <w:tcW w:w="1407" w:type="dxa"/>
            <w:gridSpan w:val="3"/>
            <w:tcBorders>
              <w:bottom w:val="nil"/>
            </w:tcBorders>
            <w:shd w:val="clear" w:color="auto" w:fill="auto"/>
            <w:vAlign w:val="center"/>
          </w:tcPr>
          <w:p w14:paraId="0D30FC7B" w14:textId="77777777" w:rsidR="00C20063" w:rsidRDefault="00C20063" w:rsidP="00DC062C">
            <w:pPr>
              <w:pStyle w:val="08-Tabelageral"/>
            </w:pPr>
            <w:r>
              <w:t>--</w:t>
            </w:r>
          </w:p>
        </w:tc>
        <w:tc>
          <w:tcPr>
            <w:tcW w:w="1351" w:type="dxa"/>
            <w:gridSpan w:val="2"/>
            <w:tcBorders>
              <w:bottom w:val="nil"/>
            </w:tcBorders>
            <w:shd w:val="clear" w:color="auto" w:fill="auto"/>
            <w:vAlign w:val="center"/>
          </w:tcPr>
          <w:p w14:paraId="2B52BDD2" w14:textId="77777777" w:rsidR="00C20063" w:rsidRDefault="00C20063" w:rsidP="00DC062C">
            <w:pPr>
              <w:pStyle w:val="08-Tabelageral"/>
            </w:pPr>
            <w:r>
              <w:t>(9,824)</w:t>
            </w:r>
          </w:p>
        </w:tc>
      </w:tr>
      <w:tr w:rsidR="00C20063" w:rsidRPr="005171F7" w14:paraId="57157FF4" w14:textId="77777777" w:rsidTr="00DC062C">
        <w:trPr>
          <w:trHeight w:val="20"/>
          <w:jc w:val="center"/>
        </w:trPr>
        <w:tc>
          <w:tcPr>
            <w:tcW w:w="3936" w:type="dxa"/>
            <w:gridSpan w:val="2"/>
            <w:shd w:val="clear" w:color="auto" w:fill="auto"/>
            <w:vAlign w:val="center"/>
          </w:tcPr>
          <w:p w14:paraId="29670337" w14:textId="77777777" w:rsidR="00C20063" w:rsidRPr="005171F7" w:rsidRDefault="00C20063" w:rsidP="00DC062C">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1359" w:type="dxa"/>
            <w:gridSpan w:val="2"/>
            <w:tcBorders>
              <w:bottom w:val="nil"/>
            </w:tcBorders>
            <w:shd w:val="clear" w:color="auto" w:fill="auto"/>
            <w:vAlign w:val="center"/>
          </w:tcPr>
          <w:p w14:paraId="6FF324C7" w14:textId="77777777" w:rsidR="00C20063" w:rsidRPr="00AE31F4" w:rsidRDefault="00C20063" w:rsidP="00DC062C">
            <w:pPr>
              <w:pStyle w:val="08-Tabelageral"/>
            </w:pPr>
            <w:r>
              <w:t>--</w:t>
            </w:r>
          </w:p>
        </w:tc>
        <w:tc>
          <w:tcPr>
            <w:tcW w:w="1359" w:type="dxa"/>
            <w:gridSpan w:val="2"/>
            <w:tcBorders>
              <w:bottom w:val="nil"/>
            </w:tcBorders>
            <w:shd w:val="clear" w:color="auto" w:fill="auto"/>
            <w:vAlign w:val="center"/>
          </w:tcPr>
          <w:p w14:paraId="5DD6D14A" w14:textId="77777777" w:rsidR="00C20063" w:rsidRPr="00AE31F4" w:rsidRDefault="00C20063" w:rsidP="00DC062C">
            <w:pPr>
              <w:pStyle w:val="08-Tabelageral"/>
            </w:pPr>
            <w:r w:rsidRPr="006F3DDF">
              <w:t>(73)</w:t>
            </w:r>
          </w:p>
        </w:tc>
        <w:tc>
          <w:tcPr>
            <w:tcW w:w="236" w:type="dxa"/>
            <w:gridSpan w:val="3"/>
            <w:tcBorders>
              <w:bottom w:val="nil"/>
            </w:tcBorders>
            <w:shd w:val="clear" w:color="auto" w:fill="auto"/>
            <w:vAlign w:val="center"/>
          </w:tcPr>
          <w:p w14:paraId="1527EC69" w14:textId="77777777" w:rsidR="00C20063" w:rsidRPr="00AE31F4" w:rsidRDefault="00C20063" w:rsidP="00DC062C">
            <w:pPr>
              <w:pStyle w:val="08-Tabelageral"/>
            </w:pPr>
          </w:p>
        </w:tc>
        <w:tc>
          <w:tcPr>
            <w:tcW w:w="1407" w:type="dxa"/>
            <w:gridSpan w:val="3"/>
            <w:tcBorders>
              <w:bottom w:val="nil"/>
            </w:tcBorders>
            <w:shd w:val="clear" w:color="auto" w:fill="auto"/>
            <w:vAlign w:val="center"/>
          </w:tcPr>
          <w:p w14:paraId="37A53A88" w14:textId="77777777" w:rsidR="00C20063" w:rsidRPr="00AE31F4" w:rsidRDefault="00C20063" w:rsidP="00DC062C">
            <w:pPr>
              <w:pStyle w:val="08-Tabelageral"/>
            </w:pPr>
            <w:r>
              <w:t>(58)</w:t>
            </w:r>
          </w:p>
        </w:tc>
        <w:tc>
          <w:tcPr>
            <w:tcW w:w="1351" w:type="dxa"/>
            <w:gridSpan w:val="2"/>
            <w:tcBorders>
              <w:bottom w:val="nil"/>
            </w:tcBorders>
            <w:shd w:val="clear" w:color="auto" w:fill="auto"/>
            <w:vAlign w:val="center"/>
          </w:tcPr>
          <w:p w14:paraId="58C34AB2" w14:textId="77777777" w:rsidR="00C20063" w:rsidRPr="00AE31F4" w:rsidRDefault="00C20063" w:rsidP="00DC062C">
            <w:pPr>
              <w:pStyle w:val="08-Tabelageral"/>
            </w:pPr>
            <w:r>
              <w:t>(76)</w:t>
            </w:r>
          </w:p>
        </w:tc>
      </w:tr>
      <w:tr w:rsidR="00C20063" w:rsidRPr="007D1ACC" w14:paraId="336A7E71" w14:textId="77777777" w:rsidTr="00DC062C">
        <w:trPr>
          <w:trHeight w:val="20"/>
          <w:jc w:val="center"/>
        </w:trPr>
        <w:tc>
          <w:tcPr>
            <w:tcW w:w="3936" w:type="dxa"/>
            <w:gridSpan w:val="2"/>
            <w:shd w:val="clear" w:color="auto" w:fill="auto"/>
          </w:tcPr>
          <w:p w14:paraId="6EDAA60E" w14:textId="77777777" w:rsidR="00C20063" w:rsidRPr="007D1ACC" w:rsidRDefault="00C20063" w:rsidP="00DC062C">
            <w:pPr>
              <w:pStyle w:val="08-Tabelageral"/>
              <w:ind w:left="113"/>
              <w:jc w:val="left"/>
              <w:rPr>
                <w:rFonts w:cs="Arial"/>
                <w:b/>
                <w:szCs w:val="14"/>
              </w:rPr>
            </w:pPr>
            <w:r w:rsidRPr="007D1ACC">
              <w:rPr>
                <w:rFonts w:cs="Arial"/>
                <w:b/>
                <w:szCs w:val="14"/>
              </w:rPr>
              <w:t>Total</w:t>
            </w:r>
          </w:p>
        </w:tc>
        <w:tc>
          <w:tcPr>
            <w:tcW w:w="1359" w:type="dxa"/>
            <w:gridSpan w:val="2"/>
            <w:tcBorders>
              <w:top w:val="nil"/>
              <w:bottom w:val="single" w:sz="2" w:space="0" w:color="1F4E79" w:themeColor="accent1" w:themeShade="80"/>
            </w:tcBorders>
            <w:shd w:val="clear" w:color="auto" w:fill="auto"/>
            <w:vAlign w:val="center"/>
          </w:tcPr>
          <w:p w14:paraId="55214EF0" w14:textId="77777777" w:rsidR="00C20063" w:rsidRPr="007D1ACC" w:rsidRDefault="00C20063" w:rsidP="00DC062C">
            <w:pPr>
              <w:pStyle w:val="08-Tabelageral"/>
              <w:ind w:left="113"/>
              <w:rPr>
                <w:rFonts w:cs="Arial"/>
                <w:b/>
                <w:szCs w:val="14"/>
              </w:rPr>
            </w:pPr>
            <w:r>
              <w:rPr>
                <w:b/>
              </w:rPr>
              <w:t>2,977</w:t>
            </w:r>
          </w:p>
        </w:tc>
        <w:tc>
          <w:tcPr>
            <w:tcW w:w="1359" w:type="dxa"/>
            <w:gridSpan w:val="2"/>
            <w:tcBorders>
              <w:top w:val="nil"/>
              <w:bottom w:val="single" w:sz="2" w:space="0" w:color="1F4E79" w:themeColor="accent1" w:themeShade="80"/>
            </w:tcBorders>
            <w:shd w:val="clear" w:color="auto" w:fill="auto"/>
            <w:vAlign w:val="center"/>
          </w:tcPr>
          <w:p w14:paraId="79DE1DBB" w14:textId="77777777" w:rsidR="00C20063" w:rsidRPr="007D1ACC" w:rsidRDefault="00C20063" w:rsidP="00DC062C">
            <w:pPr>
              <w:pStyle w:val="08-Tabelageral"/>
              <w:ind w:left="113"/>
              <w:rPr>
                <w:rFonts w:cs="Arial"/>
                <w:b/>
                <w:szCs w:val="14"/>
              </w:rPr>
            </w:pPr>
            <w:r w:rsidRPr="006F3DDF">
              <w:rPr>
                <w:b/>
              </w:rPr>
              <w:t>2</w:t>
            </w:r>
            <w:r>
              <w:rPr>
                <w:b/>
              </w:rPr>
              <w:t>,</w:t>
            </w:r>
            <w:r w:rsidRPr="006F3DDF">
              <w:rPr>
                <w:b/>
              </w:rPr>
              <w:t>459</w:t>
            </w:r>
          </w:p>
        </w:tc>
        <w:tc>
          <w:tcPr>
            <w:tcW w:w="236" w:type="dxa"/>
            <w:gridSpan w:val="3"/>
            <w:tcBorders>
              <w:top w:val="nil"/>
              <w:bottom w:val="single" w:sz="2" w:space="0" w:color="1F4E79" w:themeColor="accent1" w:themeShade="80"/>
            </w:tcBorders>
            <w:shd w:val="clear" w:color="auto" w:fill="auto"/>
            <w:vAlign w:val="center"/>
          </w:tcPr>
          <w:p w14:paraId="59279940" w14:textId="77777777" w:rsidR="00C20063" w:rsidRPr="007D1ACC" w:rsidRDefault="00C20063" w:rsidP="00DC062C">
            <w:pPr>
              <w:pStyle w:val="08-Tabelageral"/>
              <w:ind w:left="113"/>
              <w:rPr>
                <w:rFonts w:cs="Arial"/>
                <w:b/>
                <w:szCs w:val="14"/>
              </w:rPr>
            </w:pPr>
          </w:p>
        </w:tc>
        <w:tc>
          <w:tcPr>
            <w:tcW w:w="1407" w:type="dxa"/>
            <w:gridSpan w:val="3"/>
            <w:tcBorders>
              <w:top w:val="nil"/>
              <w:bottom w:val="single" w:sz="2" w:space="0" w:color="1F4E79" w:themeColor="accent1" w:themeShade="80"/>
            </w:tcBorders>
            <w:shd w:val="clear" w:color="auto" w:fill="auto"/>
            <w:vAlign w:val="center"/>
          </w:tcPr>
          <w:p w14:paraId="5F2F1213" w14:textId="77777777" w:rsidR="00C20063" w:rsidRPr="007D1ACC" w:rsidRDefault="00C20063" w:rsidP="00DC062C">
            <w:pPr>
              <w:pStyle w:val="08-Tabelageral"/>
              <w:ind w:left="113"/>
              <w:rPr>
                <w:rFonts w:cs="Arial"/>
                <w:b/>
                <w:szCs w:val="14"/>
              </w:rPr>
            </w:pPr>
            <w:r>
              <w:rPr>
                <w:b/>
              </w:rPr>
              <w:t>(1,183)</w:t>
            </w:r>
          </w:p>
        </w:tc>
        <w:tc>
          <w:tcPr>
            <w:tcW w:w="1351" w:type="dxa"/>
            <w:gridSpan w:val="2"/>
            <w:tcBorders>
              <w:top w:val="nil"/>
              <w:bottom w:val="single" w:sz="2" w:space="0" w:color="1F4E79" w:themeColor="accent1" w:themeShade="80"/>
            </w:tcBorders>
            <w:shd w:val="clear" w:color="auto" w:fill="auto"/>
            <w:vAlign w:val="center"/>
          </w:tcPr>
          <w:p w14:paraId="2BD55D56" w14:textId="77777777" w:rsidR="00C20063" w:rsidRPr="007D1ACC" w:rsidRDefault="00C20063" w:rsidP="00DC062C">
            <w:pPr>
              <w:pStyle w:val="08-Tabelageral"/>
              <w:ind w:left="113"/>
              <w:rPr>
                <w:rFonts w:cs="Arial"/>
                <w:b/>
                <w:szCs w:val="14"/>
              </w:rPr>
            </w:pPr>
            <w:r w:rsidRPr="006F3DDF">
              <w:rPr>
                <w:b/>
              </w:rPr>
              <w:t>(15</w:t>
            </w:r>
            <w:r>
              <w:rPr>
                <w:b/>
              </w:rPr>
              <w:t>,</w:t>
            </w:r>
            <w:r w:rsidRPr="006F3DDF">
              <w:rPr>
                <w:b/>
              </w:rPr>
              <w:t>07</w:t>
            </w:r>
            <w:r>
              <w:rPr>
                <w:b/>
              </w:rPr>
              <w:t>7</w:t>
            </w:r>
            <w:r w:rsidRPr="006F3DDF">
              <w:rPr>
                <w:b/>
              </w:rPr>
              <w:t>)</w:t>
            </w:r>
          </w:p>
        </w:tc>
      </w:tr>
    </w:tbl>
    <w:p w14:paraId="1781727F" w14:textId="77777777" w:rsidR="00C20063" w:rsidRPr="00F26745" w:rsidRDefault="00C20063" w:rsidP="00C20063">
      <w:pPr>
        <w:pStyle w:val="07-Legenda"/>
        <w:numPr>
          <w:ilvl w:val="0"/>
          <w:numId w:val="24"/>
        </w:numPr>
        <w:tabs>
          <w:tab w:val="clear" w:pos="284"/>
        </w:tabs>
        <w:ind w:left="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5C122383" w14:textId="77777777" w:rsidR="00C20063" w:rsidRPr="00CB6A4B" w:rsidRDefault="00C20063" w:rsidP="00C20063">
      <w:pPr>
        <w:pStyle w:val="07-Legenda"/>
        <w:numPr>
          <w:ilvl w:val="0"/>
          <w:numId w:val="24"/>
        </w:numPr>
        <w:tabs>
          <w:tab w:val="clear" w:pos="284"/>
        </w:tabs>
        <w:ind w:left="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 xml:space="preserve">. </w:t>
      </w:r>
      <w:r w:rsidRPr="00675883">
        <w:rPr>
          <w:rStyle w:val="tlid-translation"/>
          <w:lang w:val="en"/>
        </w:rPr>
        <w:t>On December 29, 2022, the 1st Amendment to the Partnership Restructuring Agreement was signed, providing for the elimination of the price adjustment mechanism, effective for three years, renewable successively, starting in 2023.</w:t>
      </w:r>
    </w:p>
    <w:p w14:paraId="3EE94D54" w14:textId="77777777" w:rsidR="00C20063" w:rsidRDefault="00C20063" w:rsidP="00C20063">
      <w:pPr>
        <w:pStyle w:val="07-Legenda"/>
        <w:numPr>
          <w:ilvl w:val="0"/>
          <w:numId w:val="24"/>
        </w:numPr>
        <w:tabs>
          <w:tab w:val="clear" w:pos="284"/>
        </w:tabs>
        <w:ind w:left="284"/>
        <w:rPr>
          <w:rStyle w:val="tlid-translation"/>
          <w:lang w:val="en"/>
        </w:rPr>
      </w:pPr>
      <w:r w:rsidRPr="00FA1D76">
        <w:rPr>
          <w:rStyle w:val="tlid-translation"/>
          <w:lang w:val="en"/>
        </w:rPr>
        <w:t>Refers to the provision for brokerage to returned to Brasilprev. In 2022, there was a reversal of the provision, due to the return made in November</w:t>
      </w:r>
      <w:r>
        <w:rPr>
          <w:rStyle w:val="tlid-translation"/>
          <w:lang w:val="en"/>
        </w:rPr>
        <w:t xml:space="preserve"> </w:t>
      </w:r>
      <w:r w:rsidRPr="00FA1D76">
        <w:rPr>
          <w:rStyle w:val="tlid-translation"/>
          <w:lang w:val="en"/>
        </w:rPr>
        <w:t>2022 and recognition in brokerage return expenses. As of December 2022, returns are processed automatically, with no need to recognize the provision anymore.</w:t>
      </w:r>
    </w:p>
    <w:p w14:paraId="6C726473" w14:textId="2132DC05" w:rsidR="00CC37BC" w:rsidRDefault="00CC37BC" w:rsidP="00DC062C">
      <w:pPr>
        <w:pStyle w:val="Ttulo2"/>
        <w:rPr>
          <w:rFonts w:eastAsiaTheme="minorHAnsi"/>
        </w:rPr>
      </w:pPr>
    </w:p>
    <w:p w14:paraId="7B998862" w14:textId="1EA453E3" w:rsidR="00DC062C" w:rsidRPr="00A1371B" w:rsidRDefault="00DC062C" w:rsidP="00A1371B">
      <w:pPr>
        <w:pStyle w:val="02-TtulodeNota"/>
        <w:rPr>
          <w:color w:val="1F4E79" w:themeColor="accent1" w:themeShade="80"/>
        </w:rPr>
      </w:pPr>
      <w:bookmarkStart w:id="42" w:name="_Toc28866213"/>
      <w:bookmarkStart w:id="43" w:name="OLE_LINK21"/>
      <w:bookmarkStart w:id="44" w:name="_Toc134823578"/>
      <w:r w:rsidRPr="00A1371B">
        <w:rPr>
          <w:color w:val="1F4E79" w:themeColor="accent1" w:themeShade="80"/>
        </w:rPr>
        <w:t>14 – FINANCIAL RESULT</w:t>
      </w:r>
      <w:bookmarkEnd w:id="44"/>
    </w:p>
    <w:bookmarkEnd w:id="42"/>
    <w:p w14:paraId="4C120AD7" w14:textId="77777777" w:rsidR="00DC062C" w:rsidRPr="00D318B6" w:rsidRDefault="00DC062C" w:rsidP="00DC062C">
      <w:pPr>
        <w:pStyle w:val="06-Rmil"/>
        <w:rPr>
          <w:rFonts w:cs="Arial"/>
        </w:rPr>
      </w:pPr>
      <w:r w:rsidRPr="00FF3418">
        <w:rPr>
          <w:rFonts w:cs="Arial"/>
        </w:rPr>
        <w:t>R$ 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DC062C" w:rsidRPr="00DB06CF" w14:paraId="3D5406DC" w14:textId="77777777" w:rsidTr="00DC062C">
        <w:trPr>
          <w:trHeight w:val="238"/>
        </w:trPr>
        <w:tc>
          <w:tcPr>
            <w:tcW w:w="1605" w:type="pct"/>
            <w:tcBorders>
              <w:top w:val="single" w:sz="2" w:space="0" w:color="1F4E79" w:themeColor="accent1" w:themeShade="80"/>
              <w:bottom w:val="nil"/>
            </w:tcBorders>
            <w:shd w:val="clear" w:color="auto" w:fill="auto"/>
          </w:tcPr>
          <w:p w14:paraId="6B36C207" w14:textId="77777777" w:rsidR="00DC062C" w:rsidRPr="00DB06CF" w:rsidRDefault="00DC062C" w:rsidP="00DC062C">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2EBE8446" w14:textId="77777777" w:rsidR="00DC062C" w:rsidRPr="00DB06CF" w:rsidRDefault="00DC062C" w:rsidP="00DC062C">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5DE5437A" w14:textId="77777777" w:rsidR="00DC062C" w:rsidRPr="00DB06CF" w:rsidRDefault="00DC062C" w:rsidP="00DC062C">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3F5A7530" w14:textId="77777777" w:rsidR="00DC062C" w:rsidRPr="00DB06CF" w:rsidRDefault="00DC062C" w:rsidP="00DC062C">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0C4E926D" w14:textId="77777777" w:rsidR="00DC062C" w:rsidRPr="00DB06CF" w:rsidRDefault="00DC062C" w:rsidP="00DC062C">
            <w:pPr>
              <w:spacing w:after="0"/>
              <w:jc w:val="center"/>
              <w:rPr>
                <w:rFonts w:cs="Arial"/>
                <w:b/>
                <w:szCs w:val="18"/>
              </w:rPr>
            </w:pPr>
            <w:r w:rsidRPr="00FF3418">
              <w:rPr>
                <w:rFonts w:cs="Arial"/>
                <w:b/>
                <w:sz w:val="14"/>
                <w:szCs w:val="18"/>
              </w:rPr>
              <w:t>Consolidated</w:t>
            </w:r>
          </w:p>
        </w:tc>
      </w:tr>
      <w:tr w:rsidR="00DC062C" w:rsidRPr="00DB06CF" w14:paraId="63D18DD8" w14:textId="77777777" w:rsidTr="00DC062C">
        <w:trPr>
          <w:trHeight w:val="238"/>
        </w:trPr>
        <w:tc>
          <w:tcPr>
            <w:tcW w:w="1605" w:type="pct"/>
            <w:tcBorders>
              <w:top w:val="nil"/>
              <w:bottom w:val="single" w:sz="2" w:space="0" w:color="1F4E79" w:themeColor="accent1" w:themeShade="80"/>
            </w:tcBorders>
            <w:shd w:val="clear" w:color="auto" w:fill="auto"/>
          </w:tcPr>
          <w:p w14:paraId="5B9806A7" w14:textId="77777777" w:rsidR="00DC062C" w:rsidRPr="00DB06CF" w:rsidRDefault="00DC062C" w:rsidP="00DC062C">
            <w:pPr>
              <w:pStyle w:val="08-Tabelageral"/>
              <w:rPr>
                <w:rFonts w:cs="Arial"/>
                <w:b/>
              </w:rPr>
            </w:pPr>
          </w:p>
        </w:tc>
        <w:tc>
          <w:tcPr>
            <w:tcW w:w="313" w:type="pct"/>
            <w:tcBorders>
              <w:top w:val="nil"/>
              <w:bottom w:val="single" w:sz="2" w:space="0" w:color="1F4E79" w:themeColor="accent1" w:themeShade="80"/>
            </w:tcBorders>
            <w:shd w:val="clear" w:color="auto" w:fill="auto"/>
          </w:tcPr>
          <w:p w14:paraId="7244219C" w14:textId="77777777" w:rsidR="00DC062C" w:rsidRPr="00DB06CF" w:rsidRDefault="00DC062C" w:rsidP="00DC062C">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tcPr>
          <w:p w14:paraId="3ACA61EC" w14:textId="77777777" w:rsidR="00DC062C" w:rsidRPr="00DB06CF" w:rsidRDefault="00DC062C" w:rsidP="00DC062C">
            <w:pPr>
              <w:pStyle w:val="08-Tabelageral"/>
              <w:rPr>
                <w:rFonts w:cs="Arial"/>
                <w:b/>
              </w:rPr>
            </w:pPr>
            <w:r w:rsidRPr="00D43605">
              <w:rPr>
                <w:rFonts w:cs="Arial"/>
                <w:b/>
                <w:bCs/>
                <w:szCs w:val="14"/>
              </w:rPr>
              <w:t>1</w:t>
            </w:r>
            <w:r w:rsidRPr="00D43605">
              <w:rPr>
                <w:rFonts w:cs="Arial"/>
                <w:b/>
                <w:bCs/>
                <w:szCs w:val="14"/>
                <w:vertAlign w:val="superscript"/>
              </w:rPr>
              <w:t>st</w:t>
            </w:r>
            <w:r w:rsidRPr="00D43605">
              <w:rPr>
                <w:rFonts w:cs="Arial"/>
                <w:b/>
                <w:bCs/>
                <w:szCs w:val="14"/>
              </w:rPr>
              <w:t xml:space="preserve"> Quarter</w:t>
            </w:r>
            <w:r>
              <w:rPr>
                <w:rFonts w:cs="Arial"/>
                <w:b/>
                <w:bCs/>
                <w:szCs w:val="14"/>
              </w:rPr>
              <w:t xml:space="preserve"> 2</w:t>
            </w:r>
            <w:r w:rsidRPr="00D43605">
              <w:rPr>
                <w:rFonts w:cs="Arial"/>
                <w:b/>
                <w:bCs/>
                <w:szCs w:val="14"/>
              </w:rPr>
              <w:t>02</w:t>
            </w:r>
            <w:r>
              <w:rPr>
                <w:rFonts w:cs="Arial"/>
                <w:b/>
                <w:bCs/>
                <w:szCs w:val="14"/>
              </w:rPr>
              <w:t>3</w:t>
            </w:r>
          </w:p>
        </w:tc>
        <w:tc>
          <w:tcPr>
            <w:tcW w:w="732" w:type="pct"/>
            <w:tcBorders>
              <w:top w:val="single" w:sz="2" w:space="0" w:color="1F4E79" w:themeColor="accent1" w:themeShade="80"/>
              <w:bottom w:val="single" w:sz="2" w:space="0" w:color="1F4E79" w:themeColor="accent1" w:themeShade="80"/>
            </w:tcBorders>
            <w:shd w:val="clear" w:color="auto" w:fill="auto"/>
          </w:tcPr>
          <w:p w14:paraId="011B6524" w14:textId="77777777" w:rsidR="00DC062C" w:rsidRPr="00DB06CF" w:rsidRDefault="00DC062C" w:rsidP="00DC062C">
            <w:pPr>
              <w:pStyle w:val="08-Tabelageral"/>
              <w:rPr>
                <w:rFonts w:cs="Arial"/>
                <w:b/>
              </w:rPr>
            </w:pPr>
            <w:r w:rsidRPr="00D43605">
              <w:rPr>
                <w:rFonts w:cs="Arial"/>
                <w:b/>
                <w:szCs w:val="14"/>
              </w:rPr>
              <w:t>1</w:t>
            </w:r>
            <w:r w:rsidRPr="00D43605">
              <w:rPr>
                <w:rFonts w:cs="Arial"/>
                <w:b/>
                <w:szCs w:val="14"/>
                <w:vertAlign w:val="superscript"/>
              </w:rPr>
              <w:t>st</w:t>
            </w:r>
            <w:r w:rsidRPr="00D43605">
              <w:rPr>
                <w:rFonts w:cs="Arial"/>
                <w:b/>
                <w:szCs w:val="14"/>
              </w:rPr>
              <w:t xml:space="preserve"> Quarter 202</w:t>
            </w:r>
            <w:r>
              <w:rPr>
                <w:rFonts w:cs="Arial"/>
                <w:b/>
                <w:szCs w:val="14"/>
              </w:rPr>
              <w:t>2</w:t>
            </w:r>
          </w:p>
        </w:tc>
        <w:tc>
          <w:tcPr>
            <w:tcW w:w="147" w:type="pct"/>
            <w:tcBorders>
              <w:top w:val="nil"/>
              <w:bottom w:val="single" w:sz="2" w:space="0" w:color="1F4E79" w:themeColor="accent1" w:themeShade="80"/>
            </w:tcBorders>
            <w:shd w:val="clear" w:color="auto" w:fill="auto"/>
            <w:vAlign w:val="center"/>
          </w:tcPr>
          <w:p w14:paraId="1303D7B8" w14:textId="77777777" w:rsidR="00DC062C" w:rsidRPr="00DB06CF" w:rsidRDefault="00DC062C" w:rsidP="00DC062C">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tcPr>
          <w:p w14:paraId="157765D2" w14:textId="77777777" w:rsidR="00DC062C" w:rsidRPr="00DB06CF" w:rsidRDefault="00DC062C" w:rsidP="00DC062C">
            <w:pPr>
              <w:pStyle w:val="08-Tabelageral"/>
              <w:rPr>
                <w:rFonts w:cs="Arial"/>
                <w:b/>
              </w:rPr>
            </w:pPr>
            <w:r w:rsidRPr="00D43605">
              <w:rPr>
                <w:rFonts w:cs="Arial"/>
                <w:b/>
                <w:bCs/>
                <w:szCs w:val="14"/>
              </w:rPr>
              <w:t>1</w:t>
            </w:r>
            <w:r w:rsidRPr="00D43605">
              <w:rPr>
                <w:rFonts w:cs="Arial"/>
                <w:b/>
                <w:bCs/>
                <w:szCs w:val="14"/>
                <w:vertAlign w:val="superscript"/>
              </w:rPr>
              <w:t>st</w:t>
            </w:r>
            <w:r w:rsidRPr="00D43605">
              <w:rPr>
                <w:rFonts w:cs="Arial"/>
                <w:b/>
                <w:bCs/>
                <w:szCs w:val="14"/>
              </w:rPr>
              <w:t xml:space="preserve"> Quarter</w:t>
            </w:r>
            <w:r>
              <w:rPr>
                <w:rFonts w:cs="Arial"/>
                <w:b/>
                <w:bCs/>
                <w:szCs w:val="14"/>
              </w:rPr>
              <w:t xml:space="preserve"> 2</w:t>
            </w:r>
            <w:r w:rsidRPr="00D43605">
              <w:rPr>
                <w:rFonts w:cs="Arial"/>
                <w:b/>
                <w:bCs/>
                <w:szCs w:val="14"/>
              </w:rPr>
              <w:t>02</w:t>
            </w:r>
            <w:r>
              <w:rPr>
                <w:rFonts w:cs="Arial"/>
                <w:b/>
                <w:bCs/>
                <w:szCs w:val="14"/>
              </w:rPr>
              <w:t>3</w:t>
            </w:r>
          </w:p>
        </w:tc>
        <w:tc>
          <w:tcPr>
            <w:tcW w:w="736" w:type="pct"/>
            <w:tcBorders>
              <w:top w:val="single" w:sz="2" w:space="0" w:color="1F4E79" w:themeColor="accent1" w:themeShade="80"/>
              <w:bottom w:val="single" w:sz="2" w:space="0" w:color="1F4E79" w:themeColor="accent1" w:themeShade="80"/>
            </w:tcBorders>
            <w:shd w:val="clear" w:color="auto" w:fill="auto"/>
          </w:tcPr>
          <w:p w14:paraId="2089DC35" w14:textId="77777777" w:rsidR="00DC062C" w:rsidRPr="00DB06CF" w:rsidRDefault="00DC062C" w:rsidP="00DC062C">
            <w:pPr>
              <w:pStyle w:val="08-Tabelageral"/>
              <w:rPr>
                <w:rFonts w:cs="Arial"/>
                <w:b/>
              </w:rPr>
            </w:pPr>
            <w:r w:rsidRPr="00D43605">
              <w:rPr>
                <w:rFonts w:cs="Arial"/>
                <w:b/>
                <w:szCs w:val="14"/>
              </w:rPr>
              <w:t>1</w:t>
            </w:r>
            <w:r w:rsidRPr="00D43605">
              <w:rPr>
                <w:rFonts w:cs="Arial"/>
                <w:b/>
                <w:szCs w:val="14"/>
                <w:vertAlign w:val="superscript"/>
              </w:rPr>
              <w:t>st</w:t>
            </w:r>
            <w:r w:rsidRPr="00D43605">
              <w:rPr>
                <w:rFonts w:cs="Arial"/>
                <w:b/>
                <w:szCs w:val="14"/>
              </w:rPr>
              <w:t xml:space="preserve"> Quarter 202</w:t>
            </w:r>
            <w:r>
              <w:rPr>
                <w:rFonts w:cs="Arial"/>
                <w:b/>
                <w:szCs w:val="14"/>
              </w:rPr>
              <w:t>2</w:t>
            </w:r>
          </w:p>
        </w:tc>
      </w:tr>
      <w:tr w:rsidR="00DC062C" w:rsidRPr="00DB06CF" w14:paraId="2CE1FFEB" w14:textId="77777777" w:rsidTr="00DC062C">
        <w:trPr>
          <w:trHeight w:val="238"/>
        </w:trPr>
        <w:tc>
          <w:tcPr>
            <w:tcW w:w="1605" w:type="pct"/>
            <w:tcBorders>
              <w:top w:val="single" w:sz="2" w:space="0" w:color="1F4E79" w:themeColor="accent1" w:themeShade="80"/>
            </w:tcBorders>
            <w:shd w:val="clear" w:color="auto" w:fill="auto"/>
            <w:vAlign w:val="center"/>
          </w:tcPr>
          <w:p w14:paraId="793B7C95" w14:textId="77777777" w:rsidR="00DC062C" w:rsidRPr="00DB06CF" w:rsidRDefault="00DC062C" w:rsidP="00DC062C">
            <w:pPr>
              <w:pStyle w:val="08-Tabelageral"/>
              <w:jc w:val="left"/>
              <w:rPr>
                <w:b/>
              </w:rPr>
            </w:pPr>
            <w:r w:rsidRPr="00FF3418">
              <w:rPr>
                <w:b/>
              </w:rPr>
              <w:t>Financial Income</w:t>
            </w:r>
          </w:p>
        </w:tc>
        <w:tc>
          <w:tcPr>
            <w:tcW w:w="313" w:type="pct"/>
            <w:tcBorders>
              <w:top w:val="single" w:sz="2" w:space="0" w:color="1F4E79" w:themeColor="accent1" w:themeShade="80"/>
            </w:tcBorders>
            <w:shd w:val="clear" w:color="auto" w:fill="auto"/>
          </w:tcPr>
          <w:p w14:paraId="7A2751DE" w14:textId="77777777" w:rsidR="00DC062C" w:rsidRPr="00DB06CF" w:rsidRDefault="00DC062C" w:rsidP="00DC062C">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517CA7A9" w14:textId="77777777" w:rsidR="00DC062C" w:rsidRPr="00961673" w:rsidRDefault="00DC062C" w:rsidP="00DC062C">
            <w:pPr>
              <w:pStyle w:val="08-Tabelageral"/>
              <w:rPr>
                <w:b/>
              </w:rPr>
            </w:pPr>
            <w:r>
              <w:rPr>
                <w:b/>
              </w:rPr>
              <w:t>81,823</w:t>
            </w:r>
          </w:p>
        </w:tc>
        <w:tc>
          <w:tcPr>
            <w:tcW w:w="732" w:type="pct"/>
            <w:tcBorders>
              <w:top w:val="single" w:sz="2" w:space="0" w:color="1F4E79" w:themeColor="accent1" w:themeShade="80"/>
            </w:tcBorders>
            <w:shd w:val="clear" w:color="auto" w:fill="auto"/>
            <w:vAlign w:val="center"/>
          </w:tcPr>
          <w:p w14:paraId="3638DB88" w14:textId="77777777" w:rsidR="00DC062C" w:rsidRPr="00961673" w:rsidRDefault="00DC062C" w:rsidP="00DC062C">
            <w:pPr>
              <w:pStyle w:val="08-Tabelageral"/>
              <w:rPr>
                <w:b/>
              </w:rPr>
            </w:pPr>
            <w:r w:rsidRPr="007E3D4B">
              <w:rPr>
                <w:b/>
              </w:rPr>
              <w:t>30</w:t>
            </w:r>
            <w:r>
              <w:rPr>
                <w:b/>
              </w:rPr>
              <w:t>,</w:t>
            </w:r>
            <w:r w:rsidRPr="007E3D4B">
              <w:rPr>
                <w:b/>
              </w:rPr>
              <w:t>227</w:t>
            </w:r>
          </w:p>
        </w:tc>
        <w:tc>
          <w:tcPr>
            <w:tcW w:w="147" w:type="pct"/>
            <w:tcBorders>
              <w:top w:val="single" w:sz="2" w:space="0" w:color="1F4E79" w:themeColor="accent1" w:themeShade="80"/>
            </w:tcBorders>
            <w:shd w:val="clear" w:color="auto" w:fill="auto"/>
            <w:vAlign w:val="center"/>
          </w:tcPr>
          <w:p w14:paraId="3E4AC1C7" w14:textId="77777777" w:rsidR="00DC062C" w:rsidRPr="00961673" w:rsidRDefault="00DC062C" w:rsidP="00DC062C">
            <w:pPr>
              <w:pStyle w:val="08-Tabelageral"/>
              <w:rPr>
                <w:b/>
              </w:rPr>
            </w:pPr>
          </w:p>
        </w:tc>
        <w:tc>
          <w:tcPr>
            <w:tcW w:w="735" w:type="pct"/>
            <w:tcBorders>
              <w:top w:val="single" w:sz="2" w:space="0" w:color="1F4E79" w:themeColor="accent1" w:themeShade="80"/>
            </w:tcBorders>
            <w:shd w:val="clear" w:color="auto" w:fill="auto"/>
            <w:vAlign w:val="center"/>
          </w:tcPr>
          <w:p w14:paraId="54F8D32C" w14:textId="77777777" w:rsidR="00DC062C" w:rsidRPr="00D41026" w:rsidRDefault="00DC062C" w:rsidP="00DC062C">
            <w:pPr>
              <w:pStyle w:val="08-Tabelageral"/>
              <w:rPr>
                <w:b/>
              </w:rPr>
            </w:pPr>
            <w:r w:rsidRPr="001F35D3">
              <w:rPr>
                <w:b/>
              </w:rPr>
              <w:t>175</w:t>
            </w:r>
            <w:r>
              <w:rPr>
                <w:b/>
              </w:rPr>
              <w:t>,</w:t>
            </w:r>
            <w:r w:rsidRPr="001F35D3">
              <w:rPr>
                <w:b/>
              </w:rPr>
              <w:t>795</w:t>
            </w:r>
          </w:p>
        </w:tc>
        <w:tc>
          <w:tcPr>
            <w:tcW w:w="736" w:type="pct"/>
            <w:tcBorders>
              <w:top w:val="single" w:sz="2" w:space="0" w:color="1F4E79" w:themeColor="accent1" w:themeShade="80"/>
            </w:tcBorders>
            <w:shd w:val="clear" w:color="auto" w:fill="auto"/>
            <w:vAlign w:val="center"/>
          </w:tcPr>
          <w:p w14:paraId="68CA1DB1" w14:textId="77777777" w:rsidR="00DC062C" w:rsidRPr="00961673" w:rsidRDefault="00DC062C" w:rsidP="00DC062C">
            <w:pPr>
              <w:pStyle w:val="08-Tabelageral"/>
              <w:rPr>
                <w:b/>
              </w:rPr>
            </w:pPr>
            <w:r w:rsidRPr="007E3D4B">
              <w:rPr>
                <w:b/>
              </w:rPr>
              <w:t>85</w:t>
            </w:r>
            <w:r>
              <w:rPr>
                <w:b/>
              </w:rPr>
              <w:t>,</w:t>
            </w:r>
            <w:r w:rsidRPr="007E3D4B">
              <w:rPr>
                <w:b/>
              </w:rPr>
              <w:t>950</w:t>
            </w:r>
          </w:p>
        </w:tc>
      </w:tr>
      <w:tr w:rsidR="00DC062C" w:rsidRPr="00DB06CF" w14:paraId="6EFD1115" w14:textId="77777777" w:rsidTr="00DC062C">
        <w:trPr>
          <w:trHeight w:val="238"/>
        </w:trPr>
        <w:tc>
          <w:tcPr>
            <w:tcW w:w="1605" w:type="pct"/>
            <w:shd w:val="clear" w:color="auto" w:fill="auto"/>
            <w:vAlign w:val="center"/>
          </w:tcPr>
          <w:p w14:paraId="7523B46F" w14:textId="77777777" w:rsidR="00DC062C" w:rsidRPr="00DB06CF" w:rsidRDefault="00DC062C" w:rsidP="00DC062C">
            <w:pPr>
              <w:pStyle w:val="08-Tabelageral"/>
              <w:ind w:left="113"/>
              <w:jc w:val="left"/>
            </w:pPr>
            <w:r w:rsidRPr="00FA2ABC">
              <w:t>Yield from financial investments</w:t>
            </w:r>
          </w:p>
        </w:tc>
        <w:tc>
          <w:tcPr>
            <w:tcW w:w="313" w:type="pct"/>
            <w:shd w:val="clear" w:color="auto" w:fill="auto"/>
          </w:tcPr>
          <w:p w14:paraId="75CDECE6"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78062704" w14:textId="77777777" w:rsidR="00DC062C" w:rsidRPr="00DB06CF" w:rsidRDefault="00DC062C" w:rsidP="00DC062C">
            <w:pPr>
              <w:pStyle w:val="08-Tabelageral"/>
            </w:pPr>
            <w:r>
              <w:t>2,006</w:t>
            </w:r>
          </w:p>
        </w:tc>
        <w:tc>
          <w:tcPr>
            <w:tcW w:w="732" w:type="pct"/>
            <w:shd w:val="clear" w:color="auto" w:fill="auto"/>
            <w:vAlign w:val="center"/>
          </w:tcPr>
          <w:p w14:paraId="1F13C136" w14:textId="77777777" w:rsidR="00DC062C" w:rsidRPr="00DB06CF" w:rsidRDefault="00DC062C" w:rsidP="00DC062C">
            <w:pPr>
              <w:pStyle w:val="08-Tabelageral"/>
            </w:pPr>
            <w:r>
              <w:t>6,663</w:t>
            </w:r>
          </w:p>
        </w:tc>
        <w:tc>
          <w:tcPr>
            <w:tcW w:w="147" w:type="pct"/>
            <w:shd w:val="clear" w:color="auto" w:fill="auto"/>
            <w:vAlign w:val="center"/>
          </w:tcPr>
          <w:p w14:paraId="53E7F8BA" w14:textId="77777777" w:rsidR="00DC062C" w:rsidRPr="00DB06CF" w:rsidRDefault="00DC062C" w:rsidP="00DC062C">
            <w:pPr>
              <w:pStyle w:val="08-Tabelageral"/>
            </w:pPr>
          </w:p>
        </w:tc>
        <w:tc>
          <w:tcPr>
            <w:tcW w:w="735" w:type="pct"/>
            <w:shd w:val="clear" w:color="auto" w:fill="auto"/>
            <w:vAlign w:val="center"/>
          </w:tcPr>
          <w:p w14:paraId="053DD5AF" w14:textId="77777777" w:rsidR="00DC062C" w:rsidRPr="00DB06CF" w:rsidRDefault="00DC062C" w:rsidP="00DC062C">
            <w:pPr>
              <w:pStyle w:val="08-Tabelageral"/>
            </w:pPr>
            <w:r>
              <w:t>169,890</w:t>
            </w:r>
          </w:p>
        </w:tc>
        <w:tc>
          <w:tcPr>
            <w:tcW w:w="736" w:type="pct"/>
            <w:shd w:val="clear" w:color="auto" w:fill="auto"/>
            <w:vAlign w:val="center"/>
          </w:tcPr>
          <w:p w14:paraId="303B5372" w14:textId="77777777" w:rsidR="00DC062C" w:rsidRPr="00DB06CF" w:rsidRDefault="00DC062C" w:rsidP="00DC062C">
            <w:pPr>
              <w:pStyle w:val="08-Tabelageral"/>
            </w:pPr>
            <w:r>
              <w:t>84,124</w:t>
            </w:r>
          </w:p>
        </w:tc>
      </w:tr>
      <w:tr w:rsidR="00DC062C" w:rsidRPr="00DB06CF" w14:paraId="1AA785AF" w14:textId="77777777" w:rsidTr="00DC062C">
        <w:trPr>
          <w:trHeight w:val="238"/>
        </w:trPr>
        <w:tc>
          <w:tcPr>
            <w:tcW w:w="1605" w:type="pct"/>
            <w:shd w:val="clear" w:color="auto" w:fill="auto"/>
            <w:vAlign w:val="center"/>
          </w:tcPr>
          <w:p w14:paraId="7D853635" w14:textId="77777777" w:rsidR="00DC062C" w:rsidRPr="00DB06CF" w:rsidRDefault="00DC062C" w:rsidP="00DC062C">
            <w:pPr>
              <w:pStyle w:val="08-Tabelageral"/>
              <w:ind w:left="113"/>
              <w:jc w:val="left"/>
            </w:pPr>
            <w:r w:rsidRPr="00FA2ABC">
              <w:t>Monetary adjustment of judicial deposits</w:t>
            </w:r>
          </w:p>
        </w:tc>
        <w:tc>
          <w:tcPr>
            <w:tcW w:w="313" w:type="pct"/>
            <w:shd w:val="clear" w:color="auto" w:fill="auto"/>
          </w:tcPr>
          <w:p w14:paraId="7A7D7886" w14:textId="77777777" w:rsidR="00DC062C" w:rsidRPr="00DB06CF" w:rsidRDefault="00DC062C" w:rsidP="00DC062C">
            <w:pPr>
              <w:pStyle w:val="08-Tabelageral"/>
              <w:ind w:left="113"/>
              <w:jc w:val="left"/>
            </w:pPr>
          </w:p>
        </w:tc>
        <w:tc>
          <w:tcPr>
            <w:tcW w:w="732" w:type="pct"/>
            <w:shd w:val="clear" w:color="auto" w:fill="auto"/>
            <w:vAlign w:val="center"/>
          </w:tcPr>
          <w:p w14:paraId="3A85B4D3" w14:textId="77777777" w:rsidR="00DC062C" w:rsidRPr="00DB06CF" w:rsidRDefault="00DC062C" w:rsidP="00DC062C">
            <w:pPr>
              <w:pStyle w:val="08-Tabelageral"/>
            </w:pPr>
            <w:r>
              <w:t>--</w:t>
            </w:r>
          </w:p>
        </w:tc>
        <w:tc>
          <w:tcPr>
            <w:tcW w:w="732" w:type="pct"/>
            <w:shd w:val="clear" w:color="auto" w:fill="auto"/>
            <w:vAlign w:val="center"/>
          </w:tcPr>
          <w:p w14:paraId="3676DE24" w14:textId="77777777" w:rsidR="00DC062C" w:rsidRPr="00DB06CF" w:rsidRDefault="00DC062C" w:rsidP="00DC062C">
            <w:pPr>
              <w:pStyle w:val="08-Tabelageral"/>
            </w:pPr>
            <w:r>
              <w:t>--</w:t>
            </w:r>
          </w:p>
        </w:tc>
        <w:tc>
          <w:tcPr>
            <w:tcW w:w="147" w:type="pct"/>
            <w:shd w:val="clear" w:color="auto" w:fill="auto"/>
            <w:vAlign w:val="center"/>
          </w:tcPr>
          <w:p w14:paraId="0934DC9B" w14:textId="77777777" w:rsidR="00DC062C" w:rsidRPr="00DB06CF" w:rsidRDefault="00DC062C" w:rsidP="00DC062C">
            <w:pPr>
              <w:pStyle w:val="08-Tabelageral"/>
            </w:pPr>
          </w:p>
        </w:tc>
        <w:tc>
          <w:tcPr>
            <w:tcW w:w="735" w:type="pct"/>
            <w:shd w:val="clear" w:color="auto" w:fill="auto"/>
            <w:vAlign w:val="center"/>
          </w:tcPr>
          <w:p w14:paraId="4BFFCB66" w14:textId="77777777" w:rsidR="00DC062C" w:rsidRPr="00DB06CF" w:rsidRDefault="00DC062C" w:rsidP="00DC062C">
            <w:pPr>
              <w:pStyle w:val="08-Tabelageral"/>
            </w:pPr>
            <w:r>
              <w:t>3,531</w:t>
            </w:r>
          </w:p>
        </w:tc>
        <w:tc>
          <w:tcPr>
            <w:tcW w:w="736" w:type="pct"/>
            <w:shd w:val="clear" w:color="auto" w:fill="auto"/>
            <w:vAlign w:val="center"/>
          </w:tcPr>
          <w:p w14:paraId="2F2ADE86" w14:textId="77777777" w:rsidR="00DC062C" w:rsidRPr="00DB06CF" w:rsidRDefault="00DC062C" w:rsidP="00DC062C">
            <w:pPr>
              <w:pStyle w:val="08-Tabelageral"/>
            </w:pPr>
            <w:r>
              <w:t>17</w:t>
            </w:r>
          </w:p>
        </w:tc>
      </w:tr>
      <w:tr w:rsidR="00DC062C" w:rsidRPr="00DB06CF" w14:paraId="7C22A818" w14:textId="77777777" w:rsidTr="00DC062C">
        <w:trPr>
          <w:trHeight w:val="238"/>
        </w:trPr>
        <w:tc>
          <w:tcPr>
            <w:tcW w:w="1605" w:type="pct"/>
            <w:shd w:val="clear" w:color="auto" w:fill="auto"/>
            <w:vAlign w:val="center"/>
          </w:tcPr>
          <w:p w14:paraId="27C05D99" w14:textId="77777777" w:rsidR="00DC062C" w:rsidRPr="00DB06CF" w:rsidRDefault="00DC062C" w:rsidP="00DC062C">
            <w:pPr>
              <w:pStyle w:val="08-Tabelageral"/>
              <w:ind w:left="113"/>
              <w:jc w:val="left"/>
            </w:pPr>
            <w:r w:rsidRPr="00FA2ABC">
              <w:t>Monetary adjustment of taxes</w:t>
            </w:r>
          </w:p>
        </w:tc>
        <w:tc>
          <w:tcPr>
            <w:tcW w:w="313" w:type="pct"/>
            <w:shd w:val="clear" w:color="auto" w:fill="auto"/>
          </w:tcPr>
          <w:p w14:paraId="19D373F3"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6014020C" w14:textId="77777777" w:rsidR="00DC062C" w:rsidRPr="00DB06CF" w:rsidRDefault="00DC062C" w:rsidP="00DC062C">
            <w:pPr>
              <w:pStyle w:val="08-Tabelageral"/>
            </w:pPr>
            <w:r>
              <w:t>2,326</w:t>
            </w:r>
          </w:p>
        </w:tc>
        <w:tc>
          <w:tcPr>
            <w:tcW w:w="732" w:type="pct"/>
            <w:shd w:val="clear" w:color="auto" w:fill="auto"/>
            <w:vAlign w:val="center"/>
          </w:tcPr>
          <w:p w14:paraId="7A9F7F37" w14:textId="77777777" w:rsidR="00DC062C" w:rsidRPr="00DB06CF" w:rsidRDefault="00DC062C" w:rsidP="00DC062C">
            <w:pPr>
              <w:pStyle w:val="08-Tabelageral"/>
            </w:pPr>
            <w:r>
              <w:t>1,454</w:t>
            </w:r>
          </w:p>
        </w:tc>
        <w:tc>
          <w:tcPr>
            <w:tcW w:w="147" w:type="pct"/>
            <w:shd w:val="clear" w:color="auto" w:fill="auto"/>
            <w:vAlign w:val="center"/>
          </w:tcPr>
          <w:p w14:paraId="53E060A8" w14:textId="77777777" w:rsidR="00DC062C" w:rsidRPr="00DB06CF" w:rsidRDefault="00DC062C" w:rsidP="00DC062C">
            <w:pPr>
              <w:pStyle w:val="08-Tabelageral"/>
            </w:pPr>
          </w:p>
        </w:tc>
        <w:tc>
          <w:tcPr>
            <w:tcW w:w="735" w:type="pct"/>
            <w:shd w:val="clear" w:color="auto" w:fill="auto"/>
            <w:vAlign w:val="center"/>
          </w:tcPr>
          <w:p w14:paraId="61E8FAA6" w14:textId="77777777" w:rsidR="00DC062C" w:rsidRPr="00DB06CF" w:rsidRDefault="00DC062C" w:rsidP="00DC062C">
            <w:pPr>
              <w:pStyle w:val="08-Tabelageral"/>
            </w:pPr>
            <w:r>
              <w:t>2,366</w:t>
            </w:r>
          </w:p>
        </w:tc>
        <w:tc>
          <w:tcPr>
            <w:tcW w:w="736" w:type="pct"/>
            <w:shd w:val="clear" w:color="auto" w:fill="auto"/>
            <w:vAlign w:val="center"/>
          </w:tcPr>
          <w:p w14:paraId="41E4A88B" w14:textId="77777777" w:rsidR="00DC062C" w:rsidRPr="00DB06CF" w:rsidRDefault="00DC062C" w:rsidP="00DC062C">
            <w:pPr>
              <w:pStyle w:val="08-Tabelageral"/>
            </w:pPr>
            <w:r>
              <w:t>1,805</w:t>
            </w:r>
          </w:p>
        </w:tc>
      </w:tr>
      <w:tr w:rsidR="00DC062C" w:rsidRPr="00DB06CF" w14:paraId="02AB72ED" w14:textId="77777777" w:rsidTr="00DC062C">
        <w:trPr>
          <w:trHeight w:val="238"/>
        </w:trPr>
        <w:tc>
          <w:tcPr>
            <w:tcW w:w="1605" w:type="pct"/>
            <w:shd w:val="clear" w:color="auto" w:fill="auto"/>
            <w:vAlign w:val="center"/>
          </w:tcPr>
          <w:p w14:paraId="5897AB7C" w14:textId="77777777" w:rsidR="00DC062C" w:rsidRPr="00FA2ABC" w:rsidRDefault="00DC062C" w:rsidP="00DC062C">
            <w:pPr>
              <w:pStyle w:val="08-Tabelageral"/>
              <w:ind w:left="113"/>
              <w:jc w:val="left"/>
            </w:pPr>
            <w:r w:rsidRPr="00FA2ABC">
              <w:t>Monetary adjustment of dividends and interest on equity capital</w:t>
            </w:r>
          </w:p>
        </w:tc>
        <w:tc>
          <w:tcPr>
            <w:tcW w:w="313" w:type="pct"/>
            <w:shd w:val="clear" w:color="auto" w:fill="auto"/>
          </w:tcPr>
          <w:p w14:paraId="4D9A9D2C"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3F8C74C1" w14:textId="77777777" w:rsidR="00DC062C" w:rsidRPr="00FC0F2D" w:rsidRDefault="00DC062C" w:rsidP="00DC062C">
            <w:pPr>
              <w:pStyle w:val="08-Tabelageral"/>
            </w:pPr>
            <w:r>
              <w:t>77,483</w:t>
            </w:r>
          </w:p>
        </w:tc>
        <w:tc>
          <w:tcPr>
            <w:tcW w:w="732" w:type="pct"/>
            <w:shd w:val="clear" w:color="auto" w:fill="auto"/>
            <w:vAlign w:val="center"/>
          </w:tcPr>
          <w:p w14:paraId="0A67ECCE" w14:textId="77777777" w:rsidR="00DC062C" w:rsidRPr="00087BA7" w:rsidRDefault="00DC062C" w:rsidP="00DC062C">
            <w:pPr>
              <w:pStyle w:val="08-Tabelageral"/>
            </w:pPr>
            <w:r>
              <w:t>22,106</w:t>
            </w:r>
          </w:p>
        </w:tc>
        <w:tc>
          <w:tcPr>
            <w:tcW w:w="147" w:type="pct"/>
            <w:shd w:val="clear" w:color="auto" w:fill="auto"/>
            <w:vAlign w:val="center"/>
          </w:tcPr>
          <w:p w14:paraId="4FF44266" w14:textId="77777777" w:rsidR="00DC062C" w:rsidRPr="00DB06CF" w:rsidRDefault="00DC062C" w:rsidP="00DC062C">
            <w:pPr>
              <w:pStyle w:val="08-Tabelageral"/>
            </w:pPr>
          </w:p>
        </w:tc>
        <w:tc>
          <w:tcPr>
            <w:tcW w:w="735" w:type="pct"/>
            <w:shd w:val="clear" w:color="auto" w:fill="auto"/>
            <w:vAlign w:val="center"/>
          </w:tcPr>
          <w:p w14:paraId="68A4194C" w14:textId="77777777" w:rsidR="00DC062C" w:rsidRPr="00C30479" w:rsidRDefault="00DC062C" w:rsidP="00DC062C">
            <w:pPr>
              <w:pStyle w:val="08-Tabelageral"/>
            </w:pPr>
            <w:r>
              <w:t>--</w:t>
            </w:r>
          </w:p>
        </w:tc>
        <w:tc>
          <w:tcPr>
            <w:tcW w:w="736" w:type="pct"/>
            <w:shd w:val="clear" w:color="auto" w:fill="auto"/>
            <w:vAlign w:val="center"/>
          </w:tcPr>
          <w:p w14:paraId="7A6B5511" w14:textId="77777777" w:rsidR="00DC062C" w:rsidRPr="00C30479" w:rsidRDefault="00DC062C" w:rsidP="00DC062C">
            <w:pPr>
              <w:pStyle w:val="08-Tabelageral"/>
            </w:pPr>
            <w:r>
              <w:t>--</w:t>
            </w:r>
          </w:p>
        </w:tc>
      </w:tr>
      <w:tr w:rsidR="00DC062C" w:rsidRPr="00DB06CF" w14:paraId="62E0A38A" w14:textId="77777777" w:rsidTr="00DC062C">
        <w:trPr>
          <w:trHeight w:val="238"/>
        </w:trPr>
        <w:tc>
          <w:tcPr>
            <w:tcW w:w="1605" w:type="pct"/>
            <w:shd w:val="clear" w:color="auto" w:fill="auto"/>
            <w:vAlign w:val="center"/>
          </w:tcPr>
          <w:p w14:paraId="0664AA6B" w14:textId="77777777" w:rsidR="00DC062C" w:rsidRPr="00FA2ABC" w:rsidRDefault="00DC062C" w:rsidP="00DC062C">
            <w:pPr>
              <w:pStyle w:val="08-Tabelageral"/>
              <w:ind w:left="113"/>
              <w:jc w:val="left"/>
            </w:pPr>
            <w:r>
              <w:t>Other</w:t>
            </w:r>
          </w:p>
        </w:tc>
        <w:tc>
          <w:tcPr>
            <w:tcW w:w="313" w:type="pct"/>
            <w:shd w:val="clear" w:color="auto" w:fill="auto"/>
          </w:tcPr>
          <w:p w14:paraId="5EEA86D1"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6642D662" w14:textId="77777777" w:rsidR="00DC062C" w:rsidRDefault="00DC062C" w:rsidP="00DC062C">
            <w:pPr>
              <w:pStyle w:val="08-Tabelageral"/>
            </w:pPr>
            <w:r>
              <w:t>8</w:t>
            </w:r>
          </w:p>
        </w:tc>
        <w:tc>
          <w:tcPr>
            <w:tcW w:w="732" w:type="pct"/>
            <w:shd w:val="clear" w:color="auto" w:fill="auto"/>
            <w:vAlign w:val="center"/>
          </w:tcPr>
          <w:p w14:paraId="2D274FAF" w14:textId="77777777" w:rsidR="00DC062C" w:rsidRPr="00914F92" w:rsidRDefault="00DC062C" w:rsidP="00DC062C">
            <w:pPr>
              <w:pStyle w:val="08-Tabelageral"/>
            </w:pPr>
            <w:r>
              <w:t>4</w:t>
            </w:r>
          </w:p>
        </w:tc>
        <w:tc>
          <w:tcPr>
            <w:tcW w:w="147" w:type="pct"/>
            <w:shd w:val="clear" w:color="auto" w:fill="auto"/>
            <w:vAlign w:val="center"/>
          </w:tcPr>
          <w:p w14:paraId="5828BD7F" w14:textId="77777777" w:rsidR="00DC062C" w:rsidRPr="00DB06CF" w:rsidRDefault="00DC062C" w:rsidP="00DC062C">
            <w:pPr>
              <w:pStyle w:val="08-Tabelageral"/>
            </w:pPr>
          </w:p>
        </w:tc>
        <w:tc>
          <w:tcPr>
            <w:tcW w:w="735" w:type="pct"/>
            <w:shd w:val="clear" w:color="auto" w:fill="auto"/>
            <w:vAlign w:val="center"/>
          </w:tcPr>
          <w:p w14:paraId="2DFA9192" w14:textId="77777777" w:rsidR="00DC062C" w:rsidRDefault="00DC062C" w:rsidP="00DC062C">
            <w:pPr>
              <w:pStyle w:val="08-Tabelageral"/>
            </w:pPr>
            <w:r>
              <w:t>8</w:t>
            </w:r>
          </w:p>
        </w:tc>
        <w:tc>
          <w:tcPr>
            <w:tcW w:w="736" w:type="pct"/>
            <w:shd w:val="clear" w:color="auto" w:fill="auto"/>
            <w:vAlign w:val="center"/>
          </w:tcPr>
          <w:p w14:paraId="00AF5F1E" w14:textId="77777777" w:rsidR="00DC062C" w:rsidRDefault="00DC062C" w:rsidP="00DC062C">
            <w:pPr>
              <w:pStyle w:val="08-Tabelageral"/>
            </w:pPr>
            <w:r>
              <w:t>4</w:t>
            </w:r>
          </w:p>
        </w:tc>
      </w:tr>
      <w:tr w:rsidR="00DC062C" w:rsidRPr="00DB06CF" w14:paraId="4DCF098C" w14:textId="77777777" w:rsidTr="00DC062C">
        <w:trPr>
          <w:trHeight w:val="238"/>
        </w:trPr>
        <w:tc>
          <w:tcPr>
            <w:tcW w:w="1605" w:type="pct"/>
            <w:shd w:val="clear" w:color="auto" w:fill="auto"/>
            <w:vAlign w:val="center"/>
          </w:tcPr>
          <w:p w14:paraId="5EEED453" w14:textId="77777777" w:rsidR="00DC062C" w:rsidRPr="00DB06CF" w:rsidRDefault="00DC062C" w:rsidP="00DC062C">
            <w:pPr>
              <w:pStyle w:val="08-Tabelageral"/>
              <w:jc w:val="left"/>
              <w:rPr>
                <w:b/>
              </w:rPr>
            </w:pPr>
            <w:r w:rsidRPr="00FF3418">
              <w:rPr>
                <w:b/>
              </w:rPr>
              <w:t>Financial Expenses</w:t>
            </w:r>
          </w:p>
        </w:tc>
        <w:tc>
          <w:tcPr>
            <w:tcW w:w="313" w:type="pct"/>
            <w:shd w:val="clear" w:color="auto" w:fill="auto"/>
          </w:tcPr>
          <w:p w14:paraId="0B546EBD" w14:textId="77777777" w:rsidR="00DC062C" w:rsidRPr="00DB06CF" w:rsidRDefault="00DC062C" w:rsidP="00DC062C">
            <w:pPr>
              <w:pStyle w:val="08-Tabelageral"/>
              <w:jc w:val="center"/>
              <w:rPr>
                <w:rFonts w:cs="Arial"/>
                <w:b/>
                <w:szCs w:val="14"/>
              </w:rPr>
            </w:pPr>
          </w:p>
        </w:tc>
        <w:tc>
          <w:tcPr>
            <w:tcW w:w="732" w:type="pct"/>
            <w:shd w:val="clear" w:color="auto" w:fill="auto"/>
            <w:vAlign w:val="center"/>
          </w:tcPr>
          <w:p w14:paraId="4129026E" w14:textId="77777777" w:rsidR="00DC062C" w:rsidRPr="00961673" w:rsidRDefault="00DC062C" w:rsidP="00DC062C">
            <w:pPr>
              <w:pStyle w:val="08-Tabelageral"/>
              <w:rPr>
                <w:b/>
              </w:rPr>
            </w:pPr>
            <w:r>
              <w:rPr>
                <w:b/>
              </w:rPr>
              <w:t>(79,511)</w:t>
            </w:r>
          </w:p>
        </w:tc>
        <w:tc>
          <w:tcPr>
            <w:tcW w:w="732" w:type="pct"/>
            <w:shd w:val="clear" w:color="auto" w:fill="auto"/>
            <w:vAlign w:val="center"/>
          </w:tcPr>
          <w:p w14:paraId="5D4F1186" w14:textId="77777777" w:rsidR="00DC062C" w:rsidRPr="00961673" w:rsidRDefault="00DC062C" w:rsidP="00DC062C">
            <w:pPr>
              <w:pStyle w:val="08-Tabelageral"/>
              <w:rPr>
                <w:b/>
              </w:rPr>
            </w:pPr>
            <w:r>
              <w:rPr>
                <w:b/>
              </w:rPr>
              <w:t>(</w:t>
            </w:r>
            <w:r w:rsidRPr="007E3D4B">
              <w:rPr>
                <w:b/>
              </w:rPr>
              <w:t>26</w:t>
            </w:r>
            <w:r>
              <w:rPr>
                <w:b/>
              </w:rPr>
              <w:t>,</w:t>
            </w:r>
            <w:r w:rsidRPr="007E3D4B">
              <w:rPr>
                <w:b/>
              </w:rPr>
              <w:t>585</w:t>
            </w:r>
            <w:r>
              <w:rPr>
                <w:b/>
              </w:rPr>
              <w:t>)</w:t>
            </w:r>
          </w:p>
        </w:tc>
        <w:tc>
          <w:tcPr>
            <w:tcW w:w="147" w:type="pct"/>
            <w:shd w:val="clear" w:color="auto" w:fill="auto"/>
            <w:vAlign w:val="center"/>
          </w:tcPr>
          <w:p w14:paraId="3D601A2C" w14:textId="77777777" w:rsidR="00DC062C" w:rsidRPr="00961673" w:rsidRDefault="00DC062C" w:rsidP="00DC062C">
            <w:pPr>
              <w:pStyle w:val="08-Tabelageral"/>
              <w:rPr>
                <w:b/>
              </w:rPr>
            </w:pPr>
          </w:p>
        </w:tc>
        <w:tc>
          <w:tcPr>
            <w:tcW w:w="735" w:type="pct"/>
            <w:shd w:val="clear" w:color="auto" w:fill="auto"/>
            <w:vAlign w:val="center"/>
          </w:tcPr>
          <w:p w14:paraId="2AD8D151" w14:textId="77777777" w:rsidR="00DC062C" w:rsidRPr="00D41026" w:rsidRDefault="00DC062C" w:rsidP="00DC062C">
            <w:pPr>
              <w:pStyle w:val="08-Tabelageral"/>
              <w:rPr>
                <w:b/>
              </w:rPr>
            </w:pPr>
            <w:r w:rsidRPr="001F35D3">
              <w:rPr>
                <w:b/>
              </w:rPr>
              <w:t>(79</w:t>
            </w:r>
            <w:r>
              <w:rPr>
                <w:b/>
              </w:rPr>
              <w:t>,</w:t>
            </w:r>
            <w:r w:rsidRPr="001F35D3">
              <w:rPr>
                <w:b/>
              </w:rPr>
              <w:t>597)</w:t>
            </w:r>
          </w:p>
        </w:tc>
        <w:tc>
          <w:tcPr>
            <w:tcW w:w="736" w:type="pct"/>
            <w:shd w:val="clear" w:color="auto" w:fill="auto"/>
            <w:vAlign w:val="center"/>
          </w:tcPr>
          <w:p w14:paraId="5AE2E744" w14:textId="77777777" w:rsidR="00DC062C" w:rsidRPr="00961673" w:rsidRDefault="00DC062C" w:rsidP="00DC062C">
            <w:pPr>
              <w:pStyle w:val="08-Tabelageral"/>
              <w:rPr>
                <w:b/>
              </w:rPr>
            </w:pPr>
            <w:r>
              <w:rPr>
                <w:b/>
              </w:rPr>
              <w:t>(</w:t>
            </w:r>
            <w:r w:rsidRPr="007E3D4B">
              <w:rPr>
                <w:b/>
              </w:rPr>
              <w:t>27</w:t>
            </w:r>
            <w:r>
              <w:rPr>
                <w:b/>
              </w:rPr>
              <w:t>,</w:t>
            </w:r>
            <w:r w:rsidRPr="007E3D4B">
              <w:rPr>
                <w:b/>
              </w:rPr>
              <w:t>808</w:t>
            </w:r>
            <w:r>
              <w:rPr>
                <w:b/>
              </w:rPr>
              <w:t>)</w:t>
            </w:r>
          </w:p>
        </w:tc>
      </w:tr>
      <w:tr w:rsidR="00DC062C" w:rsidRPr="00DB06CF" w14:paraId="179724DE" w14:textId="77777777" w:rsidTr="00DC062C">
        <w:trPr>
          <w:trHeight w:val="238"/>
        </w:trPr>
        <w:tc>
          <w:tcPr>
            <w:tcW w:w="1605" w:type="pct"/>
            <w:shd w:val="clear" w:color="auto" w:fill="auto"/>
            <w:vAlign w:val="center"/>
          </w:tcPr>
          <w:p w14:paraId="1AAE24A4" w14:textId="77777777" w:rsidR="00DC062C" w:rsidRPr="00DB06CF" w:rsidRDefault="00DC062C" w:rsidP="00DC062C">
            <w:pPr>
              <w:pStyle w:val="08-Tabelageral"/>
              <w:ind w:left="113"/>
              <w:jc w:val="left"/>
            </w:pPr>
            <w:r w:rsidRPr="007801BA">
              <w:t>Monetary adjustment of dividends and interest on equity capital</w:t>
            </w:r>
          </w:p>
        </w:tc>
        <w:tc>
          <w:tcPr>
            <w:tcW w:w="313" w:type="pct"/>
            <w:shd w:val="clear" w:color="auto" w:fill="auto"/>
          </w:tcPr>
          <w:p w14:paraId="25C066D2"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61354574" w14:textId="77777777" w:rsidR="00DC062C" w:rsidRPr="00DB06CF" w:rsidRDefault="00DC062C" w:rsidP="00DC062C">
            <w:pPr>
              <w:pStyle w:val="08-Tabelageral"/>
            </w:pPr>
            <w:r>
              <w:t>(77,280)</w:t>
            </w:r>
          </w:p>
        </w:tc>
        <w:tc>
          <w:tcPr>
            <w:tcW w:w="732" w:type="pct"/>
            <w:shd w:val="clear" w:color="auto" w:fill="auto"/>
            <w:vAlign w:val="center"/>
          </w:tcPr>
          <w:p w14:paraId="53B651B3" w14:textId="77777777" w:rsidR="00DC062C" w:rsidRPr="00DB06CF" w:rsidRDefault="00DC062C" w:rsidP="00DC062C">
            <w:pPr>
              <w:pStyle w:val="08-Tabelageral"/>
            </w:pPr>
            <w:r>
              <w:t>(25,745)</w:t>
            </w:r>
          </w:p>
        </w:tc>
        <w:tc>
          <w:tcPr>
            <w:tcW w:w="147" w:type="pct"/>
            <w:shd w:val="clear" w:color="auto" w:fill="auto"/>
            <w:vAlign w:val="center"/>
          </w:tcPr>
          <w:p w14:paraId="146922B6" w14:textId="77777777" w:rsidR="00DC062C" w:rsidRPr="00DB06CF" w:rsidRDefault="00DC062C" w:rsidP="00DC062C">
            <w:pPr>
              <w:pStyle w:val="08-Tabelageral"/>
            </w:pPr>
          </w:p>
        </w:tc>
        <w:tc>
          <w:tcPr>
            <w:tcW w:w="735" w:type="pct"/>
            <w:shd w:val="clear" w:color="auto" w:fill="auto"/>
            <w:vAlign w:val="center"/>
          </w:tcPr>
          <w:p w14:paraId="20655C10" w14:textId="77777777" w:rsidR="00DC062C" w:rsidRPr="00DB06CF" w:rsidRDefault="00DC062C" w:rsidP="00DC062C">
            <w:pPr>
              <w:pStyle w:val="08-Tabelageral"/>
            </w:pPr>
            <w:r>
              <w:t>(77,281)</w:t>
            </w:r>
          </w:p>
        </w:tc>
        <w:tc>
          <w:tcPr>
            <w:tcW w:w="736" w:type="pct"/>
            <w:shd w:val="clear" w:color="auto" w:fill="auto"/>
            <w:vAlign w:val="center"/>
          </w:tcPr>
          <w:p w14:paraId="6B899146" w14:textId="77777777" w:rsidR="00DC062C" w:rsidRPr="00DB06CF" w:rsidRDefault="00DC062C" w:rsidP="00DC062C">
            <w:pPr>
              <w:pStyle w:val="08-Tabelageral"/>
            </w:pPr>
            <w:r>
              <w:t>(25,745)</w:t>
            </w:r>
          </w:p>
        </w:tc>
      </w:tr>
      <w:tr w:rsidR="00DC062C" w:rsidRPr="00DB06CF" w14:paraId="02957FB9" w14:textId="77777777" w:rsidTr="00DC062C">
        <w:trPr>
          <w:trHeight w:val="238"/>
        </w:trPr>
        <w:tc>
          <w:tcPr>
            <w:tcW w:w="1605" w:type="pct"/>
            <w:shd w:val="clear" w:color="auto" w:fill="auto"/>
            <w:vAlign w:val="center"/>
          </w:tcPr>
          <w:p w14:paraId="1C6E04A2" w14:textId="77777777" w:rsidR="00DC062C" w:rsidRPr="00DB06CF" w:rsidRDefault="00DC062C" w:rsidP="00DC062C">
            <w:pPr>
              <w:pStyle w:val="08-Tabelageral"/>
              <w:ind w:left="113"/>
              <w:jc w:val="left"/>
            </w:pPr>
            <w:r>
              <w:t>Reversal of m</w:t>
            </w:r>
            <w:r w:rsidRPr="00006F1F">
              <w:t>onetary adjustment of judicial deposits</w:t>
            </w:r>
            <w:r>
              <w:t xml:space="preserve"> </w:t>
            </w:r>
            <w:r w:rsidRPr="00CE17BB">
              <w:rPr>
                <w:vertAlign w:val="superscript"/>
              </w:rPr>
              <w:t>(1)</w:t>
            </w:r>
          </w:p>
        </w:tc>
        <w:tc>
          <w:tcPr>
            <w:tcW w:w="313" w:type="pct"/>
            <w:shd w:val="clear" w:color="auto" w:fill="auto"/>
          </w:tcPr>
          <w:p w14:paraId="43B4863B"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7F8E54EE" w14:textId="77777777" w:rsidR="00DC062C" w:rsidRPr="00DB06CF" w:rsidRDefault="00DC062C" w:rsidP="00DC062C">
            <w:pPr>
              <w:pStyle w:val="08-Tabelageral"/>
            </w:pPr>
            <w:r>
              <w:t>--</w:t>
            </w:r>
          </w:p>
        </w:tc>
        <w:tc>
          <w:tcPr>
            <w:tcW w:w="732" w:type="pct"/>
            <w:shd w:val="clear" w:color="auto" w:fill="auto"/>
            <w:vAlign w:val="center"/>
          </w:tcPr>
          <w:p w14:paraId="125D23F4" w14:textId="77777777" w:rsidR="00DC062C" w:rsidRPr="00DB06CF" w:rsidRDefault="00DC062C" w:rsidP="00DC062C">
            <w:pPr>
              <w:pStyle w:val="08-Tabelageral"/>
            </w:pPr>
            <w:r>
              <w:t>--</w:t>
            </w:r>
          </w:p>
        </w:tc>
        <w:tc>
          <w:tcPr>
            <w:tcW w:w="147" w:type="pct"/>
            <w:shd w:val="clear" w:color="auto" w:fill="auto"/>
            <w:vAlign w:val="center"/>
          </w:tcPr>
          <w:p w14:paraId="1A38F3ED" w14:textId="77777777" w:rsidR="00DC062C" w:rsidRPr="00DB06CF" w:rsidRDefault="00DC062C" w:rsidP="00DC062C">
            <w:pPr>
              <w:pStyle w:val="08-Tabelageral"/>
            </w:pPr>
          </w:p>
        </w:tc>
        <w:tc>
          <w:tcPr>
            <w:tcW w:w="735" w:type="pct"/>
            <w:shd w:val="clear" w:color="auto" w:fill="auto"/>
            <w:vAlign w:val="center"/>
          </w:tcPr>
          <w:p w14:paraId="15F28BFD" w14:textId="77777777" w:rsidR="00DC062C" w:rsidRPr="00DB06CF" w:rsidRDefault="00DC062C" w:rsidP="00DC062C">
            <w:pPr>
              <w:pStyle w:val="08-Tabelageral"/>
            </w:pPr>
            <w:r>
              <w:t>--</w:t>
            </w:r>
          </w:p>
        </w:tc>
        <w:tc>
          <w:tcPr>
            <w:tcW w:w="736" w:type="pct"/>
            <w:shd w:val="clear" w:color="auto" w:fill="auto"/>
            <w:vAlign w:val="center"/>
          </w:tcPr>
          <w:p w14:paraId="14F127EE" w14:textId="77777777" w:rsidR="00DC062C" w:rsidRPr="00DB06CF" w:rsidRDefault="00DC062C" w:rsidP="00DC062C">
            <w:pPr>
              <w:pStyle w:val="08-Tabelageral"/>
            </w:pPr>
            <w:r>
              <w:t>(1,167)</w:t>
            </w:r>
          </w:p>
        </w:tc>
      </w:tr>
      <w:tr w:rsidR="00DC062C" w:rsidRPr="00DB06CF" w14:paraId="03103683" w14:textId="77777777" w:rsidTr="00DC062C">
        <w:trPr>
          <w:trHeight w:val="238"/>
        </w:trPr>
        <w:tc>
          <w:tcPr>
            <w:tcW w:w="1605" w:type="pct"/>
            <w:shd w:val="clear" w:color="auto" w:fill="auto"/>
            <w:vAlign w:val="center"/>
          </w:tcPr>
          <w:p w14:paraId="3C51A0C4" w14:textId="77777777" w:rsidR="00DC062C" w:rsidRPr="007801BA" w:rsidRDefault="00DC062C" w:rsidP="00DC062C">
            <w:pPr>
              <w:pStyle w:val="08-Tabelageral"/>
              <w:ind w:left="113"/>
              <w:jc w:val="left"/>
            </w:pPr>
            <w:r w:rsidRPr="00006F1F">
              <w:t>Financial system services</w:t>
            </w:r>
          </w:p>
        </w:tc>
        <w:tc>
          <w:tcPr>
            <w:tcW w:w="313" w:type="pct"/>
            <w:shd w:val="clear" w:color="auto" w:fill="auto"/>
          </w:tcPr>
          <w:p w14:paraId="229160C4"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3E39F65A" w14:textId="77777777" w:rsidR="00DC062C" w:rsidRDefault="00DC062C" w:rsidP="00DC062C">
            <w:pPr>
              <w:pStyle w:val="08-Tabelageral"/>
            </w:pPr>
            <w:r>
              <w:t>(462)</w:t>
            </w:r>
          </w:p>
        </w:tc>
        <w:tc>
          <w:tcPr>
            <w:tcW w:w="732" w:type="pct"/>
            <w:shd w:val="clear" w:color="auto" w:fill="auto"/>
            <w:vAlign w:val="center"/>
          </w:tcPr>
          <w:p w14:paraId="50ACA88C" w14:textId="77777777" w:rsidR="00DC062C" w:rsidRPr="00914F92" w:rsidRDefault="00DC062C" w:rsidP="00DC062C">
            <w:pPr>
              <w:pStyle w:val="08-Tabelageral"/>
            </w:pPr>
            <w:r>
              <w:t>(315)</w:t>
            </w:r>
          </w:p>
        </w:tc>
        <w:tc>
          <w:tcPr>
            <w:tcW w:w="147" w:type="pct"/>
            <w:shd w:val="clear" w:color="auto" w:fill="auto"/>
            <w:vAlign w:val="center"/>
          </w:tcPr>
          <w:p w14:paraId="0ACAD223" w14:textId="77777777" w:rsidR="00DC062C" w:rsidRPr="00DB06CF" w:rsidRDefault="00DC062C" w:rsidP="00DC062C">
            <w:pPr>
              <w:pStyle w:val="08-Tabelageral"/>
            </w:pPr>
          </w:p>
        </w:tc>
        <w:tc>
          <w:tcPr>
            <w:tcW w:w="735" w:type="pct"/>
            <w:shd w:val="clear" w:color="auto" w:fill="auto"/>
            <w:vAlign w:val="center"/>
          </w:tcPr>
          <w:p w14:paraId="21EC42F0" w14:textId="77777777" w:rsidR="00DC062C" w:rsidRDefault="00DC062C" w:rsidP="00DC062C">
            <w:pPr>
              <w:pStyle w:val="08-Tabelageral"/>
            </w:pPr>
            <w:r>
              <w:t>(547)</w:t>
            </w:r>
          </w:p>
        </w:tc>
        <w:tc>
          <w:tcPr>
            <w:tcW w:w="736" w:type="pct"/>
            <w:shd w:val="clear" w:color="auto" w:fill="auto"/>
            <w:vAlign w:val="center"/>
          </w:tcPr>
          <w:p w14:paraId="7FD0A9D4" w14:textId="77777777" w:rsidR="00DC062C" w:rsidRPr="00914F92" w:rsidRDefault="00DC062C" w:rsidP="00DC062C">
            <w:pPr>
              <w:pStyle w:val="08-Tabelageral"/>
            </w:pPr>
            <w:r>
              <w:t>(371)</w:t>
            </w:r>
          </w:p>
        </w:tc>
      </w:tr>
      <w:tr w:rsidR="00DC062C" w:rsidRPr="00DB06CF" w14:paraId="30CE01E4" w14:textId="77777777" w:rsidTr="00DC062C">
        <w:trPr>
          <w:trHeight w:val="238"/>
        </w:trPr>
        <w:tc>
          <w:tcPr>
            <w:tcW w:w="1605" w:type="pct"/>
            <w:shd w:val="clear" w:color="auto" w:fill="auto"/>
            <w:vAlign w:val="center"/>
          </w:tcPr>
          <w:p w14:paraId="2007E2E2" w14:textId="77777777" w:rsidR="00DC062C" w:rsidRPr="00D85798" w:rsidRDefault="00DC062C" w:rsidP="00DC062C">
            <w:pPr>
              <w:pStyle w:val="08-Tabelageral"/>
              <w:ind w:left="113"/>
              <w:jc w:val="left"/>
            </w:pPr>
            <w:r w:rsidRPr="007801BA">
              <w:t>Loss on financial investments</w:t>
            </w:r>
          </w:p>
        </w:tc>
        <w:tc>
          <w:tcPr>
            <w:tcW w:w="313" w:type="pct"/>
            <w:shd w:val="clear" w:color="auto" w:fill="auto"/>
          </w:tcPr>
          <w:p w14:paraId="6997C0C8" w14:textId="77777777" w:rsidR="00DC062C" w:rsidRPr="00DB06CF" w:rsidRDefault="00DC062C" w:rsidP="00DC062C">
            <w:pPr>
              <w:pStyle w:val="08-Tabelageral"/>
              <w:ind w:left="113"/>
              <w:jc w:val="center"/>
              <w:rPr>
                <w:rFonts w:cs="Arial"/>
                <w:szCs w:val="14"/>
              </w:rPr>
            </w:pPr>
          </w:p>
        </w:tc>
        <w:tc>
          <w:tcPr>
            <w:tcW w:w="732" w:type="pct"/>
            <w:shd w:val="clear" w:color="auto" w:fill="auto"/>
            <w:vAlign w:val="center"/>
          </w:tcPr>
          <w:p w14:paraId="7DCBB0D6" w14:textId="77777777" w:rsidR="00DC062C" w:rsidRPr="00D41026" w:rsidRDefault="00DC062C" w:rsidP="00DC062C">
            <w:pPr>
              <w:pStyle w:val="08-Tabelageral"/>
            </w:pPr>
            <w:r>
              <w:t>(1,769)</w:t>
            </w:r>
          </w:p>
        </w:tc>
        <w:tc>
          <w:tcPr>
            <w:tcW w:w="732" w:type="pct"/>
            <w:shd w:val="clear" w:color="auto" w:fill="auto"/>
            <w:vAlign w:val="center"/>
          </w:tcPr>
          <w:p w14:paraId="0A4C0F6F" w14:textId="77777777" w:rsidR="00DC062C" w:rsidRPr="00914F92" w:rsidRDefault="00DC062C" w:rsidP="00DC062C">
            <w:pPr>
              <w:pStyle w:val="08-Tabelageral"/>
            </w:pPr>
            <w:r>
              <w:t>(525)</w:t>
            </w:r>
          </w:p>
        </w:tc>
        <w:tc>
          <w:tcPr>
            <w:tcW w:w="147" w:type="pct"/>
            <w:shd w:val="clear" w:color="auto" w:fill="auto"/>
            <w:vAlign w:val="center"/>
          </w:tcPr>
          <w:p w14:paraId="22F8DB62" w14:textId="77777777" w:rsidR="00DC062C" w:rsidRPr="00DB06CF" w:rsidRDefault="00DC062C" w:rsidP="00DC062C">
            <w:pPr>
              <w:pStyle w:val="08-Tabelageral"/>
            </w:pPr>
          </w:p>
        </w:tc>
        <w:tc>
          <w:tcPr>
            <w:tcW w:w="735" w:type="pct"/>
            <w:shd w:val="clear" w:color="auto" w:fill="auto"/>
            <w:vAlign w:val="center"/>
          </w:tcPr>
          <w:p w14:paraId="40051212" w14:textId="77777777" w:rsidR="00DC062C" w:rsidRPr="00A54EF7" w:rsidRDefault="00DC062C" w:rsidP="00DC062C">
            <w:pPr>
              <w:pStyle w:val="08-Tabelageral"/>
            </w:pPr>
            <w:r>
              <w:t>(1,769)</w:t>
            </w:r>
          </w:p>
        </w:tc>
        <w:tc>
          <w:tcPr>
            <w:tcW w:w="736" w:type="pct"/>
            <w:shd w:val="clear" w:color="auto" w:fill="auto"/>
            <w:vAlign w:val="center"/>
          </w:tcPr>
          <w:p w14:paraId="1D9323B8" w14:textId="77777777" w:rsidR="00DC062C" w:rsidRPr="00914F92" w:rsidRDefault="00DC062C" w:rsidP="00DC062C">
            <w:pPr>
              <w:pStyle w:val="08-Tabelageral"/>
            </w:pPr>
            <w:r>
              <w:t>(525)</w:t>
            </w:r>
          </w:p>
        </w:tc>
      </w:tr>
      <w:tr w:rsidR="00DC062C" w:rsidRPr="00DB06CF" w14:paraId="293F708E" w14:textId="77777777" w:rsidTr="00DC062C">
        <w:trPr>
          <w:trHeight w:val="238"/>
        </w:trPr>
        <w:tc>
          <w:tcPr>
            <w:tcW w:w="1605" w:type="pct"/>
            <w:tcBorders>
              <w:bottom w:val="single" w:sz="2" w:space="0" w:color="1F4E79" w:themeColor="accent1" w:themeShade="80"/>
            </w:tcBorders>
            <w:shd w:val="clear" w:color="auto" w:fill="auto"/>
            <w:vAlign w:val="center"/>
          </w:tcPr>
          <w:p w14:paraId="6A2B5C92" w14:textId="77777777" w:rsidR="00DC062C" w:rsidRPr="00DB06CF" w:rsidRDefault="00DC062C" w:rsidP="00DC062C">
            <w:pPr>
              <w:pStyle w:val="08-Tabelageral"/>
              <w:jc w:val="left"/>
              <w:rPr>
                <w:b/>
              </w:rPr>
            </w:pPr>
            <w:r w:rsidRPr="00FF3418">
              <w:rPr>
                <w:b/>
              </w:rPr>
              <w:t>Financial Result</w:t>
            </w:r>
          </w:p>
        </w:tc>
        <w:tc>
          <w:tcPr>
            <w:tcW w:w="313" w:type="pct"/>
            <w:tcBorders>
              <w:bottom w:val="single" w:sz="2" w:space="0" w:color="1F4E79" w:themeColor="accent1" w:themeShade="80"/>
            </w:tcBorders>
            <w:shd w:val="clear" w:color="auto" w:fill="auto"/>
          </w:tcPr>
          <w:p w14:paraId="1C8B3797" w14:textId="77777777" w:rsidR="00DC062C" w:rsidRPr="00DB06CF" w:rsidRDefault="00DC062C" w:rsidP="00DC062C">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23E05A93" w14:textId="77777777" w:rsidR="00DC062C" w:rsidRPr="00961673" w:rsidRDefault="00DC062C" w:rsidP="00DC062C">
            <w:pPr>
              <w:pStyle w:val="08-Tabelageral"/>
              <w:rPr>
                <w:b/>
              </w:rPr>
            </w:pPr>
            <w:r>
              <w:rPr>
                <w:b/>
              </w:rPr>
              <w:t>2,312</w:t>
            </w:r>
          </w:p>
        </w:tc>
        <w:tc>
          <w:tcPr>
            <w:tcW w:w="732" w:type="pct"/>
            <w:tcBorders>
              <w:bottom w:val="single" w:sz="2" w:space="0" w:color="1F4E79" w:themeColor="accent1" w:themeShade="80"/>
            </w:tcBorders>
            <w:shd w:val="clear" w:color="auto" w:fill="auto"/>
            <w:vAlign w:val="center"/>
          </w:tcPr>
          <w:p w14:paraId="70FF6E26" w14:textId="77777777" w:rsidR="00DC062C" w:rsidRPr="00961673" w:rsidRDefault="00DC062C" w:rsidP="00DC062C">
            <w:pPr>
              <w:pStyle w:val="08-Tabelageral"/>
              <w:rPr>
                <w:b/>
              </w:rPr>
            </w:pPr>
            <w:r w:rsidRPr="007E3D4B">
              <w:rPr>
                <w:b/>
              </w:rPr>
              <w:t>3</w:t>
            </w:r>
            <w:r>
              <w:rPr>
                <w:b/>
              </w:rPr>
              <w:t>,</w:t>
            </w:r>
            <w:r w:rsidRPr="007E3D4B">
              <w:rPr>
                <w:b/>
              </w:rPr>
              <w:t>642</w:t>
            </w:r>
          </w:p>
        </w:tc>
        <w:tc>
          <w:tcPr>
            <w:tcW w:w="147" w:type="pct"/>
            <w:tcBorders>
              <w:bottom w:val="single" w:sz="2" w:space="0" w:color="1F4E79" w:themeColor="accent1" w:themeShade="80"/>
            </w:tcBorders>
            <w:shd w:val="clear" w:color="auto" w:fill="auto"/>
            <w:vAlign w:val="center"/>
          </w:tcPr>
          <w:p w14:paraId="1231A337" w14:textId="77777777" w:rsidR="00DC062C" w:rsidRPr="00961673" w:rsidRDefault="00DC062C" w:rsidP="00DC062C">
            <w:pPr>
              <w:pStyle w:val="08-Tabelageral"/>
              <w:rPr>
                <w:b/>
              </w:rPr>
            </w:pPr>
          </w:p>
        </w:tc>
        <w:tc>
          <w:tcPr>
            <w:tcW w:w="735" w:type="pct"/>
            <w:tcBorders>
              <w:bottom w:val="single" w:sz="2" w:space="0" w:color="1F4E79" w:themeColor="accent1" w:themeShade="80"/>
            </w:tcBorders>
            <w:shd w:val="clear" w:color="auto" w:fill="auto"/>
            <w:vAlign w:val="center"/>
          </w:tcPr>
          <w:p w14:paraId="154F2EC1" w14:textId="77777777" w:rsidR="00DC062C" w:rsidRPr="00D41026" w:rsidRDefault="00DC062C" w:rsidP="00DC062C">
            <w:pPr>
              <w:pStyle w:val="08-Tabelageral"/>
              <w:rPr>
                <w:b/>
              </w:rPr>
            </w:pPr>
            <w:r w:rsidRPr="001F35D3">
              <w:rPr>
                <w:b/>
              </w:rPr>
              <w:t>96</w:t>
            </w:r>
            <w:r>
              <w:rPr>
                <w:b/>
              </w:rPr>
              <w:t>,</w:t>
            </w:r>
            <w:r w:rsidRPr="001F35D3">
              <w:rPr>
                <w:b/>
              </w:rPr>
              <w:t>198</w:t>
            </w:r>
          </w:p>
        </w:tc>
        <w:tc>
          <w:tcPr>
            <w:tcW w:w="736" w:type="pct"/>
            <w:tcBorders>
              <w:bottom w:val="single" w:sz="2" w:space="0" w:color="1F4E79" w:themeColor="accent1" w:themeShade="80"/>
            </w:tcBorders>
            <w:shd w:val="clear" w:color="auto" w:fill="auto"/>
            <w:vAlign w:val="center"/>
          </w:tcPr>
          <w:p w14:paraId="19C15751" w14:textId="77777777" w:rsidR="00DC062C" w:rsidRPr="00961673" w:rsidRDefault="00DC062C" w:rsidP="00DC062C">
            <w:pPr>
              <w:pStyle w:val="08-Tabelageral"/>
              <w:rPr>
                <w:b/>
              </w:rPr>
            </w:pPr>
            <w:r w:rsidRPr="007E3D4B">
              <w:rPr>
                <w:b/>
              </w:rPr>
              <w:t>58</w:t>
            </w:r>
            <w:r>
              <w:rPr>
                <w:b/>
              </w:rPr>
              <w:t>,</w:t>
            </w:r>
            <w:r w:rsidRPr="007E3D4B">
              <w:rPr>
                <w:b/>
              </w:rPr>
              <w:t>142</w:t>
            </w:r>
          </w:p>
        </w:tc>
      </w:tr>
    </w:tbl>
    <w:bookmarkEnd w:id="43"/>
    <w:p w14:paraId="01CDBEEC" w14:textId="77777777" w:rsidR="00DC062C" w:rsidRPr="00CE17BB" w:rsidRDefault="00DC062C" w:rsidP="00DC062C">
      <w:pPr>
        <w:pStyle w:val="07-Legenda"/>
        <w:numPr>
          <w:ilvl w:val="0"/>
          <w:numId w:val="10"/>
        </w:numPr>
        <w:ind w:left="284" w:hanging="284"/>
        <w:rPr>
          <w:szCs w:val="14"/>
          <w:lang w:val="en-US"/>
        </w:rPr>
      </w:pPr>
      <w:r w:rsidRPr="00CE17BB">
        <w:rPr>
          <w:szCs w:val="14"/>
          <w:lang w:val="en-US"/>
        </w:rPr>
        <w:t>In the first quarter of 2022 there was an adjustment in the amounts of deposits recognized, in the amount of R$ 1,167 thousand, due to the undue use of monetary restatement indexes.</w:t>
      </w:r>
    </w:p>
    <w:p w14:paraId="4D221436" w14:textId="77777777" w:rsidR="00DC062C" w:rsidRDefault="00DC062C" w:rsidP="00DC062C">
      <w:pPr>
        <w:pStyle w:val="05-Textonormal"/>
      </w:pPr>
    </w:p>
    <w:p w14:paraId="619F9E22" w14:textId="26762CE0" w:rsidR="00DC062C" w:rsidRPr="00547F93" w:rsidRDefault="00DC062C" w:rsidP="00DC062C">
      <w:pPr>
        <w:pStyle w:val="Ttulo1"/>
        <w:rPr>
          <w:b w:val="0"/>
          <w:bCs w:val="0"/>
        </w:rPr>
      </w:pPr>
      <w:bookmarkStart w:id="45" w:name="_Toc134823579"/>
      <w:r w:rsidRPr="00547F93">
        <w:t>15 – CASH AND CASH EQUIVALENTS</w:t>
      </w:r>
      <w:bookmarkEnd w:id="45"/>
    </w:p>
    <w:p w14:paraId="43825B1D" w14:textId="77777777" w:rsidR="00DC062C" w:rsidRPr="00396B61" w:rsidRDefault="00DC062C" w:rsidP="00DC062C">
      <w:pPr>
        <w:spacing w:after="0"/>
        <w:jc w:val="right"/>
        <w:rPr>
          <w:rFonts w:cs="Arial"/>
          <w:b/>
          <w:sz w:val="14"/>
          <w:szCs w:val="14"/>
          <w:lang w:val="en-US" w:eastAsia="pt-BR"/>
        </w:rPr>
      </w:pPr>
      <w:r w:rsidRPr="00396B61">
        <w:rPr>
          <w:rFonts w:cs="Arial"/>
          <w:b/>
          <w:sz w:val="14"/>
          <w:szCs w:val="14"/>
          <w:lang w:val="en-US" w:eastAsia="pt-BR"/>
        </w:rPr>
        <w:t>R$ 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DC062C" w:rsidRPr="00BC7DA5" w14:paraId="48D97ACC" w14:textId="77777777" w:rsidTr="00DC062C">
        <w:trPr>
          <w:trHeight w:val="238"/>
        </w:trPr>
        <w:tc>
          <w:tcPr>
            <w:tcW w:w="3261" w:type="dxa"/>
            <w:tcBorders>
              <w:top w:val="single" w:sz="2" w:space="0" w:color="1F4E79" w:themeColor="accent1" w:themeShade="80"/>
              <w:bottom w:val="nil"/>
            </w:tcBorders>
            <w:shd w:val="clear" w:color="auto" w:fill="auto"/>
          </w:tcPr>
          <w:p w14:paraId="7AEE3C6D" w14:textId="77777777" w:rsidR="00DC062C" w:rsidRPr="00396B61" w:rsidRDefault="00DC062C" w:rsidP="00DC062C">
            <w:pPr>
              <w:keepNext/>
              <w:keepLines/>
              <w:spacing w:after="0"/>
              <w:jc w:val="center"/>
              <w:rPr>
                <w:rFonts w:cs="Arial"/>
                <w:b/>
                <w:szCs w:val="18"/>
                <w:lang w:val="en-US"/>
              </w:rPr>
            </w:pPr>
          </w:p>
        </w:tc>
        <w:tc>
          <w:tcPr>
            <w:tcW w:w="437" w:type="dxa"/>
            <w:tcBorders>
              <w:top w:val="single" w:sz="2" w:space="0" w:color="1F4E79" w:themeColor="accent1" w:themeShade="80"/>
              <w:bottom w:val="single" w:sz="2" w:space="0" w:color="1F4E79" w:themeColor="accent1" w:themeShade="80"/>
            </w:tcBorders>
            <w:shd w:val="clear" w:color="auto" w:fill="auto"/>
          </w:tcPr>
          <w:p w14:paraId="20911A16" w14:textId="77777777" w:rsidR="00DC062C" w:rsidRPr="00396B61" w:rsidRDefault="00DC062C" w:rsidP="00DC062C">
            <w:pPr>
              <w:keepNext/>
              <w:keepLines/>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9A27476" w14:textId="77777777" w:rsidR="00DC062C" w:rsidRPr="00BC7DA5" w:rsidRDefault="00DC062C" w:rsidP="00DC062C">
            <w:pPr>
              <w:keepNext/>
              <w:keepLines/>
              <w:spacing w:after="0"/>
              <w:jc w:val="center"/>
              <w:rPr>
                <w:rFonts w:cs="Arial"/>
                <w:b/>
                <w:sz w:val="14"/>
                <w:szCs w:val="18"/>
              </w:rPr>
            </w:pPr>
            <w:r w:rsidRPr="00617D47">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685AD517" w14:textId="77777777" w:rsidR="00DC062C" w:rsidRPr="00BC7DA5" w:rsidRDefault="00DC062C" w:rsidP="00DC062C">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FADC7DE" w14:textId="77777777" w:rsidR="00DC062C" w:rsidRPr="00BC7DA5" w:rsidRDefault="00DC062C" w:rsidP="00DC062C">
            <w:pPr>
              <w:keepNext/>
              <w:keepLines/>
              <w:spacing w:after="0"/>
              <w:jc w:val="center"/>
              <w:rPr>
                <w:rFonts w:cs="Arial"/>
                <w:b/>
                <w:szCs w:val="18"/>
              </w:rPr>
            </w:pPr>
            <w:r w:rsidRPr="00617D47">
              <w:rPr>
                <w:rFonts w:cs="Arial"/>
                <w:b/>
                <w:sz w:val="14"/>
                <w:szCs w:val="18"/>
              </w:rPr>
              <w:t>Consolidated</w:t>
            </w:r>
          </w:p>
        </w:tc>
      </w:tr>
      <w:tr w:rsidR="00DC062C" w:rsidRPr="00BC7DA5" w14:paraId="112F4943" w14:textId="77777777" w:rsidTr="00DC062C">
        <w:trPr>
          <w:trHeight w:val="238"/>
        </w:trPr>
        <w:tc>
          <w:tcPr>
            <w:tcW w:w="3261" w:type="dxa"/>
            <w:tcBorders>
              <w:top w:val="nil"/>
              <w:bottom w:val="single" w:sz="2" w:space="0" w:color="1F4E79" w:themeColor="accent1" w:themeShade="80"/>
            </w:tcBorders>
            <w:shd w:val="clear" w:color="auto" w:fill="auto"/>
          </w:tcPr>
          <w:p w14:paraId="5A48B45B" w14:textId="77777777" w:rsidR="00DC062C" w:rsidRPr="00BC7DA5" w:rsidRDefault="00DC062C" w:rsidP="00DC062C">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323BF581" w14:textId="77777777" w:rsidR="00DC062C" w:rsidRPr="00BC7DA5" w:rsidRDefault="00DC062C" w:rsidP="00DC062C">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14625AA" w14:textId="77777777" w:rsidR="00DC062C" w:rsidRPr="00BC7DA5" w:rsidRDefault="00DC062C" w:rsidP="00DC062C">
            <w:pPr>
              <w:pStyle w:val="08-Tabelageral"/>
              <w:rPr>
                <w:rFonts w:cs="Arial"/>
                <w:b/>
              </w:rPr>
            </w:pPr>
            <w:r>
              <w:rPr>
                <w:rFonts w:cs="Arial"/>
                <w:b/>
              </w:rPr>
              <w:t>Mar</w:t>
            </w:r>
            <w:r w:rsidRPr="00617D47">
              <w:rPr>
                <w:rFonts w:cs="Arial"/>
                <w:b/>
              </w:rPr>
              <w:t xml:space="preserve"> 31, 202</w:t>
            </w:r>
            <w:r>
              <w:rPr>
                <w:rFonts w:cs="Arial"/>
                <w:b/>
              </w:rPr>
              <w:t>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3B1FAF65" w14:textId="77777777" w:rsidR="00DC062C" w:rsidRPr="00BC7DA5" w:rsidRDefault="00DC062C" w:rsidP="00DC062C">
            <w:pPr>
              <w:pStyle w:val="08-Tabelageral"/>
              <w:rPr>
                <w:rFonts w:cs="Arial"/>
                <w:b/>
              </w:rPr>
            </w:pPr>
            <w:r w:rsidRPr="00617D47">
              <w:rPr>
                <w:rFonts w:cs="Arial"/>
                <w:b/>
              </w:rPr>
              <w:t>Dec 31, 202</w:t>
            </w:r>
            <w:r>
              <w:rPr>
                <w:rFonts w:cs="Arial"/>
                <w:b/>
              </w:rPr>
              <w:t>2</w:t>
            </w:r>
          </w:p>
        </w:tc>
        <w:tc>
          <w:tcPr>
            <w:tcW w:w="283" w:type="dxa"/>
            <w:tcBorders>
              <w:top w:val="nil"/>
              <w:bottom w:val="single" w:sz="2" w:space="0" w:color="1F4E79" w:themeColor="accent1" w:themeShade="80"/>
            </w:tcBorders>
            <w:shd w:val="clear" w:color="auto" w:fill="auto"/>
            <w:vAlign w:val="center"/>
          </w:tcPr>
          <w:p w14:paraId="499877DA" w14:textId="77777777" w:rsidR="00DC062C" w:rsidRPr="00BC7DA5" w:rsidRDefault="00DC062C" w:rsidP="00DC062C">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93ACEF1" w14:textId="77777777" w:rsidR="00DC062C" w:rsidRPr="00BC7DA5" w:rsidRDefault="00DC062C" w:rsidP="00DC062C">
            <w:pPr>
              <w:pStyle w:val="08-Tabelageral"/>
              <w:rPr>
                <w:rFonts w:cs="Arial"/>
                <w:b/>
                <w:vertAlign w:val="superscript"/>
              </w:rPr>
            </w:pPr>
            <w:r>
              <w:rPr>
                <w:rFonts w:cs="Arial"/>
                <w:b/>
              </w:rPr>
              <w:t>Mar</w:t>
            </w:r>
            <w:r w:rsidRPr="00617D47">
              <w:rPr>
                <w:rFonts w:cs="Arial"/>
                <w:b/>
              </w:rPr>
              <w:t xml:space="preserve"> 31, 202</w:t>
            </w:r>
            <w:r>
              <w:rPr>
                <w:rFonts w:cs="Arial"/>
                <w:b/>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021F134" w14:textId="77777777" w:rsidR="00DC062C" w:rsidRPr="00BC7DA5" w:rsidRDefault="00DC062C" w:rsidP="00DC062C">
            <w:pPr>
              <w:pStyle w:val="08-Tabelageral"/>
              <w:rPr>
                <w:rFonts w:cs="Arial"/>
                <w:b/>
                <w:vertAlign w:val="superscript"/>
              </w:rPr>
            </w:pPr>
            <w:r w:rsidRPr="00617D47">
              <w:rPr>
                <w:rFonts w:cs="Arial"/>
                <w:b/>
              </w:rPr>
              <w:t>Dec 31, 202</w:t>
            </w:r>
            <w:r>
              <w:rPr>
                <w:rFonts w:cs="Arial"/>
                <w:b/>
              </w:rPr>
              <w:t>2</w:t>
            </w:r>
          </w:p>
        </w:tc>
      </w:tr>
      <w:tr w:rsidR="00DC062C" w:rsidRPr="009D0C3F" w14:paraId="5FA3AF8C" w14:textId="77777777" w:rsidTr="00DC062C">
        <w:trPr>
          <w:trHeight w:val="238"/>
        </w:trPr>
        <w:tc>
          <w:tcPr>
            <w:tcW w:w="3261" w:type="dxa"/>
            <w:tcBorders>
              <w:top w:val="single" w:sz="2" w:space="0" w:color="1F4E79" w:themeColor="accent1" w:themeShade="80"/>
            </w:tcBorders>
            <w:shd w:val="clear" w:color="auto" w:fill="auto"/>
          </w:tcPr>
          <w:p w14:paraId="5E1A3BFF" w14:textId="77777777" w:rsidR="00DC062C" w:rsidRPr="00DB20DC" w:rsidRDefault="00DC062C" w:rsidP="00DC062C">
            <w:pPr>
              <w:pStyle w:val="08-Tabelageral"/>
              <w:ind w:left="113"/>
              <w:jc w:val="left"/>
              <w:rPr>
                <w:b/>
              </w:rPr>
            </w:pPr>
            <w:r w:rsidRPr="00617D47">
              <w:t>Cash</w:t>
            </w:r>
          </w:p>
        </w:tc>
        <w:tc>
          <w:tcPr>
            <w:tcW w:w="437" w:type="dxa"/>
            <w:tcBorders>
              <w:top w:val="single" w:sz="2" w:space="0" w:color="1F4E79" w:themeColor="accent1" w:themeShade="80"/>
              <w:bottom w:val="nil"/>
            </w:tcBorders>
            <w:shd w:val="clear" w:color="auto" w:fill="auto"/>
          </w:tcPr>
          <w:p w14:paraId="2F7C895E" w14:textId="77777777" w:rsidR="00DC062C" w:rsidRPr="009D0C3F" w:rsidRDefault="00DC062C" w:rsidP="00DC062C">
            <w:pPr>
              <w:pStyle w:val="08-Tabelageral"/>
              <w:rPr>
                <w:rFonts w:cs="Arial"/>
                <w:b/>
              </w:rPr>
            </w:pPr>
          </w:p>
        </w:tc>
        <w:tc>
          <w:tcPr>
            <w:tcW w:w="1411" w:type="dxa"/>
            <w:tcBorders>
              <w:top w:val="single" w:sz="2" w:space="0" w:color="8EAADB" w:themeColor="accent5" w:themeTint="99"/>
              <w:bottom w:val="nil"/>
            </w:tcBorders>
          </w:tcPr>
          <w:p w14:paraId="57AEABEC" w14:textId="77777777" w:rsidR="00DC062C" w:rsidRPr="00A02918" w:rsidRDefault="00DC062C" w:rsidP="00DC062C">
            <w:pPr>
              <w:pStyle w:val="08-Tabelageral"/>
            </w:pPr>
            <w:r>
              <w:t>434</w:t>
            </w:r>
          </w:p>
        </w:tc>
        <w:tc>
          <w:tcPr>
            <w:tcW w:w="1412" w:type="dxa"/>
            <w:tcBorders>
              <w:top w:val="single" w:sz="2" w:space="0" w:color="8EAADB" w:themeColor="accent5" w:themeTint="99"/>
              <w:bottom w:val="nil"/>
            </w:tcBorders>
          </w:tcPr>
          <w:p w14:paraId="63064F3B" w14:textId="77777777" w:rsidR="00DC062C" w:rsidRPr="00A02918" w:rsidRDefault="00DC062C" w:rsidP="00DC062C">
            <w:pPr>
              <w:pStyle w:val="08-Tabelageral"/>
            </w:pPr>
            <w:r w:rsidRPr="00ED38A0">
              <w:t>427</w:t>
            </w:r>
          </w:p>
        </w:tc>
        <w:tc>
          <w:tcPr>
            <w:tcW w:w="283" w:type="dxa"/>
            <w:tcBorders>
              <w:top w:val="single" w:sz="2" w:space="0" w:color="1F4E79" w:themeColor="accent1" w:themeShade="80"/>
              <w:bottom w:val="nil"/>
            </w:tcBorders>
            <w:shd w:val="clear" w:color="auto" w:fill="auto"/>
            <w:vAlign w:val="center"/>
          </w:tcPr>
          <w:p w14:paraId="041A63C1" w14:textId="77777777" w:rsidR="00DC062C" w:rsidRPr="009D0C3F" w:rsidRDefault="00DC062C" w:rsidP="00DC062C">
            <w:pPr>
              <w:pStyle w:val="08-Tabelageral"/>
              <w:rPr>
                <w:rFonts w:cs="Arial"/>
                <w:b/>
              </w:rPr>
            </w:pPr>
          </w:p>
        </w:tc>
        <w:tc>
          <w:tcPr>
            <w:tcW w:w="1417" w:type="dxa"/>
            <w:tcBorders>
              <w:top w:val="single" w:sz="2" w:space="0" w:color="8EAADB" w:themeColor="accent5" w:themeTint="99"/>
              <w:bottom w:val="nil"/>
            </w:tcBorders>
          </w:tcPr>
          <w:p w14:paraId="03718403" w14:textId="77777777" w:rsidR="00DC062C" w:rsidRPr="0057573E" w:rsidRDefault="00DC062C" w:rsidP="00DC062C">
            <w:pPr>
              <w:pStyle w:val="08-Tabelageral"/>
            </w:pPr>
            <w:r>
              <w:t>3,506</w:t>
            </w:r>
          </w:p>
        </w:tc>
        <w:tc>
          <w:tcPr>
            <w:tcW w:w="1418" w:type="dxa"/>
            <w:tcBorders>
              <w:top w:val="single" w:sz="2" w:space="0" w:color="8EAADB" w:themeColor="accent5" w:themeTint="99"/>
              <w:bottom w:val="nil"/>
            </w:tcBorders>
          </w:tcPr>
          <w:p w14:paraId="34E2109A" w14:textId="77777777" w:rsidR="00DC062C" w:rsidRPr="0057573E" w:rsidRDefault="00DC062C" w:rsidP="00DC062C">
            <w:pPr>
              <w:pStyle w:val="08-Tabelageral"/>
            </w:pPr>
            <w:r w:rsidRPr="001A7BE6">
              <w:t>3</w:t>
            </w:r>
            <w:r>
              <w:t>,</w:t>
            </w:r>
            <w:r w:rsidRPr="001A7BE6">
              <w:t>567</w:t>
            </w:r>
          </w:p>
        </w:tc>
      </w:tr>
      <w:tr w:rsidR="00DC062C" w:rsidRPr="00BC7DA5" w14:paraId="0659B8DC" w14:textId="77777777" w:rsidTr="00DC062C">
        <w:trPr>
          <w:trHeight w:val="238"/>
        </w:trPr>
        <w:tc>
          <w:tcPr>
            <w:tcW w:w="3261" w:type="dxa"/>
            <w:tcBorders>
              <w:bottom w:val="nil"/>
            </w:tcBorders>
            <w:shd w:val="clear" w:color="auto" w:fill="auto"/>
          </w:tcPr>
          <w:p w14:paraId="25927244" w14:textId="77777777" w:rsidR="00DC062C" w:rsidRPr="00DB20DC" w:rsidRDefault="00DC062C" w:rsidP="00DC062C">
            <w:pPr>
              <w:pStyle w:val="08-Tabelageral"/>
              <w:ind w:left="113"/>
              <w:jc w:val="left"/>
              <w:rPr>
                <w:b/>
              </w:rPr>
            </w:pPr>
            <w:r w:rsidRPr="00617D47">
              <w:t xml:space="preserve">Repurchase agreements </w:t>
            </w:r>
            <w:r w:rsidRPr="000704E7">
              <w:rPr>
                <w:vertAlign w:val="superscript"/>
              </w:rPr>
              <w:t>(1)</w:t>
            </w:r>
          </w:p>
        </w:tc>
        <w:tc>
          <w:tcPr>
            <w:tcW w:w="437" w:type="dxa"/>
            <w:tcBorders>
              <w:top w:val="nil"/>
              <w:bottom w:val="nil"/>
            </w:tcBorders>
            <w:shd w:val="clear" w:color="auto" w:fill="auto"/>
          </w:tcPr>
          <w:p w14:paraId="7E365D76" w14:textId="77777777" w:rsidR="00DC062C" w:rsidRPr="00BC7DA5" w:rsidRDefault="00DC062C" w:rsidP="00DC062C">
            <w:pPr>
              <w:pStyle w:val="08-Tabelageral"/>
              <w:jc w:val="center"/>
              <w:rPr>
                <w:rFonts w:cs="Arial"/>
                <w:szCs w:val="14"/>
              </w:rPr>
            </w:pPr>
          </w:p>
        </w:tc>
        <w:tc>
          <w:tcPr>
            <w:tcW w:w="1411" w:type="dxa"/>
            <w:tcBorders>
              <w:top w:val="nil"/>
              <w:bottom w:val="nil"/>
            </w:tcBorders>
          </w:tcPr>
          <w:p w14:paraId="06AC7201" w14:textId="77777777" w:rsidR="00DC062C" w:rsidRPr="00666448" w:rsidRDefault="00DC062C" w:rsidP="00DC062C">
            <w:pPr>
              <w:pStyle w:val="08-Tabelageral"/>
            </w:pPr>
            <w:r>
              <w:t>48,245</w:t>
            </w:r>
          </w:p>
        </w:tc>
        <w:tc>
          <w:tcPr>
            <w:tcW w:w="1412" w:type="dxa"/>
            <w:tcBorders>
              <w:top w:val="nil"/>
              <w:bottom w:val="nil"/>
            </w:tcBorders>
          </w:tcPr>
          <w:p w14:paraId="209E46D7" w14:textId="77777777" w:rsidR="00DC062C" w:rsidRPr="00666448" w:rsidRDefault="00DC062C" w:rsidP="00DC062C">
            <w:pPr>
              <w:pStyle w:val="08-Tabelageral"/>
            </w:pPr>
            <w:r w:rsidRPr="00ED38A0">
              <w:t>58</w:t>
            </w:r>
            <w:r>
              <w:t>,</w:t>
            </w:r>
            <w:r w:rsidRPr="00ED38A0">
              <w:t>57</w:t>
            </w:r>
            <w:r>
              <w:t>6</w:t>
            </w:r>
          </w:p>
        </w:tc>
        <w:tc>
          <w:tcPr>
            <w:tcW w:w="283" w:type="dxa"/>
            <w:tcBorders>
              <w:top w:val="nil"/>
              <w:bottom w:val="nil"/>
            </w:tcBorders>
            <w:shd w:val="clear" w:color="auto" w:fill="auto"/>
            <w:vAlign w:val="center"/>
          </w:tcPr>
          <w:p w14:paraId="73105B9A" w14:textId="77777777" w:rsidR="00DC062C" w:rsidRPr="00BC7DA5" w:rsidRDefault="00DC062C" w:rsidP="00DC062C">
            <w:pPr>
              <w:pStyle w:val="08-Tabelageral"/>
              <w:rPr>
                <w:rFonts w:cs="Arial"/>
                <w:szCs w:val="14"/>
              </w:rPr>
            </w:pPr>
          </w:p>
        </w:tc>
        <w:tc>
          <w:tcPr>
            <w:tcW w:w="1417" w:type="dxa"/>
            <w:tcBorders>
              <w:top w:val="nil"/>
              <w:bottom w:val="nil"/>
            </w:tcBorders>
          </w:tcPr>
          <w:p w14:paraId="5597174F" w14:textId="77777777" w:rsidR="00DC062C" w:rsidRPr="0057573E" w:rsidRDefault="00DC062C" w:rsidP="00DC062C">
            <w:pPr>
              <w:pStyle w:val="08-Tabelageral"/>
            </w:pPr>
            <w:r>
              <w:t>2,811,248</w:t>
            </w:r>
          </w:p>
        </w:tc>
        <w:tc>
          <w:tcPr>
            <w:tcW w:w="1418" w:type="dxa"/>
            <w:tcBorders>
              <w:top w:val="nil"/>
              <w:bottom w:val="nil"/>
            </w:tcBorders>
          </w:tcPr>
          <w:p w14:paraId="20660EFD" w14:textId="77777777" w:rsidR="00DC062C" w:rsidRPr="0057573E" w:rsidRDefault="00DC062C" w:rsidP="00DC062C">
            <w:pPr>
              <w:pStyle w:val="08-Tabelageral"/>
            </w:pPr>
            <w:r w:rsidRPr="001A7BE6">
              <w:t>6</w:t>
            </w:r>
            <w:r>
              <w:t>,</w:t>
            </w:r>
            <w:r w:rsidRPr="001A7BE6">
              <w:t>073</w:t>
            </w:r>
            <w:r>
              <w:t>,</w:t>
            </w:r>
            <w:r w:rsidRPr="001A7BE6">
              <w:t>051</w:t>
            </w:r>
          </w:p>
        </w:tc>
      </w:tr>
      <w:tr w:rsidR="00DC062C" w:rsidRPr="00BC7DA5" w14:paraId="68B8A4ED" w14:textId="77777777" w:rsidTr="00DC062C">
        <w:trPr>
          <w:trHeight w:val="238"/>
        </w:trPr>
        <w:tc>
          <w:tcPr>
            <w:tcW w:w="3261" w:type="dxa"/>
            <w:tcBorders>
              <w:top w:val="nil"/>
              <w:bottom w:val="single" w:sz="4" w:space="0" w:color="1F4E79" w:themeColor="accent1" w:themeShade="80"/>
            </w:tcBorders>
            <w:shd w:val="clear" w:color="auto" w:fill="auto"/>
          </w:tcPr>
          <w:p w14:paraId="3B158532" w14:textId="77777777" w:rsidR="00DC062C" w:rsidRPr="0091717A" w:rsidRDefault="00DC062C" w:rsidP="00DC062C">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43A3AE9F" w14:textId="77777777" w:rsidR="00DC062C" w:rsidRPr="00BC7DA5" w:rsidRDefault="00DC062C" w:rsidP="00DC062C">
            <w:pPr>
              <w:pStyle w:val="08-Tabelageral"/>
              <w:jc w:val="center"/>
              <w:rPr>
                <w:rFonts w:cs="Arial"/>
                <w:szCs w:val="14"/>
              </w:rPr>
            </w:pPr>
          </w:p>
        </w:tc>
        <w:tc>
          <w:tcPr>
            <w:tcW w:w="1411" w:type="dxa"/>
            <w:tcBorders>
              <w:top w:val="nil"/>
              <w:bottom w:val="single" w:sz="4" w:space="0" w:color="1F4E79" w:themeColor="accent1" w:themeShade="80"/>
            </w:tcBorders>
          </w:tcPr>
          <w:p w14:paraId="796EF355" w14:textId="77777777" w:rsidR="00DC062C" w:rsidRPr="002D2193" w:rsidRDefault="00DC062C" w:rsidP="00DC062C">
            <w:pPr>
              <w:pStyle w:val="08-Tabelageral"/>
              <w:rPr>
                <w:b/>
              </w:rPr>
            </w:pPr>
            <w:r>
              <w:rPr>
                <w:b/>
              </w:rPr>
              <w:t>48,679</w:t>
            </w:r>
          </w:p>
        </w:tc>
        <w:tc>
          <w:tcPr>
            <w:tcW w:w="1412" w:type="dxa"/>
            <w:tcBorders>
              <w:top w:val="nil"/>
              <w:bottom w:val="single" w:sz="4" w:space="0" w:color="1F4E79" w:themeColor="accent1" w:themeShade="80"/>
            </w:tcBorders>
          </w:tcPr>
          <w:p w14:paraId="307A0176" w14:textId="77777777" w:rsidR="00DC062C" w:rsidRPr="0091717A" w:rsidRDefault="00DC062C" w:rsidP="00DC062C">
            <w:pPr>
              <w:pStyle w:val="08-Tabelageral"/>
              <w:rPr>
                <w:b/>
              </w:rPr>
            </w:pPr>
            <w:r w:rsidRPr="00ED38A0">
              <w:rPr>
                <w:b/>
                <w:bCs/>
              </w:rPr>
              <w:t>59</w:t>
            </w:r>
            <w:r>
              <w:rPr>
                <w:b/>
                <w:bCs/>
              </w:rPr>
              <w:t>,</w:t>
            </w:r>
            <w:r w:rsidRPr="00ED38A0">
              <w:rPr>
                <w:b/>
                <w:bCs/>
              </w:rPr>
              <w:t>00</w:t>
            </w:r>
            <w:r>
              <w:rPr>
                <w:b/>
                <w:bCs/>
              </w:rPr>
              <w:t>3</w:t>
            </w:r>
          </w:p>
        </w:tc>
        <w:tc>
          <w:tcPr>
            <w:tcW w:w="283" w:type="dxa"/>
            <w:tcBorders>
              <w:top w:val="nil"/>
              <w:bottom w:val="single" w:sz="4" w:space="0" w:color="1F4E79" w:themeColor="accent1" w:themeShade="80"/>
            </w:tcBorders>
            <w:shd w:val="clear" w:color="auto" w:fill="auto"/>
            <w:vAlign w:val="center"/>
          </w:tcPr>
          <w:p w14:paraId="5396CFD4" w14:textId="77777777" w:rsidR="00DC062C" w:rsidRPr="00BC7DA5" w:rsidRDefault="00DC062C" w:rsidP="00DC062C">
            <w:pPr>
              <w:pStyle w:val="08-Tabelageral"/>
              <w:rPr>
                <w:rFonts w:cs="Arial"/>
                <w:szCs w:val="14"/>
              </w:rPr>
            </w:pPr>
          </w:p>
        </w:tc>
        <w:tc>
          <w:tcPr>
            <w:tcW w:w="1417" w:type="dxa"/>
            <w:tcBorders>
              <w:top w:val="nil"/>
              <w:bottom w:val="single" w:sz="4" w:space="0" w:color="1F4E79" w:themeColor="accent1" w:themeShade="80"/>
            </w:tcBorders>
          </w:tcPr>
          <w:p w14:paraId="5BAFC830" w14:textId="77777777" w:rsidR="00DC062C" w:rsidRPr="002D2193" w:rsidRDefault="00DC062C" w:rsidP="00DC062C">
            <w:pPr>
              <w:pStyle w:val="08-Tabelageral"/>
              <w:rPr>
                <w:b/>
              </w:rPr>
            </w:pPr>
            <w:r>
              <w:rPr>
                <w:b/>
              </w:rPr>
              <w:t>2,814,754</w:t>
            </w:r>
          </w:p>
        </w:tc>
        <w:tc>
          <w:tcPr>
            <w:tcW w:w="1418" w:type="dxa"/>
            <w:tcBorders>
              <w:top w:val="nil"/>
              <w:bottom w:val="single" w:sz="4" w:space="0" w:color="1F4E79" w:themeColor="accent1" w:themeShade="80"/>
            </w:tcBorders>
          </w:tcPr>
          <w:p w14:paraId="019FC0EB" w14:textId="77777777" w:rsidR="00DC062C" w:rsidRPr="0091717A" w:rsidRDefault="00DC062C" w:rsidP="00DC062C">
            <w:pPr>
              <w:pStyle w:val="08-Tabelageral"/>
              <w:rPr>
                <w:b/>
              </w:rPr>
            </w:pPr>
            <w:r w:rsidRPr="00ED38A0">
              <w:rPr>
                <w:b/>
                <w:bCs/>
              </w:rPr>
              <w:t>6</w:t>
            </w:r>
            <w:r>
              <w:rPr>
                <w:b/>
                <w:bCs/>
              </w:rPr>
              <w:t>,</w:t>
            </w:r>
            <w:r w:rsidRPr="00ED38A0">
              <w:rPr>
                <w:b/>
                <w:bCs/>
              </w:rPr>
              <w:t>076</w:t>
            </w:r>
            <w:r>
              <w:rPr>
                <w:b/>
                <w:bCs/>
              </w:rPr>
              <w:t>,</w:t>
            </w:r>
            <w:r w:rsidRPr="00ED38A0">
              <w:rPr>
                <w:b/>
                <w:bCs/>
              </w:rPr>
              <w:t>618</w:t>
            </w:r>
          </w:p>
        </w:tc>
      </w:tr>
    </w:tbl>
    <w:p w14:paraId="0E9C02BA" w14:textId="77777777" w:rsidR="00DC062C" w:rsidRPr="00396B61" w:rsidRDefault="00DC062C" w:rsidP="00DC062C">
      <w:pPr>
        <w:pStyle w:val="07-Legenda"/>
        <w:numPr>
          <w:ilvl w:val="0"/>
          <w:numId w:val="6"/>
        </w:numPr>
        <w:tabs>
          <w:tab w:val="left" w:pos="0"/>
        </w:tabs>
        <w:ind w:left="284" w:hanging="284"/>
        <w:rPr>
          <w:rFonts w:cs="Arial"/>
          <w:snapToGrid w:val="0"/>
          <w:lang w:val="en-US"/>
        </w:rPr>
      </w:pPr>
      <w:r w:rsidRPr="00396B61">
        <w:rPr>
          <w:rFonts w:cs="Arial"/>
          <w:snapToGrid w:val="0"/>
          <w:lang w:val="en-US"/>
        </w:rPr>
        <w:t xml:space="preserve">Refers to investments in repurchase agréments with Banco do Brasil S.A., backed by federal govermment securities with daily liquidity and insignificante risk of change in fair value. </w:t>
      </w:r>
    </w:p>
    <w:p w14:paraId="1221445C" w14:textId="77777777" w:rsidR="00DC062C" w:rsidRDefault="00DC062C" w:rsidP="00DC062C">
      <w:pPr>
        <w:pStyle w:val="05-Textonormal"/>
        <w:rPr>
          <w:lang w:val="en-US"/>
        </w:rPr>
      </w:pPr>
      <w:r w:rsidRPr="00F65F9C">
        <w:rPr>
          <w:lang w:val="en-US"/>
        </w:rPr>
        <w:t>The financial investments in repurchase agreements are categorized as financial assets at fair value through profit or loss and level 1 in the fair value hierarchy.</w:t>
      </w:r>
    </w:p>
    <w:p w14:paraId="20B567DF" w14:textId="0BD6B56E" w:rsidR="002A1B52" w:rsidRDefault="002A1B52" w:rsidP="00AA7F20">
      <w:pPr>
        <w:pStyle w:val="Ttulo1"/>
      </w:pPr>
    </w:p>
    <w:p w14:paraId="4796B48A" w14:textId="77777777" w:rsidR="002A1B52" w:rsidRDefault="002A1B52">
      <w:pPr>
        <w:rPr>
          <w:rFonts w:eastAsia="Times New Roman" w:cs="Arial"/>
          <w:b/>
          <w:bCs/>
          <w:color w:val="1F4E79" w:themeColor="accent1" w:themeShade="80"/>
          <w:sz w:val="20"/>
          <w:szCs w:val="20"/>
          <w:lang w:val="en-US" w:eastAsia="pt-BR"/>
        </w:rPr>
      </w:pPr>
      <w:r>
        <w:br w:type="page"/>
      </w:r>
    </w:p>
    <w:p w14:paraId="6AD0C67B" w14:textId="1ECBCF26" w:rsidR="00DC062C" w:rsidRPr="0085406F" w:rsidRDefault="00DC062C" w:rsidP="00AA7F20">
      <w:pPr>
        <w:pStyle w:val="Ttulo1"/>
        <w:rPr>
          <w:b w:val="0"/>
        </w:rPr>
      </w:pPr>
      <w:bookmarkStart w:id="46" w:name="OLE_LINK9"/>
      <w:bookmarkStart w:id="47" w:name="_Toc134823580"/>
      <w:r>
        <w:lastRenderedPageBreak/>
        <w:t>16</w:t>
      </w:r>
      <w:r w:rsidRPr="00872C21">
        <w:t xml:space="preserve"> – </w:t>
      </w:r>
      <w:r>
        <w:t xml:space="preserve">FINANCIAL </w:t>
      </w:r>
      <w:r w:rsidRPr="00872C21">
        <w:t>INSTRUMENT</w:t>
      </w:r>
      <w:r>
        <w:t>S</w:t>
      </w:r>
      <w:bookmarkEnd w:id="47"/>
      <w:r w:rsidRPr="00872C21">
        <w:t xml:space="preserve"> </w:t>
      </w:r>
    </w:p>
    <w:p w14:paraId="665B5CBC" w14:textId="77777777" w:rsidR="00DC062C" w:rsidRPr="00D5372A" w:rsidRDefault="00DC062C" w:rsidP="00AA7F20">
      <w:pPr>
        <w:pStyle w:val="05-Textonormal"/>
        <w:numPr>
          <w:ilvl w:val="0"/>
          <w:numId w:val="7"/>
        </w:numPr>
        <w:ind w:left="0"/>
        <w:rPr>
          <w:b/>
          <w:color w:val="1F4E79" w:themeColor="accent1" w:themeShade="80"/>
          <w:lang w:val="en-US"/>
        </w:rPr>
      </w:pPr>
      <w:r w:rsidRPr="00D5372A">
        <w:rPr>
          <w:b/>
          <w:color w:val="1F4E79" w:themeColor="accent1" w:themeShade="80"/>
          <w:lang w:val="en-US"/>
        </w:rPr>
        <w:t xml:space="preserve">Financial Assests at Fair Value through Profit or Loss </w:t>
      </w:r>
    </w:p>
    <w:p w14:paraId="5A018278" w14:textId="77777777" w:rsidR="00DC062C" w:rsidRDefault="00DC062C" w:rsidP="00AA7F20">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DC062C" w:rsidRPr="00F80522" w14:paraId="3F351A7D" w14:textId="77777777" w:rsidTr="00DC062C">
        <w:trPr>
          <w:trHeight w:val="238"/>
        </w:trPr>
        <w:tc>
          <w:tcPr>
            <w:tcW w:w="2268" w:type="dxa"/>
            <w:tcBorders>
              <w:top w:val="single" w:sz="2" w:space="0" w:color="1F4E79" w:themeColor="accent1" w:themeShade="80"/>
            </w:tcBorders>
            <w:shd w:val="clear" w:color="auto" w:fill="auto"/>
          </w:tcPr>
          <w:p w14:paraId="06F71E33" w14:textId="77777777" w:rsidR="00DC062C" w:rsidRPr="00F80522" w:rsidRDefault="00DC062C" w:rsidP="00AA7F20">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514E2D85" w14:textId="77777777" w:rsidR="00DC062C" w:rsidRPr="00F80522" w:rsidRDefault="00DC062C" w:rsidP="00AA7F20">
            <w:pPr>
              <w:pStyle w:val="08-Tabelageral"/>
              <w:jc w:val="center"/>
              <w:rPr>
                <w:rFonts w:cs="Arial"/>
                <w:b/>
                <w:szCs w:val="14"/>
              </w:rPr>
            </w:pPr>
            <w:r>
              <w:rPr>
                <w:rFonts w:cs="Arial"/>
                <w:b/>
                <w:szCs w:val="14"/>
              </w:rPr>
              <w:t>Parent</w:t>
            </w:r>
          </w:p>
        </w:tc>
      </w:tr>
      <w:tr w:rsidR="00DC062C" w:rsidRPr="00F80522" w14:paraId="52141F88" w14:textId="77777777" w:rsidTr="00DC062C">
        <w:trPr>
          <w:trHeight w:val="238"/>
        </w:trPr>
        <w:tc>
          <w:tcPr>
            <w:tcW w:w="2268" w:type="dxa"/>
            <w:shd w:val="clear" w:color="auto" w:fill="auto"/>
          </w:tcPr>
          <w:p w14:paraId="7345F8B6" w14:textId="77777777" w:rsidR="00DC062C" w:rsidRPr="00F80522" w:rsidRDefault="00DC062C" w:rsidP="00AA7F20">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5E634D02" w14:textId="77777777" w:rsidR="00DC062C" w:rsidRPr="00F80522" w:rsidRDefault="00DC062C" w:rsidP="00AA7F20">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28E3F56" w14:textId="77777777" w:rsidR="00DC062C" w:rsidRPr="00F80522" w:rsidRDefault="00DC062C" w:rsidP="00AA7F20">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6209883" w14:textId="77777777" w:rsidR="00DC062C" w:rsidRPr="00F80522" w:rsidRDefault="00DC062C" w:rsidP="00AA7F20">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B87C45C" w14:textId="77777777" w:rsidR="00DC062C" w:rsidRPr="00F80522" w:rsidRDefault="00DC062C" w:rsidP="00AA7F20">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5284F768" w14:textId="77777777" w:rsidR="00DC062C" w:rsidRPr="00F80522" w:rsidRDefault="00DC062C" w:rsidP="00AA7F20">
            <w:pPr>
              <w:spacing w:after="0"/>
              <w:jc w:val="center"/>
              <w:rPr>
                <w:rFonts w:cs="Arial"/>
                <w:b/>
                <w:sz w:val="14"/>
                <w:szCs w:val="14"/>
              </w:rPr>
            </w:pPr>
            <w:r>
              <w:rPr>
                <w:rFonts w:cs="Arial"/>
                <w:b/>
                <w:sz w:val="14"/>
                <w:szCs w:val="14"/>
              </w:rPr>
              <w:t xml:space="preserve">Mar </w:t>
            </w:r>
            <w:r w:rsidRPr="00F80522">
              <w:rPr>
                <w:rFonts w:cs="Arial"/>
                <w:b/>
                <w:sz w:val="14"/>
                <w:szCs w:val="14"/>
              </w:rPr>
              <w:t>3</w:t>
            </w:r>
            <w:r>
              <w:rPr>
                <w:rFonts w:cs="Arial"/>
                <w:b/>
                <w:sz w:val="14"/>
                <w:szCs w:val="14"/>
              </w:rPr>
              <w:t xml:space="preserve">1, </w:t>
            </w:r>
            <w:r w:rsidRPr="00F80522">
              <w:rPr>
                <w:rFonts w:cs="Arial"/>
                <w:b/>
                <w:sz w:val="14"/>
                <w:szCs w:val="14"/>
              </w:rPr>
              <w:t>202</w:t>
            </w:r>
            <w:r>
              <w:rPr>
                <w:rFonts w:cs="Arial"/>
                <w:b/>
                <w:sz w:val="14"/>
                <w:szCs w:val="14"/>
              </w:rPr>
              <w:t>3</w:t>
            </w:r>
          </w:p>
        </w:tc>
      </w:tr>
      <w:tr w:rsidR="00DC062C" w:rsidRPr="00F80522" w14:paraId="39E0F65C" w14:textId="77777777" w:rsidTr="00DC062C">
        <w:trPr>
          <w:trHeight w:val="238"/>
        </w:trPr>
        <w:tc>
          <w:tcPr>
            <w:tcW w:w="2268" w:type="dxa"/>
            <w:tcBorders>
              <w:bottom w:val="single" w:sz="2" w:space="0" w:color="1F4E79" w:themeColor="accent1" w:themeShade="80"/>
            </w:tcBorders>
            <w:shd w:val="clear" w:color="auto" w:fill="auto"/>
          </w:tcPr>
          <w:p w14:paraId="690A7A92" w14:textId="77777777" w:rsidR="00DC062C" w:rsidRPr="00F80522" w:rsidRDefault="00DC062C" w:rsidP="00AA7F20">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520D2EE5" w14:textId="77777777" w:rsidR="00DC062C" w:rsidRPr="00F80522" w:rsidRDefault="00DC062C" w:rsidP="00AA7F20">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ECCEAB2" w14:textId="77777777" w:rsidR="00DC062C" w:rsidRPr="00F80522" w:rsidRDefault="00DC062C" w:rsidP="00AA7F20">
            <w:pPr>
              <w:spacing w:after="0"/>
              <w:jc w:val="center"/>
              <w:rPr>
                <w:rFonts w:cs="Arial"/>
                <w:b/>
                <w:sz w:val="14"/>
                <w:szCs w:val="14"/>
              </w:rPr>
            </w:pPr>
            <w:r>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65490E4" w14:textId="77777777" w:rsidR="00DC062C" w:rsidRPr="00F80522" w:rsidRDefault="00DC062C" w:rsidP="00AA7F20">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547800D" w14:textId="77777777" w:rsidR="00DC062C" w:rsidRPr="00F80522" w:rsidRDefault="00DC062C" w:rsidP="00AA7F20">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3084B10" w14:textId="77777777" w:rsidR="00DC062C" w:rsidRPr="00F80522" w:rsidRDefault="00DC062C" w:rsidP="00AA7F20">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30348492" w14:textId="77777777" w:rsidR="00DC062C" w:rsidRPr="00F80522" w:rsidRDefault="00DC062C" w:rsidP="00AA7F20">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9CEB41F" w14:textId="77777777" w:rsidR="00DC062C" w:rsidRPr="00F80522" w:rsidRDefault="00DC062C" w:rsidP="00AA7F20">
            <w:pPr>
              <w:pStyle w:val="08-Tabelageral"/>
              <w:jc w:val="center"/>
              <w:rPr>
                <w:rFonts w:cs="Arial"/>
                <w:b/>
              </w:rPr>
            </w:pPr>
            <w:r w:rsidRPr="004071D8">
              <w:rPr>
                <w:rFonts w:cs="Arial"/>
                <w:b/>
              </w:rPr>
              <w:t>Market Value</w:t>
            </w:r>
          </w:p>
        </w:tc>
      </w:tr>
      <w:tr w:rsidR="00DC062C" w:rsidRPr="00F80522" w14:paraId="1F713176" w14:textId="77777777" w:rsidTr="00DC062C">
        <w:trPr>
          <w:trHeight w:val="238"/>
        </w:trPr>
        <w:tc>
          <w:tcPr>
            <w:tcW w:w="2268" w:type="dxa"/>
            <w:tcBorders>
              <w:top w:val="single" w:sz="2" w:space="0" w:color="1F4E79" w:themeColor="accent1" w:themeShade="80"/>
            </w:tcBorders>
            <w:shd w:val="clear" w:color="auto" w:fill="auto"/>
          </w:tcPr>
          <w:p w14:paraId="0657ECE2" w14:textId="77777777" w:rsidR="00DC062C" w:rsidRPr="00F80522" w:rsidRDefault="00DC062C" w:rsidP="00AA7F20">
            <w:pPr>
              <w:pStyle w:val="08-Tabelageral"/>
              <w:jc w:val="left"/>
              <w:rPr>
                <w:szCs w:val="14"/>
              </w:rPr>
            </w:pPr>
            <w:r w:rsidRPr="004071D8">
              <w:rPr>
                <w:szCs w:val="14"/>
              </w:rPr>
              <w:t>Long-term fund</w:t>
            </w:r>
            <w:r w:rsidRPr="00F80522">
              <w:rPr>
                <w:szCs w:val="14"/>
              </w:rPr>
              <w:t xml:space="preserve"> </w:t>
            </w:r>
          </w:p>
        </w:tc>
        <w:tc>
          <w:tcPr>
            <w:tcW w:w="993" w:type="dxa"/>
            <w:tcBorders>
              <w:top w:val="single" w:sz="2" w:space="0" w:color="1F4E79" w:themeColor="accent1" w:themeShade="80"/>
              <w:left w:val="nil"/>
              <w:bottom w:val="nil"/>
              <w:right w:val="nil"/>
            </w:tcBorders>
            <w:shd w:val="clear" w:color="auto" w:fill="auto"/>
            <w:vAlign w:val="bottom"/>
          </w:tcPr>
          <w:p w14:paraId="76275C2F" w14:textId="77777777" w:rsidR="00DC062C" w:rsidRPr="00F80522" w:rsidRDefault="00DC062C" w:rsidP="00AA7F20">
            <w:pPr>
              <w:pStyle w:val="08-Tabelageral"/>
              <w:rPr>
                <w:szCs w:val="14"/>
              </w:rPr>
            </w:pPr>
            <w:r w:rsidRPr="00B3478F">
              <w:rPr>
                <w:rFonts w:cs="Arial"/>
                <w:color w:val="000000"/>
              </w:rPr>
              <w:t>10</w:t>
            </w:r>
            <w:r>
              <w:rPr>
                <w:rFonts w:cs="Arial"/>
                <w:color w:val="000000"/>
              </w:rPr>
              <w:t>,</w:t>
            </w:r>
            <w:r w:rsidRPr="00B3478F">
              <w:rPr>
                <w:rFonts w:cs="Arial"/>
                <w:color w:val="000000"/>
              </w:rPr>
              <w:t>572</w:t>
            </w:r>
          </w:p>
        </w:tc>
        <w:tc>
          <w:tcPr>
            <w:tcW w:w="992" w:type="dxa"/>
            <w:tcBorders>
              <w:top w:val="single" w:sz="2" w:space="0" w:color="1F4E79" w:themeColor="accent1" w:themeShade="80"/>
              <w:left w:val="nil"/>
              <w:bottom w:val="nil"/>
              <w:right w:val="nil"/>
            </w:tcBorders>
            <w:shd w:val="clear" w:color="auto" w:fill="auto"/>
            <w:vAlign w:val="bottom"/>
          </w:tcPr>
          <w:p w14:paraId="5F087F38" w14:textId="77777777" w:rsidR="00DC062C" w:rsidRPr="00F80522" w:rsidRDefault="00DC062C" w:rsidP="00AA7F20">
            <w:pPr>
              <w:pStyle w:val="08-Tabelageral"/>
              <w:rPr>
                <w:szCs w:val="14"/>
              </w:rPr>
            </w:pPr>
            <w:r w:rsidRPr="002A2F48">
              <w:rPr>
                <w:rFonts w:cs="Arial"/>
              </w:rPr>
              <w:t>18</w:t>
            </w:r>
            <w:r>
              <w:rPr>
                <w:rFonts w:cs="Arial"/>
              </w:rPr>
              <w:t>,</w:t>
            </w:r>
            <w:r w:rsidRPr="002A2F48">
              <w:rPr>
                <w:rFonts w:cs="Arial"/>
              </w:rPr>
              <w:t>064</w:t>
            </w:r>
          </w:p>
        </w:tc>
        <w:tc>
          <w:tcPr>
            <w:tcW w:w="1134" w:type="dxa"/>
            <w:tcBorders>
              <w:top w:val="single" w:sz="2" w:space="0" w:color="1F4E79" w:themeColor="accent1" w:themeShade="80"/>
              <w:left w:val="nil"/>
              <w:bottom w:val="nil"/>
              <w:right w:val="nil"/>
            </w:tcBorders>
            <w:shd w:val="clear" w:color="auto" w:fill="auto"/>
            <w:vAlign w:val="bottom"/>
          </w:tcPr>
          <w:p w14:paraId="640562D4" w14:textId="77777777" w:rsidR="00DC062C" w:rsidRPr="00F80522" w:rsidRDefault="00DC062C" w:rsidP="00AA7F20">
            <w:pPr>
              <w:pStyle w:val="08-Tabelageral"/>
              <w:rPr>
                <w:szCs w:val="14"/>
              </w:rPr>
            </w:pPr>
            <w:r>
              <w:rPr>
                <w:rFonts w:cs="Arial"/>
              </w:rPr>
              <w:t>712</w:t>
            </w:r>
          </w:p>
        </w:tc>
        <w:tc>
          <w:tcPr>
            <w:tcW w:w="1134" w:type="dxa"/>
            <w:tcBorders>
              <w:top w:val="single" w:sz="2" w:space="0" w:color="1F4E79" w:themeColor="accent1" w:themeShade="80"/>
              <w:left w:val="nil"/>
              <w:bottom w:val="nil"/>
              <w:right w:val="nil"/>
            </w:tcBorders>
            <w:shd w:val="clear" w:color="auto" w:fill="auto"/>
          </w:tcPr>
          <w:p w14:paraId="3DAD56E7" w14:textId="77777777" w:rsidR="00DC062C" w:rsidRPr="00F80522" w:rsidRDefault="00DC062C" w:rsidP="00AA7F20">
            <w:pPr>
              <w:pStyle w:val="08-Tabelageral"/>
              <w:rPr>
                <w:szCs w:val="14"/>
              </w:rPr>
            </w:pPr>
            <w:r>
              <w:rPr>
                <w:rFonts w:cs="Arial"/>
              </w:rPr>
              <w:t>--</w:t>
            </w:r>
          </w:p>
        </w:tc>
        <w:tc>
          <w:tcPr>
            <w:tcW w:w="1134" w:type="dxa"/>
            <w:tcBorders>
              <w:top w:val="single" w:sz="2" w:space="0" w:color="1F4E79" w:themeColor="accent1" w:themeShade="80"/>
              <w:left w:val="nil"/>
              <w:bottom w:val="nil"/>
              <w:right w:val="nil"/>
            </w:tcBorders>
            <w:shd w:val="clear" w:color="auto" w:fill="auto"/>
            <w:vAlign w:val="bottom"/>
          </w:tcPr>
          <w:p w14:paraId="3DEBA75F" w14:textId="77777777" w:rsidR="00DC062C" w:rsidRPr="00F80522" w:rsidRDefault="00DC062C" w:rsidP="00AA7F20">
            <w:pPr>
              <w:pStyle w:val="08-Tabelageral"/>
              <w:rPr>
                <w:rFonts w:cs="Arial"/>
                <w:szCs w:val="14"/>
              </w:rPr>
            </w:pPr>
            <w:r>
              <w:rPr>
                <w:rFonts w:cs="Arial"/>
              </w:rPr>
              <w:t>(1,530)</w:t>
            </w:r>
          </w:p>
        </w:tc>
        <w:tc>
          <w:tcPr>
            <w:tcW w:w="992" w:type="dxa"/>
            <w:tcBorders>
              <w:top w:val="single" w:sz="2" w:space="0" w:color="1F4E79" w:themeColor="accent1" w:themeShade="80"/>
              <w:left w:val="nil"/>
              <w:bottom w:val="nil"/>
              <w:right w:val="nil"/>
            </w:tcBorders>
            <w:shd w:val="clear" w:color="auto" w:fill="auto"/>
            <w:vAlign w:val="bottom"/>
          </w:tcPr>
          <w:p w14:paraId="1480BDFB" w14:textId="77777777" w:rsidR="00DC062C" w:rsidRPr="00F80522" w:rsidRDefault="00DC062C" w:rsidP="00AA7F20">
            <w:pPr>
              <w:pStyle w:val="08-Tabelageral"/>
              <w:rPr>
                <w:szCs w:val="14"/>
              </w:rPr>
            </w:pPr>
            <w:r>
              <w:rPr>
                <w:rFonts w:cs="Arial"/>
              </w:rPr>
              <w:t>11,284</w:t>
            </w:r>
          </w:p>
        </w:tc>
        <w:tc>
          <w:tcPr>
            <w:tcW w:w="992" w:type="dxa"/>
            <w:tcBorders>
              <w:top w:val="single" w:sz="2" w:space="0" w:color="1F4E79" w:themeColor="accent1" w:themeShade="80"/>
              <w:left w:val="nil"/>
              <w:bottom w:val="nil"/>
              <w:right w:val="nil"/>
            </w:tcBorders>
            <w:shd w:val="clear" w:color="auto" w:fill="auto"/>
            <w:vAlign w:val="bottom"/>
          </w:tcPr>
          <w:p w14:paraId="2A051130" w14:textId="77777777" w:rsidR="00DC062C" w:rsidRPr="00F80522" w:rsidRDefault="00DC062C" w:rsidP="00AA7F20">
            <w:pPr>
              <w:pStyle w:val="08-Tabelageral"/>
              <w:rPr>
                <w:szCs w:val="14"/>
              </w:rPr>
            </w:pPr>
            <w:r>
              <w:rPr>
                <w:rFonts w:cs="Arial"/>
              </w:rPr>
              <w:t>17,246</w:t>
            </w:r>
          </w:p>
        </w:tc>
      </w:tr>
      <w:tr w:rsidR="00DC062C" w:rsidRPr="00F80522" w14:paraId="71FC4814" w14:textId="77777777" w:rsidTr="00DC062C">
        <w:trPr>
          <w:trHeight w:val="238"/>
        </w:trPr>
        <w:tc>
          <w:tcPr>
            <w:tcW w:w="2268" w:type="dxa"/>
            <w:tcBorders>
              <w:bottom w:val="single" w:sz="2" w:space="0" w:color="1F4E79" w:themeColor="accent1" w:themeShade="80"/>
            </w:tcBorders>
            <w:shd w:val="clear" w:color="auto" w:fill="auto"/>
          </w:tcPr>
          <w:p w14:paraId="5483393C" w14:textId="77777777" w:rsidR="00DC062C" w:rsidRPr="00F80522" w:rsidRDefault="00DC062C" w:rsidP="00AA7F20">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vAlign w:val="bottom"/>
          </w:tcPr>
          <w:p w14:paraId="49378392" w14:textId="77777777" w:rsidR="00DC062C" w:rsidRPr="00F80522" w:rsidRDefault="00DC062C" w:rsidP="00AA7F20">
            <w:pPr>
              <w:pStyle w:val="08-Tabelageral"/>
              <w:rPr>
                <w:b/>
                <w:szCs w:val="14"/>
              </w:rPr>
            </w:pPr>
            <w:r w:rsidRPr="00B3478F">
              <w:rPr>
                <w:rFonts w:cs="Arial"/>
                <w:b/>
                <w:bCs/>
                <w:color w:val="000000"/>
              </w:rPr>
              <w:t>10</w:t>
            </w:r>
            <w:r>
              <w:rPr>
                <w:rFonts w:cs="Arial"/>
                <w:b/>
                <w:bCs/>
                <w:color w:val="000000"/>
              </w:rPr>
              <w:t>,</w:t>
            </w:r>
            <w:r w:rsidRPr="00B3478F">
              <w:rPr>
                <w:rFonts w:cs="Arial"/>
                <w:b/>
                <w:bCs/>
                <w:color w:val="000000"/>
              </w:rPr>
              <w:t>572</w:t>
            </w:r>
          </w:p>
        </w:tc>
        <w:tc>
          <w:tcPr>
            <w:tcW w:w="992" w:type="dxa"/>
            <w:tcBorders>
              <w:top w:val="nil"/>
              <w:left w:val="nil"/>
              <w:bottom w:val="single" w:sz="2" w:space="0" w:color="1F4E79" w:themeColor="accent1" w:themeShade="80"/>
              <w:right w:val="nil"/>
            </w:tcBorders>
            <w:shd w:val="clear" w:color="auto" w:fill="auto"/>
            <w:vAlign w:val="bottom"/>
          </w:tcPr>
          <w:p w14:paraId="71BF4A88" w14:textId="77777777" w:rsidR="00DC062C" w:rsidRPr="00F80522" w:rsidRDefault="00DC062C" w:rsidP="00AA7F20">
            <w:pPr>
              <w:pStyle w:val="08-Tabelageral"/>
              <w:rPr>
                <w:b/>
                <w:szCs w:val="14"/>
              </w:rPr>
            </w:pPr>
            <w:r w:rsidRPr="002A2F48">
              <w:rPr>
                <w:rFonts w:cs="Arial"/>
                <w:b/>
                <w:bCs/>
                <w:color w:val="000000"/>
              </w:rPr>
              <w:t>18</w:t>
            </w:r>
            <w:r>
              <w:rPr>
                <w:rFonts w:cs="Arial"/>
                <w:b/>
                <w:bCs/>
                <w:color w:val="000000"/>
              </w:rPr>
              <w:t>,</w:t>
            </w:r>
            <w:r w:rsidRPr="002A2F48">
              <w:rPr>
                <w:rFonts w:cs="Arial"/>
                <w:b/>
                <w:bCs/>
                <w:color w:val="000000"/>
              </w:rPr>
              <w:t>064</w:t>
            </w:r>
          </w:p>
        </w:tc>
        <w:tc>
          <w:tcPr>
            <w:tcW w:w="1134" w:type="dxa"/>
            <w:tcBorders>
              <w:top w:val="nil"/>
              <w:left w:val="nil"/>
              <w:bottom w:val="single" w:sz="2" w:space="0" w:color="1F4E79" w:themeColor="accent1" w:themeShade="80"/>
              <w:right w:val="nil"/>
            </w:tcBorders>
            <w:shd w:val="clear" w:color="auto" w:fill="auto"/>
            <w:vAlign w:val="bottom"/>
          </w:tcPr>
          <w:p w14:paraId="529B4315" w14:textId="77777777" w:rsidR="00DC062C" w:rsidRPr="00F80522" w:rsidRDefault="00DC062C" w:rsidP="00AA7F20">
            <w:pPr>
              <w:pStyle w:val="08-Tabelageral"/>
              <w:rPr>
                <w:b/>
                <w:szCs w:val="14"/>
              </w:rPr>
            </w:pPr>
            <w:r>
              <w:rPr>
                <w:rFonts w:cs="Arial"/>
                <w:b/>
              </w:rPr>
              <w:t>712</w:t>
            </w:r>
          </w:p>
        </w:tc>
        <w:tc>
          <w:tcPr>
            <w:tcW w:w="1134" w:type="dxa"/>
            <w:tcBorders>
              <w:top w:val="nil"/>
              <w:left w:val="nil"/>
              <w:bottom w:val="single" w:sz="2" w:space="0" w:color="1F4E79" w:themeColor="accent1" w:themeShade="80"/>
              <w:right w:val="nil"/>
            </w:tcBorders>
            <w:shd w:val="clear" w:color="auto" w:fill="auto"/>
          </w:tcPr>
          <w:p w14:paraId="29696A40" w14:textId="77777777" w:rsidR="00DC062C" w:rsidRPr="00F80522" w:rsidRDefault="00DC062C" w:rsidP="00AA7F20">
            <w:pPr>
              <w:pStyle w:val="08-Tabelageral"/>
              <w:rPr>
                <w:b/>
                <w:szCs w:val="14"/>
              </w:rPr>
            </w:pPr>
            <w:r>
              <w:rPr>
                <w:rFonts w:cs="Arial"/>
                <w:b/>
              </w:rPr>
              <w:t>--</w:t>
            </w:r>
          </w:p>
        </w:tc>
        <w:tc>
          <w:tcPr>
            <w:tcW w:w="1134" w:type="dxa"/>
            <w:tcBorders>
              <w:top w:val="nil"/>
              <w:left w:val="nil"/>
              <w:bottom w:val="single" w:sz="2" w:space="0" w:color="1F4E79" w:themeColor="accent1" w:themeShade="80"/>
              <w:right w:val="nil"/>
            </w:tcBorders>
            <w:shd w:val="clear" w:color="auto" w:fill="auto"/>
            <w:vAlign w:val="bottom"/>
          </w:tcPr>
          <w:p w14:paraId="4C1DE920" w14:textId="77777777" w:rsidR="00DC062C" w:rsidRPr="00F80522" w:rsidRDefault="00DC062C" w:rsidP="00AA7F20">
            <w:pPr>
              <w:pStyle w:val="08-Tabelageral"/>
              <w:rPr>
                <w:rFonts w:cs="Arial"/>
                <w:b/>
                <w:szCs w:val="14"/>
              </w:rPr>
            </w:pPr>
            <w:r>
              <w:rPr>
                <w:rFonts w:cs="Arial"/>
                <w:b/>
              </w:rPr>
              <w:t>(1,530)</w:t>
            </w:r>
          </w:p>
        </w:tc>
        <w:tc>
          <w:tcPr>
            <w:tcW w:w="992" w:type="dxa"/>
            <w:tcBorders>
              <w:top w:val="nil"/>
              <w:left w:val="nil"/>
              <w:bottom w:val="single" w:sz="2" w:space="0" w:color="1F4E79" w:themeColor="accent1" w:themeShade="80"/>
              <w:right w:val="nil"/>
            </w:tcBorders>
            <w:shd w:val="clear" w:color="auto" w:fill="auto"/>
            <w:vAlign w:val="bottom"/>
          </w:tcPr>
          <w:p w14:paraId="32853C3B" w14:textId="77777777" w:rsidR="00DC062C" w:rsidRPr="00F80522" w:rsidRDefault="00DC062C" w:rsidP="00AA7F20">
            <w:pPr>
              <w:pStyle w:val="08-Tabelageral"/>
              <w:rPr>
                <w:b/>
                <w:szCs w:val="14"/>
              </w:rPr>
            </w:pPr>
            <w:r>
              <w:rPr>
                <w:rFonts w:cs="Arial"/>
                <w:b/>
              </w:rPr>
              <w:t>11,284</w:t>
            </w:r>
          </w:p>
        </w:tc>
        <w:tc>
          <w:tcPr>
            <w:tcW w:w="992" w:type="dxa"/>
            <w:tcBorders>
              <w:top w:val="nil"/>
              <w:left w:val="nil"/>
              <w:bottom w:val="single" w:sz="2" w:space="0" w:color="1F4E79" w:themeColor="accent1" w:themeShade="80"/>
              <w:right w:val="nil"/>
            </w:tcBorders>
            <w:shd w:val="clear" w:color="auto" w:fill="auto"/>
            <w:vAlign w:val="bottom"/>
          </w:tcPr>
          <w:p w14:paraId="3C64617A" w14:textId="77777777" w:rsidR="00DC062C" w:rsidRPr="00F80522" w:rsidRDefault="00DC062C" w:rsidP="00AA7F20">
            <w:pPr>
              <w:pStyle w:val="08-Tabelageral"/>
              <w:rPr>
                <w:b/>
                <w:szCs w:val="14"/>
              </w:rPr>
            </w:pPr>
            <w:r>
              <w:rPr>
                <w:rFonts w:cs="Arial"/>
                <w:b/>
              </w:rPr>
              <w:t>17,246</w:t>
            </w:r>
          </w:p>
        </w:tc>
      </w:tr>
    </w:tbl>
    <w:p w14:paraId="76662165" w14:textId="77777777" w:rsidR="00DC062C" w:rsidRDefault="00DC062C" w:rsidP="00AA7F20">
      <w:pPr>
        <w:pStyle w:val="08-Tabelageral"/>
        <w:rPr>
          <w:rFonts w:cs="Arial"/>
        </w:rPr>
      </w:pPr>
    </w:p>
    <w:p w14:paraId="471C22E4" w14:textId="77777777" w:rsidR="00DC062C" w:rsidRDefault="00DC062C" w:rsidP="00AA7F20">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jc w:val="center"/>
        <w:tblLayout w:type="fixed"/>
        <w:tblLook w:val="04A0" w:firstRow="1" w:lastRow="0" w:firstColumn="1" w:lastColumn="0" w:noHBand="0" w:noVBand="1"/>
      </w:tblPr>
      <w:tblGrid>
        <w:gridCol w:w="2268"/>
        <w:gridCol w:w="993"/>
        <w:gridCol w:w="992"/>
        <w:gridCol w:w="1134"/>
        <w:gridCol w:w="1134"/>
        <w:gridCol w:w="1134"/>
        <w:gridCol w:w="992"/>
        <w:gridCol w:w="992"/>
      </w:tblGrid>
      <w:tr w:rsidR="00DC062C" w:rsidRPr="00F80522" w14:paraId="2A96B513" w14:textId="77777777" w:rsidTr="00DC062C">
        <w:trPr>
          <w:trHeight w:val="238"/>
          <w:jc w:val="center"/>
        </w:trPr>
        <w:tc>
          <w:tcPr>
            <w:tcW w:w="2268" w:type="dxa"/>
            <w:tcBorders>
              <w:top w:val="single" w:sz="2" w:space="0" w:color="1F4E79" w:themeColor="accent1" w:themeShade="80"/>
            </w:tcBorders>
            <w:shd w:val="clear" w:color="auto" w:fill="auto"/>
          </w:tcPr>
          <w:p w14:paraId="1D7360C4" w14:textId="77777777" w:rsidR="00DC062C" w:rsidRPr="00F80522" w:rsidRDefault="00DC062C" w:rsidP="00AA7F20">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6E54142B" w14:textId="77777777" w:rsidR="00DC062C" w:rsidRPr="00F80522" w:rsidRDefault="00DC062C" w:rsidP="00AA7F20">
            <w:pPr>
              <w:pStyle w:val="08-Tabelageral"/>
              <w:jc w:val="center"/>
              <w:rPr>
                <w:rFonts w:cs="Arial"/>
                <w:b/>
                <w:szCs w:val="14"/>
              </w:rPr>
            </w:pPr>
            <w:r>
              <w:rPr>
                <w:b/>
              </w:rPr>
              <w:t>Consolidated</w:t>
            </w:r>
          </w:p>
        </w:tc>
      </w:tr>
      <w:tr w:rsidR="00DC062C" w:rsidRPr="00F80522" w14:paraId="481899F6" w14:textId="77777777" w:rsidTr="00DC062C">
        <w:trPr>
          <w:trHeight w:val="238"/>
          <w:jc w:val="center"/>
        </w:trPr>
        <w:tc>
          <w:tcPr>
            <w:tcW w:w="2268" w:type="dxa"/>
            <w:shd w:val="clear" w:color="auto" w:fill="auto"/>
          </w:tcPr>
          <w:p w14:paraId="72AD72B1" w14:textId="77777777" w:rsidR="00DC062C" w:rsidRPr="00F80522" w:rsidRDefault="00DC062C" w:rsidP="00AA7F20">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0315D383" w14:textId="77777777" w:rsidR="00DC062C" w:rsidRPr="00F80522" w:rsidRDefault="00DC062C" w:rsidP="00AA7F20">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75FE895" w14:textId="77777777" w:rsidR="00DC062C" w:rsidRPr="00F80522" w:rsidRDefault="00DC062C" w:rsidP="00AA7F20">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356A8B7A" w14:textId="77777777" w:rsidR="00DC062C" w:rsidRPr="00F80522" w:rsidRDefault="00DC062C" w:rsidP="00AA7F20">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3758EBA" w14:textId="77777777" w:rsidR="00DC062C" w:rsidRPr="00F80522" w:rsidRDefault="00DC062C" w:rsidP="00AA7F20">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5FF15361" w14:textId="77777777" w:rsidR="00DC062C" w:rsidRPr="00F80522" w:rsidRDefault="00DC062C" w:rsidP="00AA7F20">
            <w:pPr>
              <w:spacing w:after="0"/>
              <w:jc w:val="center"/>
              <w:rPr>
                <w:rFonts w:cs="Arial"/>
                <w:b/>
                <w:sz w:val="14"/>
                <w:szCs w:val="14"/>
              </w:rPr>
            </w:pPr>
            <w:r>
              <w:rPr>
                <w:rFonts w:cs="Arial"/>
                <w:b/>
                <w:sz w:val="14"/>
                <w:szCs w:val="14"/>
              </w:rPr>
              <w:t xml:space="preserve">Mar </w:t>
            </w:r>
            <w:r w:rsidRPr="00F80522">
              <w:rPr>
                <w:rFonts w:cs="Arial"/>
                <w:b/>
                <w:sz w:val="14"/>
                <w:szCs w:val="14"/>
              </w:rPr>
              <w:t>3</w:t>
            </w:r>
            <w:r>
              <w:rPr>
                <w:rFonts w:cs="Arial"/>
                <w:b/>
                <w:sz w:val="14"/>
                <w:szCs w:val="14"/>
              </w:rPr>
              <w:t xml:space="preserve">1, </w:t>
            </w:r>
            <w:r w:rsidRPr="00F80522">
              <w:rPr>
                <w:rFonts w:cs="Arial"/>
                <w:b/>
                <w:sz w:val="14"/>
                <w:szCs w:val="14"/>
              </w:rPr>
              <w:t>202</w:t>
            </w:r>
            <w:r>
              <w:rPr>
                <w:rFonts w:cs="Arial"/>
                <w:b/>
                <w:sz w:val="14"/>
                <w:szCs w:val="14"/>
              </w:rPr>
              <w:t>3</w:t>
            </w:r>
          </w:p>
        </w:tc>
      </w:tr>
      <w:tr w:rsidR="00DC062C" w:rsidRPr="00F80522" w14:paraId="6F988929" w14:textId="77777777" w:rsidTr="00DC062C">
        <w:trPr>
          <w:trHeight w:val="238"/>
          <w:jc w:val="center"/>
        </w:trPr>
        <w:tc>
          <w:tcPr>
            <w:tcW w:w="2268" w:type="dxa"/>
            <w:tcBorders>
              <w:bottom w:val="single" w:sz="2" w:space="0" w:color="1F4E79" w:themeColor="accent1" w:themeShade="80"/>
            </w:tcBorders>
            <w:shd w:val="clear" w:color="auto" w:fill="auto"/>
          </w:tcPr>
          <w:p w14:paraId="72D75785" w14:textId="77777777" w:rsidR="00DC062C" w:rsidRPr="00F80522" w:rsidRDefault="00DC062C" w:rsidP="00AA7F20">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4A456B66" w14:textId="77777777" w:rsidR="00DC062C" w:rsidRPr="00F80522" w:rsidRDefault="00DC062C" w:rsidP="00AA7F20">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435F90D" w14:textId="77777777" w:rsidR="00DC062C" w:rsidRPr="00F80522" w:rsidRDefault="00DC062C" w:rsidP="00AA7F20">
            <w:pPr>
              <w:spacing w:after="0"/>
              <w:jc w:val="center"/>
              <w:rPr>
                <w:rFonts w:cs="Arial"/>
                <w:b/>
                <w:sz w:val="14"/>
                <w:szCs w:val="14"/>
              </w:rPr>
            </w:pPr>
            <w:r w:rsidRPr="00E12B62">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5A04F21" w14:textId="77777777" w:rsidR="00DC062C" w:rsidRPr="00F80522" w:rsidRDefault="00DC062C" w:rsidP="00AA7F20">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2084B93" w14:textId="77777777" w:rsidR="00DC062C" w:rsidRPr="00F80522" w:rsidRDefault="00DC062C" w:rsidP="00AA7F20">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3483526" w14:textId="77777777" w:rsidR="00DC062C" w:rsidRPr="00F80522" w:rsidRDefault="00DC062C" w:rsidP="00AA7F20">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42BB843" w14:textId="77777777" w:rsidR="00DC062C" w:rsidRPr="00F80522" w:rsidRDefault="00DC062C" w:rsidP="00AA7F20">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C48CACA" w14:textId="77777777" w:rsidR="00DC062C" w:rsidRPr="00F80522" w:rsidRDefault="00DC062C" w:rsidP="00AA7F20">
            <w:pPr>
              <w:pStyle w:val="08-Tabelageral"/>
              <w:jc w:val="center"/>
              <w:rPr>
                <w:rFonts w:cs="Arial"/>
                <w:b/>
              </w:rPr>
            </w:pPr>
            <w:r w:rsidRPr="004071D8">
              <w:rPr>
                <w:rFonts w:cs="Arial"/>
                <w:b/>
              </w:rPr>
              <w:t>Market Value</w:t>
            </w:r>
          </w:p>
        </w:tc>
      </w:tr>
      <w:tr w:rsidR="00DC062C" w:rsidRPr="00F80522" w14:paraId="28CE39AA" w14:textId="77777777" w:rsidTr="00DC062C">
        <w:trPr>
          <w:trHeight w:val="238"/>
          <w:jc w:val="center"/>
        </w:trPr>
        <w:tc>
          <w:tcPr>
            <w:tcW w:w="2268" w:type="dxa"/>
            <w:shd w:val="clear" w:color="auto" w:fill="auto"/>
          </w:tcPr>
          <w:p w14:paraId="49D2EBAC" w14:textId="77777777" w:rsidR="00DC062C" w:rsidRPr="00F80522" w:rsidRDefault="00DC062C" w:rsidP="00AA7F20">
            <w:pPr>
              <w:pStyle w:val="08-Tabelageral"/>
              <w:jc w:val="left"/>
              <w:rPr>
                <w:szCs w:val="14"/>
              </w:rPr>
            </w:pPr>
            <w:bookmarkStart w:id="48" w:name="_Hlk126155154"/>
            <w:r>
              <w:rPr>
                <w:szCs w:val="14"/>
              </w:rPr>
              <w:t>TPF</w:t>
            </w:r>
            <w:r w:rsidRPr="00F80522">
              <w:rPr>
                <w:szCs w:val="14"/>
              </w:rPr>
              <w:t xml:space="preserve"> </w:t>
            </w:r>
            <w:r w:rsidRPr="00F80522">
              <w:rPr>
                <w:szCs w:val="14"/>
                <w:vertAlign w:val="superscript"/>
              </w:rPr>
              <w:t>(</w:t>
            </w:r>
            <w:r>
              <w:rPr>
                <w:szCs w:val="14"/>
                <w:vertAlign w:val="superscript"/>
              </w:rPr>
              <w:t>1</w:t>
            </w:r>
            <w:r w:rsidRPr="00F80522">
              <w:rPr>
                <w:szCs w:val="14"/>
                <w:vertAlign w:val="superscript"/>
              </w:rPr>
              <w:t>)</w:t>
            </w:r>
          </w:p>
        </w:tc>
        <w:tc>
          <w:tcPr>
            <w:tcW w:w="993" w:type="dxa"/>
            <w:tcBorders>
              <w:top w:val="single" w:sz="2" w:space="0" w:color="1F4E79" w:themeColor="accent1" w:themeShade="80"/>
              <w:left w:val="nil"/>
              <w:bottom w:val="nil"/>
              <w:right w:val="nil"/>
            </w:tcBorders>
            <w:shd w:val="clear" w:color="auto" w:fill="auto"/>
          </w:tcPr>
          <w:p w14:paraId="3BA7F00A" w14:textId="77777777" w:rsidR="00DC062C" w:rsidRPr="00F80522" w:rsidRDefault="00DC062C" w:rsidP="00AA7F20">
            <w:pPr>
              <w:pStyle w:val="08-Tabelageral"/>
              <w:rPr>
                <w:szCs w:val="14"/>
              </w:rPr>
            </w:pPr>
            <w:r w:rsidRPr="005160FB">
              <w:t>347</w:t>
            </w:r>
            <w:r>
              <w:t>,</w:t>
            </w:r>
            <w:r w:rsidRPr="005160FB">
              <w:t>020</w:t>
            </w:r>
          </w:p>
        </w:tc>
        <w:tc>
          <w:tcPr>
            <w:tcW w:w="992" w:type="dxa"/>
            <w:tcBorders>
              <w:top w:val="single" w:sz="2" w:space="0" w:color="1F4E79" w:themeColor="accent1" w:themeShade="80"/>
              <w:left w:val="nil"/>
              <w:bottom w:val="nil"/>
              <w:right w:val="nil"/>
            </w:tcBorders>
            <w:shd w:val="clear" w:color="auto" w:fill="auto"/>
          </w:tcPr>
          <w:p w14:paraId="34B07F35" w14:textId="77777777" w:rsidR="00DC062C" w:rsidRPr="00F80522" w:rsidRDefault="00DC062C" w:rsidP="00AA7F20">
            <w:pPr>
              <w:pStyle w:val="08-Tabelageral"/>
              <w:rPr>
                <w:szCs w:val="14"/>
              </w:rPr>
            </w:pPr>
            <w:r w:rsidRPr="005160FB">
              <w:t>350</w:t>
            </w:r>
            <w:r>
              <w:t>,</w:t>
            </w:r>
            <w:r w:rsidRPr="005160FB">
              <w:t>217</w:t>
            </w:r>
          </w:p>
        </w:tc>
        <w:tc>
          <w:tcPr>
            <w:tcW w:w="1134" w:type="dxa"/>
            <w:tcBorders>
              <w:top w:val="single" w:sz="2" w:space="0" w:color="1F4E79" w:themeColor="accent1" w:themeShade="80"/>
              <w:left w:val="nil"/>
              <w:bottom w:val="nil"/>
              <w:right w:val="nil"/>
            </w:tcBorders>
            <w:shd w:val="clear" w:color="auto" w:fill="auto"/>
          </w:tcPr>
          <w:p w14:paraId="720CEA58" w14:textId="77777777" w:rsidR="00DC062C" w:rsidRPr="00F80522" w:rsidRDefault="00DC062C" w:rsidP="00AA7F20">
            <w:pPr>
              <w:pStyle w:val="08-Tabelageral"/>
              <w:rPr>
                <w:szCs w:val="14"/>
              </w:rPr>
            </w:pPr>
            <w:r>
              <w:rPr>
                <w:rFonts w:cs="Arial"/>
              </w:rPr>
              <w:t>634,069</w:t>
            </w:r>
          </w:p>
        </w:tc>
        <w:tc>
          <w:tcPr>
            <w:tcW w:w="1134" w:type="dxa"/>
            <w:tcBorders>
              <w:top w:val="single" w:sz="2" w:space="0" w:color="1F4E79" w:themeColor="accent1" w:themeShade="80"/>
              <w:left w:val="nil"/>
              <w:bottom w:val="nil"/>
              <w:right w:val="nil"/>
            </w:tcBorders>
            <w:shd w:val="clear" w:color="auto" w:fill="auto"/>
          </w:tcPr>
          <w:p w14:paraId="748726DB" w14:textId="77777777" w:rsidR="00DC062C" w:rsidRPr="00F80522" w:rsidRDefault="00DC062C" w:rsidP="00AA7F20">
            <w:pPr>
              <w:pStyle w:val="08-Tabelageral"/>
              <w:rPr>
                <w:szCs w:val="14"/>
              </w:rPr>
            </w:pPr>
            <w:r>
              <w:rPr>
                <w:rFonts w:cs="Arial"/>
              </w:rPr>
              <w:t>--</w:t>
            </w:r>
          </w:p>
        </w:tc>
        <w:tc>
          <w:tcPr>
            <w:tcW w:w="1134" w:type="dxa"/>
            <w:tcBorders>
              <w:top w:val="single" w:sz="2" w:space="0" w:color="1F4E79" w:themeColor="accent1" w:themeShade="80"/>
              <w:left w:val="nil"/>
              <w:bottom w:val="nil"/>
              <w:right w:val="nil"/>
            </w:tcBorders>
            <w:shd w:val="clear" w:color="auto" w:fill="auto"/>
          </w:tcPr>
          <w:p w14:paraId="7FEA872E" w14:textId="77777777" w:rsidR="00DC062C" w:rsidRPr="00F80522" w:rsidRDefault="00DC062C" w:rsidP="00AA7F20">
            <w:pPr>
              <w:pStyle w:val="08-Tabelageral"/>
              <w:rPr>
                <w:rFonts w:cs="Arial"/>
                <w:szCs w:val="14"/>
              </w:rPr>
            </w:pPr>
            <w:r>
              <w:rPr>
                <w:rFonts w:cs="Arial"/>
              </w:rPr>
              <w:t>23,214</w:t>
            </w:r>
          </w:p>
        </w:tc>
        <w:tc>
          <w:tcPr>
            <w:tcW w:w="992" w:type="dxa"/>
            <w:tcBorders>
              <w:top w:val="single" w:sz="2" w:space="0" w:color="1F4E79" w:themeColor="accent1" w:themeShade="80"/>
              <w:left w:val="nil"/>
              <w:bottom w:val="nil"/>
              <w:right w:val="nil"/>
            </w:tcBorders>
            <w:shd w:val="clear" w:color="auto" w:fill="auto"/>
          </w:tcPr>
          <w:p w14:paraId="6350F801" w14:textId="77777777" w:rsidR="00DC062C" w:rsidRPr="00F80522" w:rsidRDefault="00DC062C" w:rsidP="00AA7F20">
            <w:pPr>
              <w:pStyle w:val="08-Tabelageral"/>
              <w:rPr>
                <w:szCs w:val="14"/>
              </w:rPr>
            </w:pPr>
            <w:r>
              <w:rPr>
                <w:rFonts w:cs="Arial"/>
              </w:rPr>
              <w:t>981,089</w:t>
            </w:r>
          </w:p>
        </w:tc>
        <w:tc>
          <w:tcPr>
            <w:tcW w:w="992" w:type="dxa"/>
            <w:tcBorders>
              <w:top w:val="single" w:sz="2" w:space="0" w:color="1F4E79" w:themeColor="accent1" w:themeShade="80"/>
              <w:left w:val="nil"/>
              <w:bottom w:val="nil"/>
              <w:right w:val="nil"/>
            </w:tcBorders>
            <w:shd w:val="clear" w:color="auto" w:fill="auto"/>
          </w:tcPr>
          <w:p w14:paraId="344727CA" w14:textId="77777777" w:rsidR="00DC062C" w:rsidRPr="00F80522" w:rsidRDefault="00DC062C" w:rsidP="00AA7F20">
            <w:pPr>
              <w:pStyle w:val="08-Tabelageral"/>
              <w:rPr>
                <w:szCs w:val="14"/>
              </w:rPr>
            </w:pPr>
            <w:r>
              <w:rPr>
                <w:rFonts w:cs="Arial"/>
              </w:rPr>
              <w:t>1,007,500</w:t>
            </w:r>
          </w:p>
        </w:tc>
      </w:tr>
      <w:tr w:rsidR="00DC062C" w:rsidRPr="00F80522" w14:paraId="7D62887E" w14:textId="77777777" w:rsidTr="00DC062C">
        <w:trPr>
          <w:trHeight w:val="238"/>
          <w:jc w:val="center"/>
        </w:trPr>
        <w:tc>
          <w:tcPr>
            <w:tcW w:w="2268" w:type="dxa"/>
            <w:shd w:val="clear" w:color="auto" w:fill="auto"/>
          </w:tcPr>
          <w:p w14:paraId="0A86FAF7" w14:textId="77777777" w:rsidR="00DC062C" w:rsidRPr="00F80522" w:rsidRDefault="00DC062C" w:rsidP="00AA7F20">
            <w:pPr>
              <w:pStyle w:val="08-Tabelageral"/>
              <w:jc w:val="left"/>
              <w:rPr>
                <w:szCs w:val="14"/>
              </w:rPr>
            </w:pPr>
            <w:r w:rsidRPr="004071D8">
              <w:rPr>
                <w:szCs w:val="14"/>
              </w:rPr>
              <w:t>Long-term fund</w:t>
            </w:r>
            <w:r w:rsidRPr="00F80522">
              <w:rPr>
                <w:szCs w:val="14"/>
              </w:rPr>
              <w:t xml:space="preserve"> </w:t>
            </w:r>
            <w:r w:rsidRPr="00F80522">
              <w:rPr>
                <w:szCs w:val="14"/>
                <w:vertAlign w:val="superscript"/>
              </w:rPr>
              <w:t>(</w:t>
            </w:r>
            <w:r>
              <w:rPr>
                <w:szCs w:val="14"/>
                <w:vertAlign w:val="superscript"/>
              </w:rPr>
              <w:t>2</w:t>
            </w:r>
            <w:r w:rsidRPr="00F80522">
              <w:rPr>
                <w:szCs w:val="14"/>
                <w:vertAlign w:val="superscript"/>
              </w:rPr>
              <w:t>)</w:t>
            </w:r>
          </w:p>
        </w:tc>
        <w:tc>
          <w:tcPr>
            <w:tcW w:w="993" w:type="dxa"/>
            <w:tcBorders>
              <w:top w:val="nil"/>
              <w:left w:val="nil"/>
              <w:bottom w:val="nil"/>
              <w:right w:val="nil"/>
            </w:tcBorders>
            <w:shd w:val="clear" w:color="auto" w:fill="auto"/>
          </w:tcPr>
          <w:p w14:paraId="77567ECA" w14:textId="77777777" w:rsidR="00DC062C" w:rsidRPr="00F80522" w:rsidRDefault="00DC062C" w:rsidP="00AA7F20">
            <w:pPr>
              <w:pStyle w:val="08-Tabelageral"/>
              <w:rPr>
                <w:szCs w:val="14"/>
              </w:rPr>
            </w:pPr>
            <w:r w:rsidRPr="005160FB">
              <w:t>10</w:t>
            </w:r>
            <w:r>
              <w:t>,</w:t>
            </w:r>
            <w:r w:rsidRPr="005160FB">
              <w:t>572</w:t>
            </w:r>
          </w:p>
        </w:tc>
        <w:tc>
          <w:tcPr>
            <w:tcW w:w="992" w:type="dxa"/>
            <w:tcBorders>
              <w:top w:val="nil"/>
              <w:left w:val="nil"/>
              <w:bottom w:val="nil"/>
              <w:right w:val="nil"/>
            </w:tcBorders>
            <w:shd w:val="clear" w:color="auto" w:fill="auto"/>
          </w:tcPr>
          <w:p w14:paraId="4C4AF9E7" w14:textId="77777777" w:rsidR="00DC062C" w:rsidRPr="00F80522" w:rsidRDefault="00DC062C" w:rsidP="00AA7F20">
            <w:pPr>
              <w:pStyle w:val="08-Tabelageral"/>
              <w:rPr>
                <w:szCs w:val="14"/>
              </w:rPr>
            </w:pPr>
            <w:r w:rsidRPr="005160FB">
              <w:t>18</w:t>
            </w:r>
            <w:r>
              <w:t>,</w:t>
            </w:r>
            <w:r w:rsidRPr="005160FB">
              <w:t>064</w:t>
            </w:r>
          </w:p>
        </w:tc>
        <w:tc>
          <w:tcPr>
            <w:tcW w:w="1134" w:type="dxa"/>
            <w:tcBorders>
              <w:top w:val="nil"/>
              <w:left w:val="nil"/>
              <w:bottom w:val="nil"/>
              <w:right w:val="nil"/>
            </w:tcBorders>
            <w:shd w:val="clear" w:color="auto" w:fill="auto"/>
          </w:tcPr>
          <w:p w14:paraId="7361E9C2" w14:textId="77777777" w:rsidR="00DC062C" w:rsidRPr="00F80522" w:rsidRDefault="00DC062C" w:rsidP="00AA7F20">
            <w:pPr>
              <w:pStyle w:val="08-Tabelageral"/>
              <w:rPr>
                <w:szCs w:val="14"/>
              </w:rPr>
            </w:pPr>
            <w:r w:rsidRPr="00EB4468">
              <w:rPr>
                <w:rFonts w:cs="Arial"/>
                <w:bCs/>
              </w:rPr>
              <w:t>712</w:t>
            </w:r>
          </w:p>
        </w:tc>
        <w:tc>
          <w:tcPr>
            <w:tcW w:w="1134" w:type="dxa"/>
            <w:tcBorders>
              <w:top w:val="nil"/>
              <w:left w:val="nil"/>
              <w:bottom w:val="nil"/>
              <w:right w:val="nil"/>
            </w:tcBorders>
            <w:shd w:val="clear" w:color="auto" w:fill="auto"/>
          </w:tcPr>
          <w:p w14:paraId="0E51A553" w14:textId="77777777" w:rsidR="00DC062C" w:rsidRPr="00F80522" w:rsidRDefault="00DC062C" w:rsidP="00AA7F20">
            <w:pPr>
              <w:pStyle w:val="08-Tabelageral"/>
              <w:rPr>
                <w:szCs w:val="14"/>
              </w:rPr>
            </w:pPr>
            <w:r>
              <w:rPr>
                <w:rFonts w:cs="Arial"/>
                <w:bCs/>
              </w:rPr>
              <w:t>--</w:t>
            </w:r>
          </w:p>
        </w:tc>
        <w:tc>
          <w:tcPr>
            <w:tcW w:w="1134" w:type="dxa"/>
            <w:tcBorders>
              <w:top w:val="nil"/>
              <w:left w:val="nil"/>
              <w:bottom w:val="nil"/>
              <w:right w:val="nil"/>
            </w:tcBorders>
            <w:shd w:val="clear" w:color="auto" w:fill="auto"/>
          </w:tcPr>
          <w:p w14:paraId="6D401FB7" w14:textId="77777777" w:rsidR="00DC062C" w:rsidRPr="00F80522" w:rsidRDefault="00DC062C" w:rsidP="00AA7F20">
            <w:pPr>
              <w:pStyle w:val="08-Tabelageral"/>
              <w:rPr>
                <w:rFonts w:cs="Arial"/>
                <w:szCs w:val="14"/>
              </w:rPr>
            </w:pPr>
            <w:r>
              <w:rPr>
                <w:rFonts w:cs="Arial"/>
                <w:bCs/>
              </w:rPr>
              <w:t>(1,530)</w:t>
            </w:r>
          </w:p>
        </w:tc>
        <w:tc>
          <w:tcPr>
            <w:tcW w:w="992" w:type="dxa"/>
            <w:tcBorders>
              <w:top w:val="nil"/>
              <w:left w:val="nil"/>
              <w:bottom w:val="nil"/>
              <w:right w:val="nil"/>
            </w:tcBorders>
            <w:shd w:val="clear" w:color="auto" w:fill="auto"/>
          </w:tcPr>
          <w:p w14:paraId="500DA305" w14:textId="77777777" w:rsidR="00DC062C" w:rsidRPr="00F80522" w:rsidRDefault="00DC062C" w:rsidP="00AA7F20">
            <w:pPr>
              <w:pStyle w:val="08-Tabelageral"/>
              <w:rPr>
                <w:szCs w:val="14"/>
              </w:rPr>
            </w:pPr>
            <w:r>
              <w:rPr>
                <w:rFonts w:cs="Arial"/>
                <w:bCs/>
              </w:rPr>
              <w:t>11,284</w:t>
            </w:r>
          </w:p>
        </w:tc>
        <w:tc>
          <w:tcPr>
            <w:tcW w:w="992" w:type="dxa"/>
            <w:tcBorders>
              <w:top w:val="nil"/>
              <w:left w:val="nil"/>
              <w:bottom w:val="nil"/>
              <w:right w:val="nil"/>
            </w:tcBorders>
            <w:shd w:val="clear" w:color="auto" w:fill="auto"/>
          </w:tcPr>
          <w:p w14:paraId="3633D441" w14:textId="77777777" w:rsidR="00DC062C" w:rsidRPr="00F80522" w:rsidRDefault="00DC062C" w:rsidP="00AA7F20">
            <w:pPr>
              <w:pStyle w:val="08-Tabelageral"/>
              <w:rPr>
                <w:szCs w:val="14"/>
              </w:rPr>
            </w:pPr>
            <w:r>
              <w:rPr>
                <w:rFonts w:cs="Arial"/>
                <w:bCs/>
              </w:rPr>
              <w:t>17,246</w:t>
            </w:r>
          </w:p>
        </w:tc>
      </w:tr>
      <w:bookmarkEnd w:id="48"/>
      <w:tr w:rsidR="00DC062C" w:rsidRPr="00F80522" w14:paraId="55AA1EDA" w14:textId="77777777" w:rsidTr="00DC062C">
        <w:trPr>
          <w:trHeight w:val="238"/>
          <w:jc w:val="center"/>
        </w:trPr>
        <w:tc>
          <w:tcPr>
            <w:tcW w:w="2268" w:type="dxa"/>
            <w:tcBorders>
              <w:bottom w:val="single" w:sz="2" w:space="0" w:color="1F4E79" w:themeColor="accent1" w:themeShade="80"/>
            </w:tcBorders>
            <w:shd w:val="clear" w:color="auto" w:fill="auto"/>
          </w:tcPr>
          <w:p w14:paraId="481B4388" w14:textId="77777777" w:rsidR="00DC062C" w:rsidRPr="00F80522" w:rsidRDefault="00DC062C" w:rsidP="00AA7F20">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tcPr>
          <w:p w14:paraId="58FA98B0" w14:textId="77777777" w:rsidR="00DC062C" w:rsidRPr="00F80522" w:rsidRDefault="00DC062C" w:rsidP="00AA7F20">
            <w:pPr>
              <w:pStyle w:val="08-Tabelageral"/>
              <w:rPr>
                <w:b/>
                <w:szCs w:val="14"/>
              </w:rPr>
            </w:pPr>
            <w:r w:rsidRPr="009D1FB8">
              <w:rPr>
                <w:b/>
                <w:bCs/>
              </w:rPr>
              <w:t>357</w:t>
            </w:r>
            <w:r>
              <w:rPr>
                <w:b/>
                <w:bCs/>
              </w:rPr>
              <w:t>,</w:t>
            </w:r>
            <w:r w:rsidRPr="009D1FB8">
              <w:rPr>
                <w:b/>
                <w:bCs/>
              </w:rPr>
              <w:t>592</w:t>
            </w:r>
          </w:p>
        </w:tc>
        <w:tc>
          <w:tcPr>
            <w:tcW w:w="992" w:type="dxa"/>
            <w:tcBorders>
              <w:top w:val="nil"/>
              <w:left w:val="nil"/>
              <w:bottom w:val="single" w:sz="2" w:space="0" w:color="1F4E79" w:themeColor="accent1" w:themeShade="80"/>
              <w:right w:val="nil"/>
            </w:tcBorders>
            <w:shd w:val="clear" w:color="auto" w:fill="auto"/>
          </w:tcPr>
          <w:p w14:paraId="20C08170" w14:textId="77777777" w:rsidR="00DC062C" w:rsidRPr="00F80522" w:rsidRDefault="00DC062C" w:rsidP="00AA7F20">
            <w:pPr>
              <w:pStyle w:val="08-Tabelageral"/>
              <w:rPr>
                <w:b/>
                <w:szCs w:val="14"/>
              </w:rPr>
            </w:pPr>
            <w:r w:rsidRPr="009D1FB8">
              <w:rPr>
                <w:b/>
                <w:bCs/>
              </w:rPr>
              <w:t>368</w:t>
            </w:r>
            <w:r>
              <w:rPr>
                <w:b/>
                <w:bCs/>
              </w:rPr>
              <w:t>,</w:t>
            </w:r>
            <w:r w:rsidRPr="009D1FB8">
              <w:rPr>
                <w:b/>
                <w:bCs/>
              </w:rPr>
              <w:t>281</w:t>
            </w:r>
          </w:p>
        </w:tc>
        <w:tc>
          <w:tcPr>
            <w:tcW w:w="1134" w:type="dxa"/>
            <w:tcBorders>
              <w:top w:val="nil"/>
              <w:left w:val="nil"/>
              <w:bottom w:val="single" w:sz="2" w:space="0" w:color="1F4E79" w:themeColor="accent1" w:themeShade="80"/>
              <w:right w:val="nil"/>
            </w:tcBorders>
            <w:shd w:val="clear" w:color="auto" w:fill="auto"/>
          </w:tcPr>
          <w:p w14:paraId="143275F0" w14:textId="77777777" w:rsidR="00DC062C" w:rsidRPr="00F80522" w:rsidRDefault="00DC062C" w:rsidP="00AA7F20">
            <w:pPr>
              <w:pStyle w:val="08-Tabelageral"/>
              <w:rPr>
                <w:b/>
                <w:szCs w:val="14"/>
              </w:rPr>
            </w:pPr>
            <w:r>
              <w:rPr>
                <w:rFonts w:cs="Arial"/>
                <w:b/>
                <w:bCs/>
              </w:rPr>
              <w:t>634,781</w:t>
            </w:r>
          </w:p>
        </w:tc>
        <w:tc>
          <w:tcPr>
            <w:tcW w:w="1134" w:type="dxa"/>
            <w:tcBorders>
              <w:top w:val="nil"/>
              <w:left w:val="nil"/>
              <w:bottom w:val="single" w:sz="2" w:space="0" w:color="1F4E79" w:themeColor="accent1" w:themeShade="80"/>
              <w:right w:val="nil"/>
            </w:tcBorders>
            <w:shd w:val="clear" w:color="auto" w:fill="auto"/>
          </w:tcPr>
          <w:p w14:paraId="6EE34044" w14:textId="77777777" w:rsidR="00DC062C" w:rsidRPr="00F80522" w:rsidRDefault="00DC062C" w:rsidP="00AA7F20">
            <w:pPr>
              <w:pStyle w:val="08-Tabelageral"/>
              <w:rPr>
                <w:b/>
                <w:szCs w:val="14"/>
              </w:rPr>
            </w:pPr>
            <w:r>
              <w:rPr>
                <w:rFonts w:cs="Arial"/>
                <w:b/>
                <w:bCs/>
              </w:rPr>
              <w:t>--</w:t>
            </w:r>
          </w:p>
        </w:tc>
        <w:tc>
          <w:tcPr>
            <w:tcW w:w="1134" w:type="dxa"/>
            <w:tcBorders>
              <w:top w:val="nil"/>
              <w:left w:val="nil"/>
              <w:bottom w:val="single" w:sz="2" w:space="0" w:color="1F4E79" w:themeColor="accent1" w:themeShade="80"/>
              <w:right w:val="nil"/>
            </w:tcBorders>
            <w:shd w:val="clear" w:color="auto" w:fill="auto"/>
          </w:tcPr>
          <w:p w14:paraId="1F2566DE" w14:textId="77777777" w:rsidR="00DC062C" w:rsidRPr="00F80522" w:rsidRDefault="00DC062C" w:rsidP="00AA7F20">
            <w:pPr>
              <w:pStyle w:val="08-Tabelageral"/>
              <w:rPr>
                <w:rFonts w:cs="Arial"/>
                <w:b/>
                <w:szCs w:val="14"/>
              </w:rPr>
            </w:pPr>
            <w:r>
              <w:rPr>
                <w:rFonts w:cs="Arial"/>
                <w:b/>
                <w:bCs/>
              </w:rPr>
              <w:t>21,684</w:t>
            </w:r>
          </w:p>
        </w:tc>
        <w:tc>
          <w:tcPr>
            <w:tcW w:w="992" w:type="dxa"/>
            <w:tcBorders>
              <w:top w:val="nil"/>
              <w:left w:val="nil"/>
              <w:bottom w:val="single" w:sz="2" w:space="0" w:color="1F4E79" w:themeColor="accent1" w:themeShade="80"/>
              <w:right w:val="nil"/>
            </w:tcBorders>
            <w:shd w:val="clear" w:color="auto" w:fill="auto"/>
          </w:tcPr>
          <w:p w14:paraId="78E8175B" w14:textId="77777777" w:rsidR="00DC062C" w:rsidRPr="00F80522" w:rsidRDefault="00DC062C" w:rsidP="00AA7F20">
            <w:pPr>
              <w:pStyle w:val="08-Tabelageral"/>
              <w:rPr>
                <w:b/>
                <w:szCs w:val="14"/>
              </w:rPr>
            </w:pPr>
            <w:r>
              <w:rPr>
                <w:rFonts w:cs="Arial"/>
                <w:b/>
                <w:bCs/>
              </w:rPr>
              <w:t>992,373</w:t>
            </w:r>
          </w:p>
        </w:tc>
        <w:tc>
          <w:tcPr>
            <w:tcW w:w="992" w:type="dxa"/>
            <w:tcBorders>
              <w:top w:val="nil"/>
              <w:left w:val="nil"/>
              <w:bottom w:val="single" w:sz="2" w:space="0" w:color="1F4E79" w:themeColor="accent1" w:themeShade="80"/>
              <w:right w:val="nil"/>
            </w:tcBorders>
            <w:shd w:val="clear" w:color="auto" w:fill="auto"/>
          </w:tcPr>
          <w:p w14:paraId="7AD4ED8C" w14:textId="77777777" w:rsidR="00DC062C" w:rsidRPr="00F80522" w:rsidRDefault="00DC062C" w:rsidP="00AA7F20">
            <w:pPr>
              <w:pStyle w:val="08-Tabelageral"/>
              <w:rPr>
                <w:b/>
                <w:szCs w:val="14"/>
              </w:rPr>
            </w:pPr>
            <w:r>
              <w:rPr>
                <w:rFonts w:cs="Arial"/>
                <w:b/>
                <w:bCs/>
              </w:rPr>
              <w:t>1,024,746</w:t>
            </w:r>
          </w:p>
        </w:tc>
      </w:tr>
    </w:tbl>
    <w:p w14:paraId="7A6E68EF" w14:textId="77777777" w:rsidR="00DC062C" w:rsidRPr="000C2D31" w:rsidRDefault="00DC062C" w:rsidP="00AA7F20">
      <w:pPr>
        <w:pStyle w:val="PargrafodaLista"/>
        <w:numPr>
          <w:ilvl w:val="0"/>
          <w:numId w:val="21"/>
        </w:numPr>
        <w:spacing w:after="0"/>
        <w:ind w:left="0"/>
        <w:jc w:val="both"/>
        <w:rPr>
          <w:rFonts w:ascii="Arial" w:eastAsia="Times New Roman" w:hAnsi="Arial" w:cs="Times New Roman"/>
          <w:spacing w:val="-2"/>
          <w:sz w:val="14"/>
          <w:szCs w:val="18"/>
          <w:lang w:val="en-US" w:eastAsia="pt-BR"/>
        </w:rPr>
      </w:pPr>
      <w:r w:rsidRPr="000C2D31">
        <w:rPr>
          <w:rFonts w:ascii="Arial" w:eastAsia="Times New Roman" w:hAnsi="Arial" w:cs="Times New Roman"/>
          <w:spacing w:val="-2"/>
          <w:sz w:val="14"/>
          <w:szCs w:val="18"/>
          <w:lang w:val="en-US" w:eastAsia="pt-BR"/>
        </w:rPr>
        <w:t>Amounts invested in Federal Public Bonds, in their entirety LFTs maturing in 09.2025 and 03.2026.</w:t>
      </w:r>
    </w:p>
    <w:p w14:paraId="78BC8D8F" w14:textId="77777777" w:rsidR="00DC062C" w:rsidRDefault="00DC062C" w:rsidP="00AA7F20">
      <w:pPr>
        <w:pStyle w:val="07-Legenda"/>
        <w:numPr>
          <w:ilvl w:val="0"/>
          <w:numId w:val="21"/>
        </w:numPr>
        <w:spacing w:line="276" w:lineRule="auto"/>
        <w:ind w:left="0"/>
        <w:rPr>
          <w:lang w:val="en-US"/>
        </w:rPr>
      </w:pPr>
      <w:r w:rsidRPr="000C2D31">
        <w:rPr>
          <w:lang w:val="en-US"/>
        </w:rPr>
        <w:t>Refers to investments in Private Equity Investment Funds (FIP) whose objective is to invest its Shareholders' Equity in the acquisition of shares, or financial instruments that present participation, in companies in the initial stage of operation.</w:t>
      </w:r>
    </w:p>
    <w:p w14:paraId="748FA726" w14:textId="77777777" w:rsidR="00DC062C" w:rsidRPr="00050B4D" w:rsidRDefault="00DC062C" w:rsidP="00AA7F20">
      <w:pPr>
        <w:pStyle w:val="05-Textonormal"/>
        <w:rPr>
          <w:lang w:val="en-US"/>
        </w:rPr>
      </w:pPr>
      <w:r w:rsidRPr="003F486A">
        <w:rPr>
          <w:lang w:val="en-US"/>
        </w:rPr>
        <w:t xml:space="preserve">As of the </w:t>
      </w:r>
      <w:r>
        <w:rPr>
          <w:lang w:val="en-US"/>
        </w:rPr>
        <w:t>fourth</w:t>
      </w:r>
      <w:r w:rsidRPr="003F486A">
        <w:rPr>
          <w:lang w:val="en-US"/>
        </w:rPr>
        <w:t xml:space="preserve"> quarter of 2022, the Company started to allocate resources in direct investments in Financial Treasury Bills (LFTs). This movement is in line with the Financial Investment Policy and the strategy of seeking greater profitability, considering the horizon of demandability of the Company's liabilities.</w:t>
      </w:r>
    </w:p>
    <w:p w14:paraId="460C54EA" w14:textId="77777777" w:rsidR="00DC062C" w:rsidRPr="003F486A" w:rsidRDefault="00DC062C" w:rsidP="00AA7F20">
      <w:pPr>
        <w:pStyle w:val="05-Textonormal"/>
        <w:numPr>
          <w:ilvl w:val="0"/>
          <w:numId w:val="7"/>
        </w:numPr>
        <w:ind w:left="0"/>
        <w:rPr>
          <w:b/>
          <w:color w:val="1F4E79" w:themeColor="accent1" w:themeShade="80"/>
          <w:lang w:val="en-US"/>
        </w:rPr>
      </w:pPr>
      <w:r w:rsidRPr="003F486A">
        <w:rPr>
          <w:b/>
          <w:color w:val="1F4E79" w:themeColor="accent1" w:themeShade="80"/>
          <w:lang w:val="en-US"/>
        </w:rPr>
        <w:t>Fair Value Hierarchy</w:t>
      </w:r>
      <w:r w:rsidRPr="003F486A">
        <w:rPr>
          <w:b/>
          <w:color w:val="1F4E79" w:themeColor="accent1" w:themeShade="80"/>
          <w:lang w:val="en-US"/>
        </w:rPr>
        <w:tab/>
      </w:r>
    </w:p>
    <w:p w14:paraId="62227570" w14:textId="77777777" w:rsidR="00DC062C" w:rsidRPr="003F486A" w:rsidRDefault="00DC062C" w:rsidP="00AA7F20">
      <w:pPr>
        <w:pStyle w:val="05-Textonormal"/>
        <w:rPr>
          <w:highlight w:val="yellow"/>
          <w:lang w:val="en-US"/>
        </w:rPr>
      </w:pPr>
      <w:r w:rsidRPr="00D5372A">
        <w:rPr>
          <w:lang w:val="en-US"/>
        </w:rPr>
        <w:t xml:space="preserve">The Company classifies financial instruments into three levels of subjectivity in determining fair value. </w:t>
      </w:r>
      <w:r w:rsidRPr="003F486A">
        <w:rPr>
          <w:lang w:val="en-US"/>
        </w:rPr>
        <w:t>The different levels are defined as follows:</w:t>
      </w:r>
    </w:p>
    <w:p w14:paraId="5F00411F" w14:textId="77777777" w:rsidR="00DC062C" w:rsidRPr="00D5372A" w:rsidRDefault="00DC062C" w:rsidP="00AA7F20">
      <w:pPr>
        <w:pStyle w:val="05-Textonormal"/>
        <w:numPr>
          <w:ilvl w:val="0"/>
          <w:numId w:val="1"/>
        </w:numPr>
        <w:ind w:left="0"/>
        <w:rPr>
          <w:lang w:val="en-US"/>
        </w:rPr>
      </w:pPr>
      <w:r w:rsidRPr="00D5372A">
        <w:rPr>
          <w:lang w:val="en-US"/>
        </w:rPr>
        <w:t>Level 1: Quoted prices in active markets for identical assets or liabilities;</w:t>
      </w:r>
    </w:p>
    <w:p w14:paraId="27CF30A2" w14:textId="77777777" w:rsidR="00DC062C" w:rsidRPr="00D5372A" w:rsidRDefault="00DC062C" w:rsidP="00AA7F20">
      <w:pPr>
        <w:pStyle w:val="05-Textonormal"/>
        <w:numPr>
          <w:ilvl w:val="0"/>
          <w:numId w:val="1"/>
        </w:numPr>
        <w:ind w:left="0"/>
        <w:rPr>
          <w:b/>
          <w:color w:val="1F4E79" w:themeColor="accent1" w:themeShade="80"/>
          <w:lang w:val="en-US"/>
        </w:rPr>
      </w:pPr>
      <w:r w:rsidRPr="00D5372A">
        <w:rPr>
          <w:lang w:val="en-US"/>
        </w:rPr>
        <w:t xml:space="preserve">Level 2: Inputs other than quoted prices included within Level 1 that are observable for the asset or liability, either directly (prices) or indirectly (derived from prices); </w:t>
      </w:r>
    </w:p>
    <w:p w14:paraId="52897FAE" w14:textId="77777777" w:rsidR="00DC062C" w:rsidRPr="00D5372A" w:rsidRDefault="00DC062C" w:rsidP="00AA7F20">
      <w:pPr>
        <w:pStyle w:val="05-Textonormal"/>
        <w:numPr>
          <w:ilvl w:val="0"/>
          <w:numId w:val="1"/>
        </w:numPr>
        <w:ind w:left="0"/>
        <w:rPr>
          <w:b/>
          <w:color w:val="1F4E79" w:themeColor="accent1" w:themeShade="80"/>
          <w:lang w:val="en-US"/>
        </w:rPr>
      </w:pPr>
      <w:r w:rsidRPr="00D5372A">
        <w:rPr>
          <w:lang w:val="en-US"/>
        </w:rPr>
        <w:t>Level 3: Assumptions for the asset or liability that are not based on observable market data (unobservable inputs). There are no financial instruments classified in level 3 of the investment portfolio.</w:t>
      </w:r>
    </w:p>
    <w:p w14:paraId="7FF42553" w14:textId="77777777" w:rsidR="00DC062C" w:rsidRPr="000F0D18" w:rsidRDefault="00DC062C" w:rsidP="00AA7F20">
      <w:pPr>
        <w:pStyle w:val="PargrafodaLista"/>
        <w:keepNext/>
        <w:spacing w:after="0" w:line="240" w:lineRule="auto"/>
        <w:ind w:left="0"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DC062C" w:rsidRPr="000F0D18" w14:paraId="01E16D2F" w14:textId="77777777" w:rsidTr="00DC062C">
        <w:trPr>
          <w:trHeight w:val="238"/>
          <w:jc w:val="center"/>
        </w:trPr>
        <w:tc>
          <w:tcPr>
            <w:tcW w:w="2296" w:type="dxa"/>
            <w:tcBorders>
              <w:top w:val="single" w:sz="2" w:space="0" w:color="1F4E79" w:themeColor="accent1" w:themeShade="80"/>
            </w:tcBorders>
            <w:shd w:val="clear" w:color="auto" w:fill="auto"/>
            <w:noWrap/>
            <w:hideMark/>
          </w:tcPr>
          <w:p w14:paraId="5448EFAA" w14:textId="77777777" w:rsidR="00DC062C" w:rsidRPr="000F0D18" w:rsidRDefault="00DC062C" w:rsidP="00AA7F20">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0D1F392F" w14:textId="77777777" w:rsidR="00DC062C" w:rsidRPr="000F0D18" w:rsidRDefault="00DC062C" w:rsidP="00AA7F20">
            <w:pPr>
              <w:pStyle w:val="08-Tabelageral"/>
              <w:keepLines w:val="0"/>
              <w:jc w:val="center"/>
              <w:rPr>
                <w:rFonts w:cs="Arial"/>
                <w:b/>
              </w:rPr>
            </w:pPr>
            <w:r>
              <w:rPr>
                <w:rFonts w:cs="Arial"/>
                <w:b/>
              </w:rPr>
              <w:t>Parent</w:t>
            </w:r>
          </w:p>
        </w:tc>
      </w:tr>
      <w:tr w:rsidR="00DC062C" w:rsidRPr="000F0D18" w14:paraId="1F0C55BF" w14:textId="77777777" w:rsidTr="00DC062C">
        <w:trPr>
          <w:trHeight w:val="238"/>
          <w:jc w:val="center"/>
        </w:trPr>
        <w:tc>
          <w:tcPr>
            <w:tcW w:w="2296" w:type="dxa"/>
            <w:shd w:val="clear" w:color="auto" w:fill="auto"/>
            <w:noWrap/>
            <w:hideMark/>
          </w:tcPr>
          <w:p w14:paraId="402664E3" w14:textId="77777777" w:rsidR="00DC062C" w:rsidRPr="000F0D18" w:rsidRDefault="00DC062C" w:rsidP="00AA7F20">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BF936E1" w14:textId="77777777" w:rsidR="00DC062C" w:rsidRPr="000F0D18" w:rsidRDefault="00DC062C" w:rsidP="00AA7F20">
            <w:pPr>
              <w:pStyle w:val="08-Tabelageral"/>
              <w:keepLines w:val="0"/>
              <w:jc w:val="center"/>
              <w:rPr>
                <w:rFonts w:cs="Arial"/>
                <w:b/>
              </w:rPr>
            </w:pPr>
            <w:r>
              <w:rPr>
                <w:rFonts w:cs="Arial"/>
                <w:b/>
              </w:rPr>
              <w:t xml:space="preserve">Mar </w:t>
            </w:r>
            <w:r w:rsidRPr="000F0D18">
              <w:rPr>
                <w:rFonts w:cs="Arial"/>
                <w:b/>
              </w:rPr>
              <w:t>3</w:t>
            </w:r>
            <w:r>
              <w:rPr>
                <w:rFonts w:cs="Arial"/>
                <w:b/>
              </w:rPr>
              <w:t xml:space="preserve">1, </w:t>
            </w:r>
            <w:r w:rsidRPr="000F0D18">
              <w:rPr>
                <w:rFonts w:cs="Arial"/>
                <w:b/>
              </w:rPr>
              <w:t>202</w:t>
            </w:r>
            <w:r>
              <w:rPr>
                <w:rFonts w:cs="Arial"/>
                <w:b/>
              </w:rPr>
              <w:t>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42BB1B1F" w14:textId="77777777" w:rsidR="00DC062C" w:rsidRPr="000F0D18" w:rsidRDefault="00DC062C" w:rsidP="00AA7F20">
            <w:pPr>
              <w:pStyle w:val="08-Tabelageral"/>
              <w:keepLines w:val="0"/>
              <w:jc w:val="center"/>
              <w:rPr>
                <w:rFonts w:cs="Arial"/>
                <w:b/>
              </w:rPr>
            </w:pPr>
            <w:r>
              <w:rPr>
                <w:rFonts w:cs="Arial"/>
                <w:b/>
              </w:rPr>
              <w:t xml:space="preserve">Dec </w:t>
            </w:r>
            <w:r w:rsidRPr="000F0D18">
              <w:rPr>
                <w:rFonts w:cs="Arial"/>
                <w:b/>
              </w:rPr>
              <w:t>31</w:t>
            </w:r>
            <w:r>
              <w:rPr>
                <w:rFonts w:cs="Arial"/>
                <w:b/>
              </w:rPr>
              <w:t xml:space="preserve">, </w:t>
            </w:r>
            <w:r w:rsidRPr="000F0D18">
              <w:rPr>
                <w:rFonts w:cs="Arial"/>
                <w:b/>
              </w:rPr>
              <w:t>20</w:t>
            </w:r>
            <w:r>
              <w:rPr>
                <w:rFonts w:cs="Arial"/>
                <w:b/>
              </w:rPr>
              <w:t>22</w:t>
            </w:r>
          </w:p>
        </w:tc>
      </w:tr>
      <w:tr w:rsidR="00DC062C" w:rsidRPr="000F0D18" w14:paraId="5C07B25B" w14:textId="77777777" w:rsidTr="00DC062C">
        <w:trPr>
          <w:trHeight w:val="238"/>
          <w:jc w:val="center"/>
        </w:trPr>
        <w:tc>
          <w:tcPr>
            <w:tcW w:w="2296" w:type="dxa"/>
            <w:tcBorders>
              <w:bottom w:val="single" w:sz="2" w:space="0" w:color="1F4E79" w:themeColor="accent1" w:themeShade="80"/>
            </w:tcBorders>
            <w:shd w:val="clear" w:color="auto" w:fill="auto"/>
            <w:noWrap/>
            <w:hideMark/>
          </w:tcPr>
          <w:p w14:paraId="37423FED" w14:textId="77777777" w:rsidR="00DC062C" w:rsidRPr="000F0D18" w:rsidRDefault="00DC062C" w:rsidP="00AA7F20">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39B4224" w14:textId="77777777" w:rsidR="00DC062C" w:rsidRPr="000F0D18" w:rsidRDefault="00DC062C" w:rsidP="00AA7F20">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64506CA" w14:textId="77777777" w:rsidR="00DC062C" w:rsidRPr="000F0D18" w:rsidRDefault="00DC062C" w:rsidP="00AA7F20">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1225790" w14:textId="77777777" w:rsidR="00DC062C" w:rsidRPr="000F0D18" w:rsidRDefault="00DC062C" w:rsidP="00AA7F20">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2D86039C" w14:textId="77777777" w:rsidR="00DC062C" w:rsidRPr="000F0D18" w:rsidRDefault="00DC062C" w:rsidP="00AA7F20">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945386A" w14:textId="77777777" w:rsidR="00DC062C" w:rsidRPr="000F0D18" w:rsidRDefault="00DC062C" w:rsidP="00AA7F20">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F91EB96" w14:textId="77777777" w:rsidR="00DC062C" w:rsidRPr="000F0D18" w:rsidRDefault="00DC062C" w:rsidP="00AA7F20">
            <w:pPr>
              <w:pStyle w:val="08-Tabelageral"/>
              <w:keepLines w:val="0"/>
              <w:rPr>
                <w:rFonts w:cs="Arial"/>
                <w:b/>
              </w:rPr>
            </w:pPr>
            <w:r w:rsidRPr="000F0D18">
              <w:rPr>
                <w:rFonts w:cs="Arial"/>
                <w:b/>
              </w:rPr>
              <w:t>Total</w:t>
            </w:r>
          </w:p>
        </w:tc>
      </w:tr>
      <w:tr w:rsidR="00DC062C" w:rsidRPr="000F0D18" w14:paraId="35079983" w14:textId="77777777" w:rsidTr="00DC062C">
        <w:trPr>
          <w:trHeight w:val="238"/>
          <w:jc w:val="center"/>
        </w:trPr>
        <w:tc>
          <w:tcPr>
            <w:tcW w:w="2296" w:type="dxa"/>
            <w:tcBorders>
              <w:top w:val="single" w:sz="2" w:space="0" w:color="1F4E79" w:themeColor="accent1" w:themeShade="80"/>
            </w:tcBorders>
            <w:shd w:val="clear" w:color="auto" w:fill="auto"/>
            <w:noWrap/>
            <w:hideMark/>
          </w:tcPr>
          <w:p w14:paraId="2E52373C" w14:textId="77777777" w:rsidR="00DC062C" w:rsidRPr="000F0D18" w:rsidRDefault="00DC062C" w:rsidP="00AA7F20">
            <w:pPr>
              <w:pStyle w:val="08-Tabelageral"/>
              <w:keepLines w:val="0"/>
              <w:jc w:val="left"/>
              <w:rPr>
                <w:rFonts w:cs="Arial"/>
              </w:rPr>
            </w:pPr>
            <w:r>
              <w:t>Long-term fund</w:t>
            </w:r>
          </w:p>
        </w:tc>
        <w:tc>
          <w:tcPr>
            <w:tcW w:w="1224" w:type="dxa"/>
            <w:tcBorders>
              <w:top w:val="single" w:sz="2" w:space="0" w:color="1F4E79" w:themeColor="accent1" w:themeShade="80"/>
              <w:left w:val="nil"/>
              <w:bottom w:val="nil"/>
              <w:right w:val="nil"/>
            </w:tcBorders>
            <w:shd w:val="clear" w:color="auto" w:fill="auto"/>
            <w:noWrap/>
            <w:vAlign w:val="bottom"/>
          </w:tcPr>
          <w:p w14:paraId="231DBB09" w14:textId="77777777" w:rsidR="00DC062C" w:rsidRPr="00C24578" w:rsidRDefault="00DC062C" w:rsidP="00AA7F20">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469D11A0" w14:textId="77777777" w:rsidR="00DC062C" w:rsidRPr="00C24578" w:rsidRDefault="00DC062C" w:rsidP="00AA7F20">
            <w:pPr>
              <w:pStyle w:val="08-Tabelageral"/>
            </w:pPr>
            <w:r>
              <w:t>17,246</w:t>
            </w:r>
          </w:p>
        </w:tc>
        <w:tc>
          <w:tcPr>
            <w:tcW w:w="1224" w:type="dxa"/>
            <w:tcBorders>
              <w:top w:val="single" w:sz="2" w:space="0" w:color="1F4E79" w:themeColor="accent1" w:themeShade="80"/>
              <w:left w:val="nil"/>
              <w:bottom w:val="nil"/>
              <w:right w:val="nil"/>
            </w:tcBorders>
            <w:shd w:val="clear" w:color="auto" w:fill="auto"/>
            <w:noWrap/>
            <w:vAlign w:val="bottom"/>
          </w:tcPr>
          <w:p w14:paraId="12B9FA4C" w14:textId="77777777" w:rsidR="00DC062C" w:rsidRPr="00C24578" w:rsidRDefault="00DC062C" w:rsidP="00AA7F20">
            <w:pPr>
              <w:pStyle w:val="08-Tabelageral"/>
            </w:pPr>
            <w:r>
              <w:t>17,246</w:t>
            </w:r>
          </w:p>
        </w:tc>
        <w:tc>
          <w:tcPr>
            <w:tcW w:w="1223" w:type="dxa"/>
            <w:tcBorders>
              <w:top w:val="single" w:sz="2" w:space="0" w:color="1F4E79" w:themeColor="accent1" w:themeShade="80"/>
              <w:left w:val="nil"/>
              <w:bottom w:val="nil"/>
              <w:right w:val="nil"/>
            </w:tcBorders>
            <w:shd w:val="clear" w:color="auto" w:fill="auto"/>
            <w:noWrap/>
            <w:vAlign w:val="bottom"/>
          </w:tcPr>
          <w:p w14:paraId="03C400EB" w14:textId="77777777" w:rsidR="00DC062C" w:rsidRPr="00C24578" w:rsidRDefault="00DC062C" w:rsidP="00AA7F20">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tcPr>
          <w:p w14:paraId="1163D98B" w14:textId="77777777" w:rsidR="00DC062C" w:rsidRPr="00C24578" w:rsidRDefault="00DC062C" w:rsidP="00AA7F20">
            <w:pPr>
              <w:pStyle w:val="08-Tabelageral"/>
              <w:keepLines w:val="0"/>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3E9D5661" w14:textId="77777777" w:rsidR="00DC062C" w:rsidRPr="00C24578" w:rsidRDefault="00DC062C" w:rsidP="00AA7F20">
            <w:pPr>
              <w:pStyle w:val="08-Tabelageral"/>
              <w:keepLines w:val="0"/>
            </w:pPr>
            <w:r>
              <w:t>18,064</w:t>
            </w:r>
          </w:p>
        </w:tc>
      </w:tr>
      <w:tr w:rsidR="00DC062C" w:rsidRPr="000F0D18" w14:paraId="7553B24F" w14:textId="77777777" w:rsidTr="00DC062C">
        <w:trPr>
          <w:trHeight w:val="238"/>
          <w:jc w:val="center"/>
        </w:trPr>
        <w:tc>
          <w:tcPr>
            <w:tcW w:w="2296" w:type="dxa"/>
            <w:shd w:val="clear" w:color="auto" w:fill="auto"/>
            <w:noWrap/>
            <w:hideMark/>
          </w:tcPr>
          <w:p w14:paraId="7F98FAFF" w14:textId="77777777" w:rsidR="00DC062C" w:rsidRPr="000F0D18" w:rsidRDefault="00DC062C" w:rsidP="00AA7F20">
            <w:pPr>
              <w:pStyle w:val="08-Tabelageral"/>
              <w:keepLines w:val="0"/>
              <w:jc w:val="left"/>
              <w:rPr>
                <w:rFonts w:cs="Arial"/>
              </w:rPr>
            </w:pPr>
            <w:r>
              <w:t>Cash and cash Equivalents</w:t>
            </w:r>
          </w:p>
        </w:tc>
        <w:tc>
          <w:tcPr>
            <w:tcW w:w="1224" w:type="dxa"/>
            <w:tcBorders>
              <w:top w:val="nil"/>
              <w:left w:val="nil"/>
              <w:right w:val="nil"/>
            </w:tcBorders>
            <w:shd w:val="clear" w:color="auto" w:fill="auto"/>
            <w:noWrap/>
            <w:vAlign w:val="bottom"/>
          </w:tcPr>
          <w:p w14:paraId="2AE2029F" w14:textId="77777777" w:rsidR="00DC062C" w:rsidRPr="00C24578" w:rsidRDefault="00DC062C" w:rsidP="00AA7F20">
            <w:pPr>
              <w:pStyle w:val="08-Tabelageral"/>
            </w:pPr>
            <w:r>
              <w:t>48,680</w:t>
            </w:r>
          </w:p>
        </w:tc>
        <w:tc>
          <w:tcPr>
            <w:tcW w:w="1224" w:type="dxa"/>
            <w:tcBorders>
              <w:top w:val="nil"/>
              <w:left w:val="nil"/>
              <w:right w:val="nil"/>
            </w:tcBorders>
            <w:shd w:val="clear" w:color="auto" w:fill="auto"/>
            <w:noWrap/>
            <w:vAlign w:val="bottom"/>
          </w:tcPr>
          <w:p w14:paraId="3B8B5C83" w14:textId="77777777" w:rsidR="00DC062C" w:rsidRPr="00C24578" w:rsidRDefault="00DC062C" w:rsidP="00AA7F20">
            <w:pPr>
              <w:pStyle w:val="08-Tabelageral"/>
            </w:pPr>
            <w:r>
              <w:t>--</w:t>
            </w:r>
          </w:p>
        </w:tc>
        <w:tc>
          <w:tcPr>
            <w:tcW w:w="1224" w:type="dxa"/>
            <w:tcBorders>
              <w:top w:val="nil"/>
              <w:left w:val="nil"/>
              <w:right w:val="nil"/>
            </w:tcBorders>
            <w:shd w:val="clear" w:color="auto" w:fill="auto"/>
            <w:noWrap/>
            <w:vAlign w:val="bottom"/>
          </w:tcPr>
          <w:p w14:paraId="6C68E3C1" w14:textId="77777777" w:rsidR="00DC062C" w:rsidRPr="00C24578" w:rsidRDefault="00DC062C" w:rsidP="00AA7F20">
            <w:pPr>
              <w:pStyle w:val="08-Tabelageral"/>
            </w:pPr>
            <w:r>
              <w:t>48,680</w:t>
            </w:r>
          </w:p>
        </w:tc>
        <w:tc>
          <w:tcPr>
            <w:tcW w:w="1223" w:type="dxa"/>
            <w:tcBorders>
              <w:top w:val="nil"/>
              <w:left w:val="nil"/>
              <w:right w:val="nil"/>
            </w:tcBorders>
            <w:shd w:val="clear" w:color="auto" w:fill="auto"/>
            <w:noWrap/>
            <w:vAlign w:val="bottom"/>
          </w:tcPr>
          <w:p w14:paraId="0EF65EF9" w14:textId="77777777" w:rsidR="00DC062C" w:rsidRPr="00C24578" w:rsidRDefault="00DC062C" w:rsidP="00AA7F20">
            <w:pPr>
              <w:pStyle w:val="08-Tabelageral"/>
              <w:keepLines w:val="0"/>
            </w:pPr>
            <w:r>
              <w:t>59,002</w:t>
            </w:r>
          </w:p>
        </w:tc>
        <w:tc>
          <w:tcPr>
            <w:tcW w:w="1224" w:type="dxa"/>
            <w:tcBorders>
              <w:top w:val="nil"/>
              <w:left w:val="nil"/>
              <w:right w:val="nil"/>
            </w:tcBorders>
            <w:shd w:val="clear" w:color="auto" w:fill="auto"/>
            <w:noWrap/>
            <w:vAlign w:val="bottom"/>
          </w:tcPr>
          <w:p w14:paraId="1CA633AD" w14:textId="77777777" w:rsidR="00DC062C" w:rsidRPr="00C24578" w:rsidRDefault="00DC062C" w:rsidP="00AA7F20">
            <w:pPr>
              <w:pStyle w:val="08-Tabelageral"/>
              <w:keepLines w:val="0"/>
            </w:pPr>
            <w:r>
              <w:t>--</w:t>
            </w:r>
          </w:p>
        </w:tc>
        <w:tc>
          <w:tcPr>
            <w:tcW w:w="1224" w:type="dxa"/>
            <w:tcBorders>
              <w:top w:val="nil"/>
              <w:left w:val="nil"/>
              <w:right w:val="nil"/>
            </w:tcBorders>
            <w:shd w:val="clear" w:color="auto" w:fill="auto"/>
            <w:noWrap/>
            <w:vAlign w:val="bottom"/>
          </w:tcPr>
          <w:p w14:paraId="2F1936AF" w14:textId="77777777" w:rsidR="00DC062C" w:rsidRPr="00C24578" w:rsidRDefault="00DC062C" w:rsidP="00AA7F20">
            <w:pPr>
              <w:pStyle w:val="08-Tabelageral"/>
              <w:keepLines w:val="0"/>
            </w:pPr>
            <w:r>
              <w:t>59,002</w:t>
            </w:r>
          </w:p>
        </w:tc>
      </w:tr>
      <w:tr w:rsidR="00DC062C" w:rsidRPr="000F0D18" w14:paraId="73BD0DF8" w14:textId="77777777" w:rsidTr="00DC062C">
        <w:trPr>
          <w:trHeight w:val="238"/>
          <w:jc w:val="center"/>
        </w:trPr>
        <w:tc>
          <w:tcPr>
            <w:tcW w:w="2296" w:type="dxa"/>
            <w:tcBorders>
              <w:bottom w:val="single" w:sz="2" w:space="0" w:color="1F4E79" w:themeColor="accent1" w:themeShade="80"/>
            </w:tcBorders>
            <w:shd w:val="clear" w:color="auto" w:fill="auto"/>
            <w:noWrap/>
            <w:hideMark/>
          </w:tcPr>
          <w:p w14:paraId="26EC7FA1" w14:textId="77777777" w:rsidR="00DC062C" w:rsidRPr="000F0D18" w:rsidRDefault="00DC062C" w:rsidP="00AA7F20">
            <w:pPr>
              <w:pStyle w:val="08-Tabelageral"/>
              <w:keepLines w:val="0"/>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59E911F0" w14:textId="77777777" w:rsidR="00DC062C" w:rsidRPr="00ED0236" w:rsidRDefault="00DC062C" w:rsidP="00AA7F20">
            <w:pPr>
              <w:pStyle w:val="08-Tabelageral"/>
              <w:rPr>
                <w:rFonts w:cs="Arial"/>
                <w:b/>
              </w:rPr>
            </w:pPr>
            <w:r>
              <w:rPr>
                <w:rFonts w:cs="Arial"/>
                <w:b/>
              </w:rPr>
              <w:t>46,680</w:t>
            </w:r>
          </w:p>
        </w:tc>
        <w:tc>
          <w:tcPr>
            <w:tcW w:w="1224" w:type="dxa"/>
            <w:tcBorders>
              <w:top w:val="nil"/>
              <w:left w:val="nil"/>
              <w:bottom w:val="single" w:sz="2" w:space="0" w:color="1F4E79" w:themeColor="accent1" w:themeShade="80"/>
              <w:right w:val="nil"/>
            </w:tcBorders>
            <w:shd w:val="clear" w:color="auto" w:fill="auto"/>
            <w:noWrap/>
            <w:vAlign w:val="bottom"/>
          </w:tcPr>
          <w:p w14:paraId="5D6204D8" w14:textId="77777777" w:rsidR="00DC062C" w:rsidRPr="00ED0236" w:rsidRDefault="00DC062C" w:rsidP="00AA7F20">
            <w:pPr>
              <w:pStyle w:val="08-Tabelageral"/>
              <w:rPr>
                <w:rFonts w:cs="Arial"/>
                <w:b/>
              </w:rPr>
            </w:pPr>
            <w:r>
              <w:rPr>
                <w:rFonts w:cs="Arial"/>
                <w:b/>
              </w:rPr>
              <w:t>17,246</w:t>
            </w:r>
          </w:p>
        </w:tc>
        <w:tc>
          <w:tcPr>
            <w:tcW w:w="1224" w:type="dxa"/>
            <w:tcBorders>
              <w:top w:val="nil"/>
              <w:left w:val="nil"/>
              <w:bottom w:val="single" w:sz="2" w:space="0" w:color="1F4E79" w:themeColor="accent1" w:themeShade="80"/>
              <w:right w:val="nil"/>
            </w:tcBorders>
            <w:shd w:val="clear" w:color="auto" w:fill="auto"/>
            <w:noWrap/>
            <w:vAlign w:val="bottom"/>
          </w:tcPr>
          <w:p w14:paraId="1460B873" w14:textId="77777777" w:rsidR="00DC062C" w:rsidRPr="00ED0236" w:rsidRDefault="00DC062C" w:rsidP="00AA7F20">
            <w:pPr>
              <w:pStyle w:val="08-Tabelageral"/>
              <w:rPr>
                <w:rFonts w:cs="Arial"/>
                <w:b/>
              </w:rPr>
            </w:pPr>
            <w:r>
              <w:rPr>
                <w:rFonts w:cs="Arial"/>
                <w:b/>
              </w:rPr>
              <w:t>65,926</w:t>
            </w:r>
          </w:p>
        </w:tc>
        <w:tc>
          <w:tcPr>
            <w:tcW w:w="1223" w:type="dxa"/>
            <w:tcBorders>
              <w:top w:val="nil"/>
              <w:left w:val="nil"/>
              <w:bottom w:val="single" w:sz="2" w:space="0" w:color="1F4E79" w:themeColor="accent1" w:themeShade="80"/>
              <w:right w:val="nil"/>
            </w:tcBorders>
            <w:shd w:val="clear" w:color="auto" w:fill="auto"/>
            <w:noWrap/>
            <w:vAlign w:val="bottom"/>
          </w:tcPr>
          <w:p w14:paraId="5D90CF6B" w14:textId="77777777" w:rsidR="00DC062C" w:rsidRPr="00ED0236" w:rsidRDefault="00DC062C" w:rsidP="00AA7F20">
            <w:pPr>
              <w:pStyle w:val="08-Tabelageral"/>
              <w:keepLines w:val="0"/>
              <w:rPr>
                <w:rFonts w:cs="Arial"/>
                <w:b/>
              </w:rPr>
            </w:pPr>
            <w:r>
              <w:rPr>
                <w:rFonts w:cs="Arial"/>
                <w:b/>
              </w:rPr>
              <w:t>59,002</w:t>
            </w:r>
          </w:p>
        </w:tc>
        <w:tc>
          <w:tcPr>
            <w:tcW w:w="1224" w:type="dxa"/>
            <w:tcBorders>
              <w:top w:val="nil"/>
              <w:left w:val="nil"/>
              <w:bottom w:val="single" w:sz="2" w:space="0" w:color="1F4E79" w:themeColor="accent1" w:themeShade="80"/>
              <w:right w:val="nil"/>
            </w:tcBorders>
            <w:shd w:val="clear" w:color="auto" w:fill="auto"/>
            <w:noWrap/>
            <w:vAlign w:val="bottom"/>
          </w:tcPr>
          <w:p w14:paraId="17722C31" w14:textId="77777777" w:rsidR="00DC062C" w:rsidRPr="00ED0236" w:rsidRDefault="00DC062C" w:rsidP="00AA7F20">
            <w:pPr>
              <w:pStyle w:val="08-Tabelageral"/>
              <w:keepLines w:val="0"/>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121611FF" w14:textId="77777777" w:rsidR="00DC062C" w:rsidRPr="00ED0236" w:rsidRDefault="00DC062C" w:rsidP="00AA7F20">
            <w:pPr>
              <w:pStyle w:val="08-Tabelageral"/>
              <w:keepLines w:val="0"/>
              <w:rPr>
                <w:rFonts w:cs="Arial"/>
                <w:b/>
              </w:rPr>
            </w:pPr>
            <w:r>
              <w:rPr>
                <w:rFonts w:cs="Arial"/>
                <w:b/>
              </w:rPr>
              <w:t>77,066</w:t>
            </w:r>
          </w:p>
        </w:tc>
      </w:tr>
    </w:tbl>
    <w:p w14:paraId="36CDD4FC" w14:textId="77777777" w:rsidR="00DC062C" w:rsidRPr="000F0D18" w:rsidRDefault="00DC062C" w:rsidP="00AA7F20">
      <w:pPr>
        <w:keepNext/>
        <w:keepLines/>
        <w:spacing w:after="0" w:line="240" w:lineRule="auto"/>
        <w:ind w:right="-1"/>
        <w:rPr>
          <w:rFonts w:cs="Arial"/>
          <w:b/>
          <w:sz w:val="14"/>
          <w:szCs w:val="14"/>
        </w:rPr>
      </w:pPr>
    </w:p>
    <w:p w14:paraId="1170A4FC" w14:textId="77777777" w:rsidR="00DC062C" w:rsidRDefault="00DC062C" w:rsidP="00AA7F20">
      <w:pPr>
        <w:pStyle w:val="PargrafodaLista"/>
        <w:keepNext/>
        <w:keepLines/>
        <w:spacing w:after="0" w:line="240" w:lineRule="auto"/>
        <w:ind w:left="0" w:right="-1"/>
        <w:jc w:val="right"/>
        <w:rPr>
          <w:rFonts w:ascii="Arial" w:hAnsi="Arial" w:cs="Arial"/>
          <w:b/>
          <w:sz w:val="14"/>
          <w:szCs w:val="14"/>
        </w:rPr>
      </w:pPr>
    </w:p>
    <w:p w14:paraId="29761E6E" w14:textId="77777777" w:rsidR="00DC062C" w:rsidRPr="000F0D18" w:rsidRDefault="00DC062C" w:rsidP="00AA7F20">
      <w:pPr>
        <w:pStyle w:val="PargrafodaLista"/>
        <w:keepNext/>
        <w:keepLines/>
        <w:spacing w:after="0" w:line="240" w:lineRule="auto"/>
        <w:ind w:left="0"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r w:rsidRPr="000F0D18">
        <w:rPr>
          <w:rFonts w:ascii="Arial" w:hAnsi="Arial" w:cs="Arial"/>
          <w:b/>
          <w:sz w:val="14"/>
          <w:szCs w:val="14"/>
        </w:rPr>
        <w:t xml:space="preserve"> </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DC062C" w:rsidRPr="000F0D18" w14:paraId="123F473D" w14:textId="77777777" w:rsidTr="00DC062C">
        <w:trPr>
          <w:trHeight w:val="238"/>
          <w:jc w:val="center"/>
        </w:trPr>
        <w:tc>
          <w:tcPr>
            <w:tcW w:w="2296" w:type="dxa"/>
            <w:tcBorders>
              <w:top w:val="single" w:sz="2" w:space="0" w:color="1F4E79" w:themeColor="accent1" w:themeShade="80"/>
            </w:tcBorders>
            <w:shd w:val="clear" w:color="auto" w:fill="auto"/>
            <w:noWrap/>
            <w:hideMark/>
          </w:tcPr>
          <w:p w14:paraId="337A355B" w14:textId="77777777" w:rsidR="00DC062C" w:rsidRPr="000F0D18" w:rsidRDefault="00DC062C" w:rsidP="00AA7F20">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725DC444" w14:textId="77777777" w:rsidR="00DC062C" w:rsidRPr="000F0D18" w:rsidRDefault="00DC062C" w:rsidP="00AA7F20">
            <w:pPr>
              <w:pStyle w:val="08-Tabelageral"/>
              <w:jc w:val="center"/>
              <w:rPr>
                <w:rFonts w:cs="Arial"/>
                <w:b/>
              </w:rPr>
            </w:pPr>
            <w:r w:rsidRPr="000F0D18">
              <w:rPr>
                <w:rFonts w:cs="Arial"/>
                <w:b/>
              </w:rPr>
              <w:t>Consoli</w:t>
            </w:r>
            <w:r>
              <w:rPr>
                <w:rFonts w:cs="Arial"/>
                <w:b/>
              </w:rPr>
              <w:t>dated</w:t>
            </w:r>
          </w:p>
        </w:tc>
      </w:tr>
      <w:tr w:rsidR="00DC062C" w:rsidRPr="000F0D18" w14:paraId="1B2E3230" w14:textId="77777777" w:rsidTr="00DC062C">
        <w:trPr>
          <w:trHeight w:val="238"/>
          <w:jc w:val="center"/>
        </w:trPr>
        <w:tc>
          <w:tcPr>
            <w:tcW w:w="2296" w:type="dxa"/>
            <w:shd w:val="clear" w:color="auto" w:fill="auto"/>
            <w:noWrap/>
            <w:hideMark/>
          </w:tcPr>
          <w:p w14:paraId="209C9D3E" w14:textId="77777777" w:rsidR="00DC062C" w:rsidRPr="000F0D18" w:rsidRDefault="00DC062C" w:rsidP="00AA7F20">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33492233" w14:textId="77777777" w:rsidR="00DC062C" w:rsidRPr="000F0D18" w:rsidRDefault="00DC062C" w:rsidP="00AA7F20">
            <w:pPr>
              <w:pStyle w:val="08-Tabelageral"/>
              <w:jc w:val="center"/>
              <w:rPr>
                <w:rFonts w:cs="Arial"/>
                <w:b/>
              </w:rPr>
            </w:pPr>
            <w:r>
              <w:rPr>
                <w:rFonts w:cs="Arial"/>
                <w:b/>
              </w:rPr>
              <w:t>Mar</w:t>
            </w:r>
            <w:r w:rsidRPr="000D11E8">
              <w:rPr>
                <w:rFonts w:cs="Arial"/>
                <w:b/>
              </w:rPr>
              <w:t xml:space="preserve"> 3</w:t>
            </w:r>
            <w:r>
              <w:rPr>
                <w:rFonts w:cs="Arial"/>
                <w:b/>
              </w:rPr>
              <w:t>1</w:t>
            </w:r>
            <w:r w:rsidRPr="000D11E8">
              <w:rPr>
                <w:rFonts w:cs="Arial"/>
                <w:b/>
              </w:rPr>
              <w:t>, 202</w:t>
            </w:r>
            <w:r>
              <w:rPr>
                <w:rFonts w:cs="Arial"/>
                <w:b/>
              </w:rPr>
              <w:t>3</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7B1CDBB" w14:textId="77777777" w:rsidR="00DC062C" w:rsidRPr="000F0D18" w:rsidRDefault="00DC062C" w:rsidP="00AA7F20">
            <w:pPr>
              <w:pStyle w:val="08-Tabelageral"/>
              <w:jc w:val="center"/>
              <w:rPr>
                <w:rFonts w:cs="Arial"/>
                <w:b/>
              </w:rPr>
            </w:pPr>
            <w:r w:rsidRPr="000D11E8">
              <w:rPr>
                <w:rFonts w:cs="Arial"/>
                <w:b/>
              </w:rPr>
              <w:t>Dec 31, 20</w:t>
            </w:r>
            <w:r>
              <w:rPr>
                <w:rFonts w:cs="Arial"/>
                <w:b/>
              </w:rPr>
              <w:t>22</w:t>
            </w:r>
          </w:p>
        </w:tc>
      </w:tr>
      <w:tr w:rsidR="00DC062C" w:rsidRPr="000F0D18" w14:paraId="750B5F10" w14:textId="77777777" w:rsidTr="00DC062C">
        <w:trPr>
          <w:trHeight w:val="238"/>
          <w:jc w:val="center"/>
        </w:trPr>
        <w:tc>
          <w:tcPr>
            <w:tcW w:w="2296" w:type="dxa"/>
            <w:tcBorders>
              <w:bottom w:val="single" w:sz="2" w:space="0" w:color="1F4E79" w:themeColor="accent1" w:themeShade="80"/>
            </w:tcBorders>
            <w:shd w:val="clear" w:color="auto" w:fill="auto"/>
            <w:noWrap/>
            <w:hideMark/>
          </w:tcPr>
          <w:p w14:paraId="56481834" w14:textId="77777777" w:rsidR="00DC062C" w:rsidRPr="000F0D18" w:rsidRDefault="00DC062C" w:rsidP="00AA7F20">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6D568A5" w14:textId="77777777" w:rsidR="00DC062C" w:rsidRPr="000F0D18" w:rsidRDefault="00DC062C" w:rsidP="00AA7F20">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41C4F0A" w14:textId="77777777" w:rsidR="00DC062C" w:rsidRPr="000F0D18" w:rsidRDefault="00DC062C" w:rsidP="00AA7F20">
            <w:pPr>
              <w:pStyle w:val="08-Tabelageral"/>
              <w:keepLines w:val="0"/>
              <w:rPr>
                <w:rFonts w:cs="Arial"/>
                <w:b/>
              </w:rPr>
            </w:pPr>
            <w:r>
              <w:rPr>
                <w:rFonts w:cs="Arial"/>
                <w:b/>
              </w:rPr>
              <w:t>Level</w:t>
            </w:r>
            <w:r w:rsidRPr="000F0D18">
              <w:rPr>
                <w:rFonts w:cs="Arial"/>
                <w:b/>
              </w:rPr>
              <w:t xml:space="preserve">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D112F51" w14:textId="77777777" w:rsidR="00DC062C" w:rsidRPr="000F0D18" w:rsidRDefault="00DC062C" w:rsidP="00AA7F20">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0750F37F" w14:textId="77777777" w:rsidR="00DC062C" w:rsidRPr="000F0D18" w:rsidRDefault="00DC062C" w:rsidP="00AA7F20">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79A0409" w14:textId="77777777" w:rsidR="00DC062C" w:rsidRPr="000F0D18" w:rsidRDefault="00DC062C" w:rsidP="00AA7F20">
            <w:pPr>
              <w:pStyle w:val="08-Tabelageral"/>
              <w:keepLines w:val="0"/>
              <w:rPr>
                <w:rFonts w:cs="Arial"/>
                <w:b/>
              </w:rPr>
            </w:pPr>
            <w:r>
              <w:rPr>
                <w:rFonts w:cs="Arial"/>
                <w:b/>
              </w:rPr>
              <w:t>Level</w:t>
            </w:r>
            <w:r w:rsidRPr="000F0D18">
              <w:rPr>
                <w:rFonts w:cs="Arial"/>
                <w:b/>
              </w:rPr>
              <w:t xml:space="preserve">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A99B03F" w14:textId="77777777" w:rsidR="00DC062C" w:rsidRPr="000F0D18" w:rsidRDefault="00DC062C" w:rsidP="00AA7F20">
            <w:pPr>
              <w:pStyle w:val="08-Tabelageral"/>
              <w:keepLines w:val="0"/>
              <w:rPr>
                <w:rFonts w:cs="Arial"/>
                <w:b/>
              </w:rPr>
            </w:pPr>
            <w:r w:rsidRPr="000F0D18">
              <w:rPr>
                <w:rFonts w:cs="Arial"/>
                <w:b/>
              </w:rPr>
              <w:t>Total</w:t>
            </w:r>
          </w:p>
        </w:tc>
      </w:tr>
      <w:tr w:rsidR="00DC062C" w:rsidRPr="000F0D18" w14:paraId="1765BF81" w14:textId="77777777" w:rsidTr="00DC062C">
        <w:trPr>
          <w:trHeight w:val="238"/>
          <w:jc w:val="center"/>
        </w:trPr>
        <w:tc>
          <w:tcPr>
            <w:tcW w:w="2296" w:type="dxa"/>
            <w:tcBorders>
              <w:top w:val="single" w:sz="2" w:space="0" w:color="1F4E79" w:themeColor="accent1" w:themeShade="80"/>
              <w:left w:val="nil"/>
              <w:bottom w:val="nil"/>
              <w:right w:val="nil"/>
            </w:tcBorders>
            <w:shd w:val="clear" w:color="auto" w:fill="auto"/>
            <w:noWrap/>
            <w:vAlign w:val="bottom"/>
            <w:hideMark/>
          </w:tcPr>
          <w:p w14:paraId="504AE485" w14:textId="77777777" w:rsidR="00DC062C" w:rsidRPr="00CC6E14" w:rsidRDefault="00DC062C" w:rsidP="00AA7F20">
            <w:pPr>
              <w:pStyle w:val="08-Tabelageral"/>
              <w:jc w:val="left"/>
              <w:rPr>
                <w:vertAlign w:val="superscript"/>
              </w:rPr>
            </w:pPr>
            <w:r>
              <w:t xml:space="preserve">Long-term fund </w:t>
            </w:r>
          </w:p>
        </w:tc>
        <w:tc>
          <w:tcPr>
            <w:tcW w:w="1224" w:type="dxa"/>
            <w:tcBorders>
              <w:top w:val="single" w:sz="2" w:space="0" w:color="1F4E79" w:themeColor="accent1" w:themeShade="80"/>
              <w:left w:val="nil"/>
              <w:bottom w:val="nil"/>
              <w:right w:val="nil"/>
            </w:tcBorders>
            <w:shd w:val="clear" w:color="auto" w:fill="auto"/>
            <w:noWrap/>
            <w:vAlign w:val="bottom"/>
          </w:tcPr>
          <w:p w14:paraId="642D97F5" w14:textId="77777777" w:rsidR="00DC062C" w:rsidRPr="00C24578" w:rsidRDefault="00DC062C" w:rsidP="00AA7F20">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442B8372" w14:textId="77777777" w:rsidR="00DC062C" w:rsidRPr="00C24578" w:rsidRDefault="00DC062C" w:rsidP="00AA7F20">
            <w:pPr>
              <w:pStyle w:val="08-Tabelageral"/>
            </w:pPr>
            <w:r>
              <w:t>17,246</w:t>
            </w:r>
          </w:p>
        </w:tc>
        <w:tc>
          <w:tcPr>
            <w:tcW w:w="1224" w:type="dxa"/>
            <w:tcBorders>
              <w:top w:val="single" w:sz="2" w:space="0" w:color="1F4E79" w:themeColor="accent1" w:themeShade="80"/>
              <w:left w:val="nil"/>
              <w:bottom w:val="nil"/>
              <w:right w:val="nil"/>
            </w:tcBorders>
            <w:shd w:val="clear" w:color="auto" w:fill="auto"/>
            <w:noWrap/>
            <w:vAlign w:val="bottom"/>
          </w:tcPr>
          <w:p w14:paraId="545E8667" w14:textId="77777777" w:rsidR="00DC062C" w:rsidRPr="00C24578" w:rsidRDefault="00DC062C" w:rsidP="00AA7F20">
            <w:pPr>
              <w:pStyle w:val="08-Tabelageral"/>
            </w:pPr>
            <w:r>
              <w:t>17,246</w:t>
            </w:r>
          </w:p>
        </w:tc>
        <w:tc>
          <w:tcPr>
            <w:tcW w:w="1223" w:type="dxa"/>
            <w:tcBorders>
              <w:top w:val="single" w:sz="2" w:space="0" w:color="1F4E79" w:themeColor="accent1" w:themeShade="80"/>
              <w:left w:val="nil"/>
              <w:bottom w:val="nil"/>
              <w:right w:val="nil"/>
            </w:tcBorders>
            <w:shd w:val="clear" w:color="auto" w:fill="auto"/>
            <w:noWrap/>
            <w:vAlign w:val="bottom"/>
          </w:tcPr>
          <w:p w14:paraId="4956FD07" w14:textId="77777777" w:rsidR="00DC062C" w:rsidRPr="00C24578" w:rsidRDefault="00DC062C" w:rsidP="00AA7F20">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2935C6B1" w14:textId="77777777" w:rsidR="00DC062C" w:rsidRPr="00C24578" w:rsidRDefault="00DC062C" w:rsidP="00AA7F20">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0F144347" w14:textId="77777777" w:rsidR="00DC062C" w:rsidRPr="00C24578" w:rsidRDefault="00DC062C" w:rsidP="00AA7F20">
            <w:pPr>
              <w:pStyle w:val="08-Tabelageral"/>
            </w:pPr>
            <w:r>
              <w:t>18,064</w:t>
            </w:r>
          </w:p>
        </w:tc>
      </w:tr>
      <w:tr w:rsidR="00DC062C" w:rsidRPr="000F0D18" w14:paraId="447B0B52" w14:textId="77777777" w:rsidTr="00DC062C">
        <w:trPr>
          <w:trHeight w:val="238"/>
          <w:jc w:val="center"/>
        </w:trPr>
        <w:tc>
          <w:tcPr>
            <w:tcW w:w="2296" w:type="dxa"/>
            <w:tcBorders>
              <w:top w:val="nil"/>
              <w:left w:val="nil"/>
              <w:bottom w:val="nil"/>
              <w:right w:val="nil"/>
            </w:tcBorders>
            <w:shd w:val="clear" w:color="auto" w:fill="auto"/>
            <w:noWrap/>
            <w:vAlign w:val="bottom"/>
            <w:hideMark/>
          </w:tcPr>
          <w:p w14:paraId="357080FF" w14:textId="77777777" w:rsidR="00DC062C" w:rsidRPr="00C24578" w:rsidRDefault="00DC062C" w:rsidP="00AA7F20">
            <w:pPr>
              <w:pStyle w:val="08-Tabelageral"/>
              <w:jc w:val="left"/>
            </w:pPr>
            <w:r>
              <w:t>TPF</w:t>
            </w:r>
          </w:p>
        </w:tc>
        <w:tc>
          <w:tcPr>
            <w:tcW w:w="1224" w:type="dxa"/>
            <w:tcBorders>
              <w:top w:val="nil"/>
              <w:left w:val="nil"/>
              <w:bottom w:val="nil"/>
              <w:right w:val="nil"/>
            </w:tcBorders>
            <w:shd w:val="clear" w:color="auto" w:fill="auto"/>
            <w:noWrap/>
            <w:vAlign w:val="bottom"/>
          </w:tcPr>
          <w:p w14:paraId="381174E7" w14:textId="77777777" w:rsidR="00DC062C" w:rsidRPr="00C24578" w:rsidRDefault="00DC062C" w:rsidP="00AA7F20">
            <w:pPr>
              <w:pStyle w:val="08-Tabelageral"/>
            </w:pPr>
            <w:r>
              <w:t>1,007,500</w:t>
            </w:r>
          </w:p>
        </w:tc>
        <w:tc>
          <w:tcPr>
            <w:tcW w:w="1224" w:type="dxa"/>
            <w:tcBorders>
              <w:top w:val="nil"/>
              <w:left w:val="nil"/>
              <w:bottom w:val="nil"/>
              <w:right w:val="nil"/>
            </w:tcBorders>
            <w:shd w:val="clear" w:color="auto" w:fill="auto"/>
            <w:noWrap/>
            <w:vAlign w:val="bottom"/>
          </w:tcPr>
          <w:p w14:paraId="10BE9996" w14:textId="77777777" w:rsidR="00DC062C" w:rsidRPr="00C24578" w:rsidRDefault="00DC062C" w:rsidP="00AA7F20">
            <w:pPr>
              <w:pStyle w:val="08-Tabelageral"/>
            </w:pPr>
            <w:r>
              <w:t>--</w:t>
            </w:r>
          </w:p>
        </w:tc>
        <w:tc>
          <w:tcPr>
            <w:tcW w:w="1224" w:type="dxa"/>
            <w:tcBorders>
              <w:top w:val="nil"/>
              <w:left w:val="nil"/>
              <w:bottom w:val="nil"/>
              <w:right w:val="nil"/>
            </w:tcBorders>
            <w:shd w:val="clear" w:color="auto" w:fill="auto"/>
            <w:noWrap/>
            <w:vAlign w:val="bottom"/>
          </w:tcPr>
          <w:p w14:paraId="7B16D6E5" w14:textId="77777777" w:rsidR="00DC062C" w:rsidRPr="00C24578" w:rsidRDefault="00DC062C" w:rsidP="00AA7F20">
            <w:pPr>
              <w:pStyle w:val="08-Tabelageral"/>
            </w:pPr>
            <w:r>
              <w:t>1,007,500</w:t>
            </w:r>
          </w:p>
        </w:tc>
        <w:tc>
          <w:tcPr>
            <w:tcW w:w="1223" w:type="dxa"/>
            <w:tcBorders>
              <w:top w:val="nil"/>
              <w:left w:val="nil"/>
              <w:bottom w:val="nil"/>
              <w:right w:val="nil"/>
            </w:tcBorders>
            <w:shd w:val="clear" w:color="auto" w:fill="auto"/>
            <w:noWrap/>
            <w:vAlign w:val="bottom"/>
          </w:tcPr>
          <w:p w14:paraId="363F135E" w14:textId="77777777" w:rsidR="00DC062C" w:rsidRPr="00C24578" w:rsidRDefault="00DC062C" w:rsidP="00AA7F20">
            <w:pPr>
              <w:pStyle w:val="08-Tabelageral"/>
            </w:pPr>
            <w:r>
              <w:t>350,217</w:t>
            </w:r>
          </w:p>
        </w:tc>
        <w:tc>
          <w:tcPr>
            <w:tcW w:w="1224" w:type="dxa"/>
            <w:tcBorders>
              <w:top w:val="nil"/>
              <w:left w:val="nil"/>
              <w:bottom w:val="nil"/>
              <w:right w:val="nil"/>
            </w:tcBorders>
            <w:shd w:val="clear" w:color="auto" w:fill="auto"/>
            <w:noWrap/>
            <w:vAlign w:val="bottom"/>
          </w:tcPr>
          <w:p w14:paraId="2CD6C083" w14:textId="77777777" w:rsidR="00DC062C" w:rsidRPr="00C24578" w:rsidRDefault="00DC062C" w:rsidP="00AA7F20">
            <w:pPr>
              <w:pStyle w:val="08-Tabelageral"/>
            </w:pPr>
            <w:r>
              <w:t>--</w:t>
            </w:r>
          </w:p>
        </w:tc>
        <w:tc>
          <w:tcPr>
            <w:tcW w:w="1224" w:type="dxa"/>
            <w:tcBorders>
              <w:top w:val="nil"/>
              <w:left w:val="nil"/>
              <w:bottom w:val="nil"/>
              <w:right w:val="nil"/>
            </w:tcBorders>
            <w:shd w:val="clear" w:color="auto" w:fill="auto"/>
            <w:noWrap/>
            <w:vAlign w:val="bottom"/>
          </w:tcPr>
          <w:p w14:paraId="45A42061" w14:textId="77777777" w:rsidR="00DC062C" w:rsidRPr="00C24578" w:rsidRDefault="00DC062C" w:rsidP="00AA7F20">
            <w:pPr>
              <w:pStyle w:val="08-Tabelageral"/>
            </w:pPr>
            <w:r>
              <w:t>350,217</w:t>
            </w:r>
          </w:p>
        </w:tc>
      </w:tr>
      <w:tr w:rsidR="00DC062C" w:rsidRPr="000F0D18" w14:paraId="4D210080" w14:textId="77777777" w:rsidTr="00DC062C">
        <w:trPr>
          <w:trHeight w:val="238"/>
          <w:jc w:val="center"/>
        </w:trPr>
        <w:tc>
          <w:tcPr>
            <w:tcW w:w="2296" w:type="dxa"/>
            <w:tcBorders>
              <w:top w:val="nil"/>
              <w:left w:val="nil"/>
              <w:right w:val="nil"/>
            </w:tcBorders>
            <w:shd w:val="clear" w:color="auto" w:fill="auto"/>
            <w:noWrap/>
            <w:vAlign w:val="bottom"/>
          </w:tcPr>
          <w:p w14:paraId="3F6E19B6" w14:textId="77777777" w:rsidR="00DC062C" w:rsidRPr="00C24578" w:rsidRDefault="00DC062C" w:rsidP="00AA7F20">
            <w:pPr>
              <w:pStyle w:val="08-Tabelageral"/>
              <w:jc w:val="left"/>
            </w:pPr>
            <w:r w:rsidRPr="000E12F3">
              <w:t>Cash and cash Equivalents</w:t>
            </w:r>
          </w:p>
        </w:tc>
        <w:tc>
          <w:tcPr>
            <w:tcW w:w="1224" w:type="dxa"/>
            <w:tcBorders>
              <w:top w:val="nil"/>
              <w:left w:val="nil"/>
              <w:right w:val="nil"/>
            </w:tcBorders>
            <w:shd w:val="clear" w:color="auto" w:fill="auto"/>
            <w:noWrap/>
            <w:vAlign w:val="bottom"/>
          </w:tcPr>
          <w:p w14:paraId="7DDD3B8C" w14:textId="77777777" w:rsidR="00DC062C" w:rsidRPr="00C24578" w:rsidRDefault="00DC062C" w:rsidP="00AA7F20">
            <w:pPr>
              <w:pStyle w:val="08-Tabelageral"/>
            </w:pPr>
            <w:r>
              <w:t>2,814,755</w:t>
            </w:r>
          </w:p>
        </w:tc>
        <w:tc>
          <w:tcPr>
            <w:tcW w:w="1224" w:type="dxa"/>
            <w:tcBorders>
              <w:top w:val="nil"/>
              <w:left w:val="nil"/>
              <w:right w:val="nil"/>
            </w:tcBorders>
            <w:shd w:val="clear" w:color="auto" w:fill="auto"/>
            <w:noWrap/>
            <w:vAlign w:val="bottom"/>
          </w:tcPr>
          <w:p w14:paraId="2B42614C" w14:textId="77777777" w:rsidR="00DC062C" w:rsidRPr="00C24578" w:rsidRDefault="00DC062C" w:rsidP="00AA7F20">
            <w:pPr>
              <w:pStyle w:val="08-Tabelageral"/>
            </w:pPr>
            <w:r>
              <w:t>--</w:t>
            </w:r>
          </w:p>
        </w:tc>
        <w:tc>
          <w:tcPr>
            <w:tcW w:w="1224" w:type="dxa"/>
            <w:tcBorders>
              <w:top w:val="nil"/>
              <w:left w:val="nil"/>
              <w:right w:val="nil"/>
            </w:tcBorders>
            <w:shd w:val="clear" w:color="auto" w:fill="auto"/>
            <w:noWrap/>
            <w:vAlign w:val="bottom"/>
          </w:tcPr>
          <w:p w14:paraId="2C9B68C4" w14:textId="77777777" w:rsidR="00DC062C" w:rsidRPr="00C24578" w:rsidRDefault="00DC062C" w:rsidP="00AA7F20">
            <w:pPr>
              <w:pStyle w:val="08-Tabelageral"/>
            </w:pPr>
            <w:r>
              <w:t>2,814,755</w:t>
            </w:r>
          </w:p>
        </w:tc>
        <w:tc>
          <w:tcPr>
            <w:tcW w:w="1223" w:type="dxa"/>
            <w:tcBorders>
              <w:top w:val="nil"/>
              <w:left w:val="nil"/>
              <w:right w:val="nil"/>
            </w:tcBorders>
            <w:shd w:val="clear" w:color="auto" w:fill="auto"/>
            <w:noWrap/>
            <w:vAlign w:val="bottom"/>
          </w:tcPr>
          <w:p w14:paraId="610EFDF8" w14:textId="77777777" w:rsidR="00DC062C" w:rsidRPr="00C24578" w:rsidRDefault="00DC062C" w:rsidP="00AA7F20">
            <w:pPr>
              <w:pStyle w:val="08-Tabelageral"/>
            </w:pPr>
            <w:r>
              <w:t>6,076,618</w:t>
            </w:r>
          </w:p>
        </w:tc>
        <w:tc>
          <w:tcPr>
            <w:tcW w:w="1224" w:type="dxa"/>
            <w:tcBorders>
              <w:top w:val="nil"/>
              <w:left w:val="nil"/>
              <w:right w:val="nil"/>
            </w:tcBorders>
            <w:shd w:val="clear" w:color="auto" w:fill="auto"/>
            <w:noWrap/>
            <w:vAlign w:val="bottom"/>
          </w:tcPr>
          <w:p w14:paraId="1731F9F9" w14:textId="77777777" w:rsidR="00DC062C" w:rsidRPr="00C24578" w:rsidRDefault="00DC062C" w:rsidP="00AA7F20">
            <w:pPr>
              <w:pStyle w:val="08-Tabelageral"/>
            </w:pPr>
            <w:r>
              <w:t>--</w:t>
            </w:r>
          </w:p>
        </w:tc>
        <w:tc>
          <w:tcPr>
            <w:tcW w:w="1224" w:type="dxa"/>
            <w:tcBorders>
              <w:top w:val="nil"/>
              <w:left w:val="nil"/>
              <w:right w:val="nil"/>
            </w:tcBorders>
            <w:shd w:val="clear" w:color="auto" w:fill="auto"/>
            <w:noWrap/>
            <w:vAlign w:val="bottom"/>
          </w:tcPr>
          <w:p w14:paraId="734F87FE" w14:textId="77777777" w:rsidR="00DC062C" w:rsidRPr="00C24578" w:rsidRDefault="00DC062C" w:rsidP="00AA7F20">
            <w:pPr>
              <w:pStyle w:val="08-Tabelageral"/>
            </w:pPr>
            <w:r>
              <w:t>6,076,618</w:t>
            </w:r>
          </w:p>
        </w:tc>
      </w:tr>
      <w:tr w:rsidR="00DC062C" w:rsidRPr="00ED0236" w14:paraId="3AE84199" w14:textId="77777777" w:rsidTr="00DC062C">
        <w:trPr>
          <w:trHeight w:val="238"/>
          <w:jc w:val="center"/>
        </w:trPr>
        <w:tc>
          <w:tcPr>
            <w:tcW w:w="2296" w:type="dxa"/>
            <w:tcBorders>
              <w:bottom w:val="single" w:sz="2" w:space="0" w:color="1F4E79" w:themeColor="accent1" w:themeShade="80"/>
            </w:tcBorders>
            <w:shd w:val="clear" w:color="auto" w:fill="auto"/>
            <w:noWrap/>
            <w:hideMark/>
          </w:tcPr>
          <w:p w14:paraId="061D17A1" w14:textId="77777777" w:rsidR="00DC062C" w:rsidRPr="000F0D18" w:rsidRDefault="00DC062C" w:rsidP="00AA7F20">
            <w:pPr>
              <w:pStyle w:val="08-Tabelageral"/>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252028E6" w14:textId="77777777" w:rsidR="00DC062C" w:rsidRPr="00ED0236" w:rsidRDefault="00DC062C" w:rsidP="00AA7F20">
            <w:pPr>
              <w:pStyle w:val="08-Tabelageral"/>
              <w:rPr>
                <w:rFonts w:cs="Arial"/>
                <w:b/>
              </w:rPr>
            </w:pPr>
            <w:r>
              <w:rPr>
                <w:rFonts w:cs="Arial"/>
                <w:b/>
              </w:rPr>
              <w:t>3,822,255</w:t>
            </w:r>
          </w:p>
        </w:tc>
        <w:tc>
          <w:tcPr>
            <w:tcW w:w="1224" w:type="dxa"/>
            <w:tcBorders>
              <w:top w:val="nil"/>
              <w:left w:val="nil"/>
              <w:bottom w:val="single" w:sz="2" w:space="0" w:color="1F4E79" w:themeColor="accent1" w:themeShade="80"/>
              <w:right w:val="nil"/>
            </w:tcBorders>
            <w:shd w:val="clear" w:color="auto" w:fill="auto"/>
            <w:noWrap/>
            <w:vAlign w:val="bottom"/>
          </w:tcPr>
          <w:p w14:paraId="5DCDB5E0" w14:textId="77777777" w:rsidR="00DC062C" w:rsidRPr="00ED0236" w:rsidRDefault="00DC062C" w:rsidP="00AA7F20">
            <w:pPr>
              <w:pStyle w:val="08-Tabelageral"/>
              <w:rPr>
                <w:rFonts w:cs="Arial"/>
                <w:b/>
              </w:rPr>
            </w:pPr>
            <w:r>
              <w:rPr>
                <w:rFonts w:cs="Arial"/>
                <w:b/>
              </w:rPr>
              <w:t>17,246</w:t>
            </w:r>
          </w:p>
        </w:tc>
        <w:tc>
          <w:tcPr>
            <w:tcW w:w="1224" w:type="dxa"/>
            <w:tcBorders>
              <w:top w:val="nil"/>
              <w:left w:val="nil"/>
              <w:bottom w:val="single" w:sz="2" w:space="0" w:color="1F4E79" w:themeColor="accent1" w:themeShade="80"/>
              <w:right w:val="nil"/>
            </w:tcBorders>
            <w:shd w:val="clear" w:color="auto" w:fill="auto"/>
            <w:noWrap/>
            <w:vAlign w:val="bottom"/>
          </w:tcPr>
          <w:p w14:paraId="37C746AA" w14:textId="77777777" w:rsidR="00DC062C" w:rsidRPr="00ED0236" w:rsidRDefault="00DC062C" w:rsidP="00AA7F20">
            <w:pPr>
              <w:pStyle w:val="08-Tabelageral"/>
              <w:rPr>
                <w:rFonts w:cs="Arial"/>
                <w:b/>
              </w:rPr>
            </w:pPr>
            <w:r>
              <w:rPr>
                <w:rFonts w:cs="Arial"/>
                <w:b/>
              </w:rPr>
              <w:t>3,839,501</w:t>
            </w:r>
          </w:p>
        </w:tc>
        <w:tc>
          <w:tcPr>
            <w:tcW w:w="1223" w:type="dxa"/>
            <w:tcBorders>
              <w:top w:val="nil"/>
              <w:left w:val="nil"/>
              <w:bottom w:val="single" w:sz="2" w:space="0" w:color="1F4E79" w:themeColor="accent1" w:themeShade="80"/>
              <w:right w:val="nil"/>
            </w:tcBorders>
            <w:shd w:val="clear" w:color="auto" w:fill="auto"/>
            <w:noWrap/>
            <w:vAlign w:val="bottom"/>
          </w:tcPr>
          <w:p w14:paraId="72EEBDFF" w14:textId="77777777" w:rsidR="00DC062C" w:rsidRPr="00ED0236" w:rsidRDefault="00DC062C" w:rsidP="00AA7F20">
            <w:pPr>
              <w:pStyle w:val="08-Tabelageral"/>
              <w:rPr>
                <w:rFonts w:cs="Arial"/>
                <w:b/>
              </w:rPr>
            </w:pPr>
            <w:r>
              <w:rPr>
                <w:rFonts w:cs="Arial"/>
                <w:b/>
              </w:rPr>
              <w:t>6,426,835</w:t>
            </w:r>
          </w:p>
        </w:tc>
        <w:tc>
          <w:tcPr>
            <w:tcW w:w="1224" w:type="dxa"/>
            <w:tcBorders>
              <w:top w:val="nil"/>
              <w:left w:val="nil"/>
              <w:bottom w:val="single" w:sz="2" w:space="0" w:color="1F4E79" w:themeColor="accent1" w:themeShade="80"/>
              <w:right w:val="nil"/>
            </w:tcBorders>
            <w:shd w:val="clear" w:color="auto" w:fill="auto"/>
            <w:noWrap/>
            <w:vAlign w:val="bottom"/>
          </w:tcPr>
          <w:p w14:paraId="4BFBE276" w14:textId="77777777" w:rsidR="00DC062C" w:rsidRPr="00ED0236" w:rsidRDefault="00DC062C" w:rsidP="00AA7F20">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192BA867" w14:textId="77777777" w:rsidR="00DC062C" w:rsidRPr="00ED0236" w:rsidRDefault="00DC062C" w:rsidP="00AA7F20">
            <w:pPr>
              <w:pStyle w:val="08-Tabelageral"/>
              <w:rPr>
                <w:rFonts w:cs="Arial"/>
                <w:b/>
              </w:rPr>
            </w:pPr>
            <w:r>
              <w:rPr>
                <w:rFonts w:cs="Arial"/>
                <w:b/>
              </w:rPr>
              <w:t>6,444,899</w:t>
            </w:r>
          </w:p>
        </w:tc>
      </w:tr>
      <w:bookmarkEnd w:id="46"/>
    </w:tbl>
    <w:p w14:paraId="7CFBA08B" w14:textId="77777777" w:rsidR="00DC062C" w:rsidRPr="00052779" w:rsidRDefault="00DC062C" w:rsidP="00AA7F20">
      <w:pPr>
        <w:pStyle w:val="07-Legenda"/>
        <w:keepNext/>
        <w:ind w:left="0" w:firstLine="0"/>
        <w:rPr>
          <w:rFonts w:cs="Arial"/>
          <w:b/>
          <w:szCs w:val="14"/>
          <w:lang w:val="en-US"/>
        </w:rPr>
      </w:pPr>
    </w:p>
    <w:p w14:paraId="232A20A2" w14:textId="3AA9CA89" w:rsidR="00DC062C" w:rsidRPr="0016781B" w:rsidRDefault="00DC062C" w:rsidP="00AA7F20">
      <w:pPr>
        <w:pStyle w:val="Ttulo1"/>
        <w:rPr>
          <w:b w:val="0"/>
        </w:rPr>
      </w:pPr>
      <w:bookmarkStart w:id="49" w:name="_Toc134823581"/>
      <w:r w:rsidRPr="0016781B">
        <w:t>17 – DIVIDENDS / INTEREST ON EQUITY CAPITAL RECEIVABLE</w:t>
      </w:r>
      <w:bookmarkEnd w:id="49"/>
    </w:p>
    <w:p w14:paraId="2232BC0C" w14:textId="77777777" w:rsidR="00DC062C" w:rsidRPr="004C6ED9" w:rsidRDefault="00DC062C" w:rsidP="00AA7F20">
      <w:pPr>
        <w:pStyle w:val="01-TtulodeNota"/>
        <w:spacing w:before="0" w:after="0"/>
        <w:jc w:val="right"/>
        <w:rPr>
          <w:sz w:val="14"/>
          <w:szCs w:val="14"/>
        </w:rPr>
      </w:pPr>
      <w:r w:rsidRPr="004C6ED9">
        <w:rPr>
          <w:sz w:val="14"/>
          <w:szCs w:val="14"/>
        </w:rPr>
        <w:t xml:space="preserve">R$ </w:t>
      </w:r>
      <w:r>
        <w:rPr>
          <w:sz w:val="14"/>
          <w:szCs w:val="14"/>
        </w:rPr>
        <w:t>thousand</w:t>
      </w:r>
    </w:p>
    <w:tbl>
      <w:tblPr>
        <w:tblW w:w="9639" w:type="dxa"/>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DC062C" w:rsidRPr="004C6ED9" w14:paraId="1848FFD4" w14:textId="77777777" w:rsidTr="00DC062C">
        <w:trPr>
          <w:trHeight w:val="238"/>
        </w:trPr>
        <w:tc>
          <w:tcPr>
            <w:tcW w:w="850" w:type="dxa"/>
            <w:tcBorders>
              <w:bottom w:val="nil"/>
            </w:tcBorders>
            <w:shd w:val="clear" w:color="auto" w:fill="auto"/>
            <w:vAlign w:val="center"/>
          </w:tcPr>
          <w:p w14:paraId="0F64DFFE" w14:textId="77777777" w:rsidR="00DC062C" w:rsidRPr="004C6ED9" w:rsidRDefault="00DC062C" w:rsidP="00AA7F20">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2BF1DFA0" w14:textId="77777777" w:rsidR="00DC062C" w:rsidRPr="004C6ED9" w:rsidRDefault="00DC062C" w:rsidP="00AA7F20">
            <w:pPr>
              <w:keepNext/>
              <w:keepLines/>
              <w:spacing w:before="40" w:after="40"/>
              <w:jc w:val="center"/>
              <w:rPr>
                <w:rFonts w:cs="Arial"/>
                <w:spacing w:val="-2"/>
                <w:sz w:val="14"/>
                <w:szCs w:val="14"/>
              </w:rPr>
            </w:pPr>
          </w:p>
        </w:tc>
        <w:tc>
          <w:tcPr>
            <w:tcW w:w="2823" w:type="dxa"/>
            <w:gridSpan w:val="2"/>
            <w:tcBorders>
              <w:bottom w:val="single" w:sz="6" w:space="0" w:color="1F4E79" w:themeColor="accent1" w:themeShade="80"/>
            </w:tcBorders>
            <w:shd w:val="clear" w:color="auto" w:fill="auto"/>
            <w:vAlign w:val="center"/>
          </w:tcPr>
          <w:p w14:paraId="791CDA7C" w14:textId="77777777" w:rsidR="00DC062C" w:rsidRPr="0079276F" w:rsidRDefault="00DC062C" w:rsidP="00AA7F20">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tcBorders>
              <w:bottom w:val="single" w:sz="6" w:space="0" w:color="1F4E79" w:themeColor="accent1" w:themeShade="80"/>
            </w:tcBorders>
            <w:shd w:val="clear" w:color="auto" w:fill="auto"/>
            <w:vAlign w:val="center"/>
          </w:tcPr>
          <w:p w14:paraId="62F6AD52" w14:textId="77777777" w:rsidR="00DC062C" w:rsidRPr="0079276F" w:rsidRDefault="00DC062C" w:rsidP="00AA7F20">
            <w:pPr>
              <w:keepNext/>
              <w:keepLines/>
              <w:spacing w:before="40" w:after="40"/>
              <w:jc w:val="center"/>
              <w:rPr>
                <w:rFonts w:cs="Arial"/>
                <w:b/>
                <w:bCs/>
                <w:spacing w:val="-2"/>
                <w:sz w:val="14"/>
                <w:szCs w:val="14"/>
              </w:rPr>
            </w:pPr>
          </w:p>
        </w:tc>
        <w:tc>
          <w:tcPr>
            <w:tcW w:w="2835" w:type="dxa"/>
            <w:gridSpan w:val="2"/>
            <w:tcBorders>
              <w:bottom w:val="single" w:sz="6" w:space="0" w:color="1F4E79" w:themeColor="accent1" w:themeShade="80"/>
            </w:tcBorders>
            <w:shd w:val="clear" w:color="auto" w:fill="auto"/>
            <w:vAlign w:val="center"/>
          </w:tcPr>
          <w:p w14:paraId="2C6420BF" w14:textId="77777777" w:rsidR="00DC062C" w:rsidRPr="0079276F" w:rsidRDefault="00DC062C" w:rsidP="00AA7F20">
            <w:pPr>
              <w:keepNext/>
              <w:keepLines/>
              <w:spacing w:before="40" w:after="40"/>
              <w:jc w:val="center"/>
              <w:rPr>
                <w:rFonts w:cs="Arial"/>
                <w:b/>
                <w:spacing w:val="-2"/>
                <w:sz w:val="14"/>
                <w:szCs w:val="14"/>
                <w:vertAlign w:val="superscript"/>
              </w:rPr>
            </w:pPr>
            <w:r w:rsidRPr="0079276F">
              <w:rPr>
                <w:rFonts w:cs="Arial"/>
                <w:b/>
                <w:spacing w:val="-2"/>
                <w:sz w:val="14"/>
                <w:szCs w:val="14"/>
              </w:rPr>
              <w:t>Consolida</w:t>
            </w:r>
            <w:r>
              <w:rPr>
                <w:rFonts w:cs="Arial"/>
                <w:b/>
                <w:spacing w:val="-2"/>
                <w:sz w:val="14"/>
                <w:szCs w:val="14"/>
              </w:rPr>
              <w:t>ted</w:t>
            </w:r>
          </w:p>
        </w:tc>
      </w:tr>
      <w:tr w:rsidR="00DC062C" w:rsidRPr="004C6ED9" w14:paraId="6972446F" w14:textId="77777777" w:rsidTr="00DC062C">
        <w:trPr>
          <w:trHeight w:val="238"/>
        </w:trPr>
        <w:tc>
          <w:tcPr>
            <w:tcW w:w="3094" w:type="dxa"/>
            <w:gridSpan w:val="2"/>
            <w:tcBorders>
              <w:top w:val="nil"/>
              <w:bottom w:val="single" w:sz="6" w:space="0" w:color="1F4E79" w:themeColor="accent1" w:themeShade="80"/>
            </w:tcBorders>
            <w:shd w:val="clear" w:color="auto" w:fill="auto"/>
            <w:vAlign w:val="center"/>
          </w:tcPr>
          <w:p w14:paraId="438B2395" w14:textId="77777777" w:rsidR="00DC062C" w:rsidRPr="004C6ED9" w:rsidRDefault="00DC062C" w:rsidP="00AA7F20">
            <w:pPr>
              <w:keepNext/>
              <w:keepLines/>
              <w:spacing w:before="40" w:after="40"/>
              <w:jc w:val="center"/>
              <w:rPr>
                <w:rFonts w:cs="Arial"/>
                <w:spacing w:val="-2"/>
                <w:sz w:val="14"/>
                <w:szCs w:val="14"/>
              </w:rPr>
            </w:pPr>
          </w:p>
        </w:tc>
        <w:tc>
          <w:tcPr>
            <w:tcW w:w="604" w:type="dxa"/>
            <w:tcBorders>
              <w:top w:val="nil"/>
              <w:bottom w:val="single" w:sz="6" w:space="0" w:color="1F4E79" w:themeColor="accent1" w:themeShade="80"/>
            </w:tcBorders>
            <w:shd w:val="clear" w:color="auto" w:fill="auto"/>
            <w:vAlign w:val="center"/>
          </w:tcPr>
          <w:p w14:paraId="4BE0F47A" w14:textId="77777777" w:rsidR="00DC062C" w:rsidRPr="004C6ED9" w:rsidRDefault="00DC062C" w:rsidP="00AA7F20">
            <w:pPr>
              <w:keepNext/>
              <w:keepLines/>
              <w:spacing w:before="40" w:after="40"/>
              <w:jc w:val="center"/>
              <w:rPr>
                <w:rFonts w:cs="Arial"/>
                <w:b/>
                <w:spacing w:val="-2"/>
                <w:sz w:val="14"/>
                <w:szCs w:val="14"/>
              </w:rPr>
            </w:pPr>
          </w:p>
        </w:tc>
        <w:tc>
          <w:tcPr>
            <w:tcW w:w="1411" w:type="dxa"/>
            <w:tcBorders>
              <w:bottom w:val="single" w:sz="6" w:space="0" w:color="1F4E79" w:themeColor="accent1" w:themeShade="80"/>
            </w:tcBorders>
            <w:shd w:val="clear" w:color="auto" w:fill="auto"/>
            <w:vAlign w:val="center"/>
          </w:tcPr>
          <w:p w14:paraId="100FD500" w14:textId="77777777" w:rsidR="00DC062C" w:rsidRPr="00CF762E" w:rsidRDefault="00DC062C" w:rsidP="00AA7F20">
            <w:pPr>
              <w:keepNext/>
              <w:keepLines/>
              <w:spacing w:before="40" w:after="40"/>
              <w:jc w:val="right"/>
              <w:rPr>
                <w:rFonts w:cs="Arial"/>
                <w:b/>
                <w:spacing w:val="-2"/>
                <w:sz w:val="14"/>
                <w:szCs w:val="14"/>
                <w:vertAlign w:val="superscript"/>
              </w:rPr>
            </w:pPr>
            <w:r>
              <w:rPr>
                <w:rFonts w:cs="Arial"/>
                <w:b/>
                <w:spacing w:val="-2"/>
                <w:sz w:val="14"/>
                <w:szCs w:val="14"/>
              </w:rPr>
              <w:t xml:space="preserve">Mar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23</w:t>
            </w:r>
          </w:p>
        </w:tc>
        <w:tc>
          <w:tcPr>
            <w:tcW w:w="1412" w:type="dxa"/>
            <w:tcBorders>
              <w:bottom w:val="single" w:sz="6" w:space="0" w:color="1F4E79" w:themeColor="accent1" w:themeShade="80"/>
            </w:tcBorders>
            <w:shd w:val="clear" w:color="auto" w:fill="auto"/>
            <w:vAlign w:val="center"/>
          </w:tcPr>
          <w:p w14:paraId="4A6B0AF6" w14:textId="77777777" w:rsidR="00DC062C" w:rsidRPr="00AF7E05" w:rsidRDefault="00DC062C" w:rsidP="00AA7F20">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 xml:space="preserve">22 </w:t>
            </w:r>
            <w:r>
              <w:rPr>
                <w:rFonts w:cs="Arial"/>
                <w:b/>
                <w:spacing w:val="-2"/>
                <w:sz w:val="14"/>
                <w:szCs w:val="14"/>
                <w:vertAlign w:val="superscript"/>
              </w:rPr>
              <w:t>(1)</w:t>
            </w:r>
          </w:p>
        </w:tc>
        <w:tc>
          <w:tcPr>
            <w:tcW w:w="283" w:type="dxa"/>
            <w:tcBorders>
              <w:bottom w:val="single" w:sz="6" w:space="0" w:color="1F4E79" w:themeColor="accent1" w:themeShade="80"/>
            </w:tcBorders>
            <w:shd w:val="clear" w:color="auto" w:fill="auto"/>
            <w:vAlign w:val="center"/>
          </w:tcPr>
          <w:p w14:paraId="07904E6C" w14:textId="77777777" w:rsidR="00DC062C" w:rsidRPr="004C6ED9" w:rsidRDefault="00DC062C" w:rsidP="00AA7F20">
            <w:pPr>
              <w:keepNext/>
              <w:keepLines/>
              <w:spacing w:before="40" w:after="40"/>
              <w:jc w:val="right"/>
              <w:rPr>
                <w:rFonts w:cs="Arial"/>
                <w:b/>
                <w:spacing w:val="-2"/>
                <w:sz w:val="14"/>
                <w:szCs w:val="14"/>
              </w:rPr>
            </w:pPr>
          </w:p>
        </w:tc>
        <w:tc>
          <w:tcPr>
            <w:tcW w:w="1417" w:type="dxa"/>
            <w:tcBorders>
              <w:bottom w:val="single" w:sz="6" w:space="0" w:color="1F4E79" w:themeColor="accent1" w:themeShade="80"/>
            </w:tcBorders>
            <w:shd w:val="clear" w:color="auto" w:fill="auto"/>
            <w:vAlign w:val="center"/>
          </w:tcPr>
          <w:p w14:paraId="461D2A8C" w14:textId="77777777" w:rsidR="00DC062C" w:rsidRPr="004C6ED9" w:rsidRDefault="00DC062C" w:rsidP="00AA7F20">
            <w:pPr>
              <w:keepNext/>
              <w:keepLines/>
              <w:spacing w:before="40" w:after="40"/>
              <w:jc w:val="center"/>
              <w:rPr>
                <w:rFonts w:cs="Arial"/>
                <w:b/>
                <w:spacing w:val="-2"/>
                <w:sz w:val="14"/>
                <w:szCs w:val="14"/>
              </w:rPr>
            </w:pPr>
            <w:r>
              <w:rPr>
                <w:rFonts w:cs="Arial"/>
                <w:b/>
                <w:spacing w:val="-2"/>
                <w:sz w:val="14"/>
                <w:szCs w:val="14"/>
              </w:rPr>
              <w:t xml:space="preserve">Mar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23</w:t>
            </w:r>
          </w:p>
        </w:tc>
        <w:tc>
          <w:tcPr>
            <w:tcW w:w="1418" w:type="dxa"/>
            <w:tcBorders>
              <w:bottom w:val="single" w:sz="6" w:space="0" w:color="1F4E79" w:themeColor="accent1" w:themeShade="80"/>
            </w:tcBorders>
            <w:shd w:val="clear" w:color="auto" w:fill="auto"/>
            <w:vAlign w:val="center"/>
          </w:tcPr>
          <w:p w14:paraId="67F6283B" w14:textId="77777777" w:rsidR="00DC062C" w:rsidRPr="0082415E" w:rsidRDefault="00DC062C" w:rsidP="00AA7F20">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22</w:t>
            </w:r>
          </w:p>
        </w:tc>
      </w:tr>
      <w:tr w:rsidR="00DC062C" w:rsidRPr="004C6ED9" w14:paraId="309B9967" w14:textId="77777777" w:rsidTr="00DC062C">
        <w:trPr>
          <w:trHeight w:val="238"/>
        </w:trPr>
        <w:tc>
          <w:tcPr>
            <w:tcW w:w="3094" w:type="dxa"/>
            <w:gridSpan w:val="2"/>
            <w:tcBorders>
              <w:top w:val="single" w:sz="6" w:space="0" w:color="1F4E79" w:themeColor="accent1" w:themeShade="80"/>
            </w:tcBorders>
            <w:shd w:val="clear" w:color="auto" w:fill="auto"/>
          </w:tcPr>
          <w:p w14:paraId="5FB850D5" w14:textId="77777777" w:rsidR="00DC062C" w:rsidRPr="00B92CC7" w:rsidRDefault="00DC062C" w:rsidP="00AA7F20">
            <w:pPr>
              <w:pStyle w:val="08-Tabelageral"/>
              <w:jc w:val="left"/>
              <w:rPr>
                <w:rFonts w:cs="Arial"/>
                <w:b/>
                <w:szCs w:val="14"/>
                <w:vertAlign w:val="superscript"/>
              </w:rPr>
            </w:pPr>
            <w:r>
              <w:rPr>
                <w:rFonts w:cs="Arial"/>
                <w:szCs w:val="14"/>
              </w:rPr>
              <w:t xml:space="preserve">Dividends receivable </w:t>
            </w:r>
          </w:p>
        </w:tc>
        <w:tc>
          <w:tcPr>
            <w:tcW w:w="604" w:type="dxa"/>
            <w:tcBorders>
              <w:top w:val="single" w:sz="6" w:space="0" w:color="1F4E79" w:themeColor="accent1" w:themeShade="80"/>
            </w:tcBorders>
            <w:shd w:val="clear" w:color="auto" w:fill="auto"/>
          </w:tcPr>
          <w:p w14:paraId="3D01D48B" w14:textId="77777777" w:rsidR="00DC062C" w:rsidRPr="004C6ED9" w:rsidRDefault="00DC062C" w:rsidP="00AA7F20">
            <w:pPr>
              <w:pStyle w:val="08-Tabelageral"/>
              <w:rPr>
                <w:rFonts w:cs="Arial"/>
                <w:szCs w:val="14"/>
              </w:rPr>
            </w:pPr>
          </w:p>
        </w:tc>
        <w:tc>
          <w:tcPr>
            <w:tcW w:w="1411" w:type="dxa"/>
            <w:tcBorders>
              <w:top w:val="single" w:sz="6" w:space="0" w:color="1F4E79" w:themeColor="accent1" w:themeShade="80"/>
            </w:tcBorders>
            <w:shd w:val="clear" w:color="auto" w:fill="auto"/>
          </w:tcPr>
          <w:p w14:paraId="0A43B82F" w14:textId="77777777" w:rsidR="00DC062C" w:rsidRPr="004C6ED9" w:rsidRDefault="00DC062C" w:rsidP="00AA7F20">
            <w:pPr>
              <w:pStyle w:val="08-Tabelageral"/>
              <w:rPr>
                <w:rFonts w:cs="Arial"/>
                <w:szCs w:val="14"/>
              </w:rPr>
            </w:pPr>
            <w:r>
              <w:rPr>
                <w:rFonts w:cs="Arial"/>
                <w:szCs w:val="14"/>
              </w:rPr>
              <w:t>--</w:t>
            </w:r>
          </w:p>
        </w:tc>
        <w:tc>
          <w:tcPr>
            <w:tcW w:w="1412" w:type="dxa"/>
            <w:tcBorders>
              <w:top w:val="single" w:sz="6" w:space="0" w:color="1F4E79" w:themeColor="accent1" w:themeShade="80"/>
            </w:tcBorders>
            <w:shd w:val="clear" w:color="auto" w:fill="auto"/>
          </w:tcPr>
          <w:p w14:paraId="62FD94D3" w14:textId="77777777" w:rsidR="00DC062C" w:rsidRPr="004C6ED9" w:rsidRDefault="00DC062C" w:rsidP="00AA7F20">
            <w:pPr>
              <w:pStyle w:val="08-Tabelageral"/>
              <w:rPr>
                <w:rFonts w:cs="Arial"/>
                <w:szCs w:val="14"/>
              </w:rPr>
            </w:pPr>
            <w:r>
              <w:rPr>
                <w:rFonts w:cs="Arial"/>
                <w:szCs w:val="14"/>
              </w:rPr>
              <w:t>3,683,356</w:t>
            </w:r>
          </w:p>
        </w:tc>
        <w:tc>
          <w:tcPr>
            <w:tcW w:w="283" w:type="dxa"/>
            <w:tcBorders>
              <w:top w:val="single" w:sz="6" w:space="0" w:color="1F4E79" w:themeColor="accent1" w:themeShade="80"/>
            </w:tcBorders>
            <w:shd w:val="clear" w:color="auto" w:fill="auto"/>
          </w:tcPr>
          <w:p w14:paraId="354353DF" w14:textId="77777777" w:rsidR="00DC062C" w:rsidRPr="004C6ED9" w:rsidRDefault="00DC062C" w:rsidP="00AA7F20">
            <w:pPr>
              <w:pStyle w:val="08-Tabelageral"/>
              <w:rPr>
                <w:rFonts w:cs="Arial"/>
                <w:szCs w:val="14"/>
              </w:rPr>
            </w:pPr>
          </w:p>
        </w:tc>
        <w:tc>
          <w:tcPr>
            <w:tcW w:w="1417" w:type="dxa"/>
            <w:tcBorders>
              <w:top w:val="single" w:sz="6" w:space="0" w:color="1F4E79" w:themeColor="accent1" w:themeShade="80"/>
            </w:tcBorders>
            <w:shd w:val="clear" w:color="auto" w:fill="auto"/>
          </w:tcPr>
          <w:p w14:paraId="72F55718" w14:textId="77777777" w:rsidR="00DC062C" w:rsidRPr="004C6ED9" w:rsidRDefault="00DC062C" w:rsidP="00AA7F20">
            <w:pPr>
              <w:pStyle w:val="08-Tabelageral"/>
              <w:ind w:right="313"/>
              <w:rPr>
                <w:rFonts w:cs="Arial"/>
                <w:szCs w:val="14"/>
              </w:rPr>
            </w:pPr>
            <w:r>
              <w:rPr>
                <w:rFonts w:cs="Arial"/>
                <w:szCs w:val="14"/>
              </w:rPr>
              <w:t>--</w:t>
            </w:r>
          </w:p>
        </w:tc>
        <w:tc>
          <w:tcPr>
            <w:tcW w:w="1418" w:type="dxa"/>
            <w:tcBorders>
              <w:top w:val="single" w:sz="6" w:space="0" w:color="1F4E79" w:themeColor="accent1" w:themeShade="80"/>
            </w:tcBorders>
            <w:shd w:val="clear" w:color="auto" w:fill="auto"/>
          </w:tcPr>
          <w:p w14:paraId="491B1FB1" w14:textId="77777777" w:rsidR="00DC062C" w:rsidRPr="004C6ED9" w:rsidRDefault="00DC062C" w:rsidP="00AA7F20">
            <w:pPr>
              <w:pStyle w:val="08-Tabelageral"/>
              <w:rPr>
                <w:rFonts w:cs="Arial"/>
                <w:szCs w:val="14"/>
              </w:rPr>
            </w:pPr>
            <w:r>
              <w:rPr>
                <w:rFonts w:cs="Arial"/>
                <w:szCs w:val="14"/>
              </w:rPr>
              <w:t>13,519</w:t>
            </w:r>
          </w:p>
        </w:tc>
      </w:tr>
    </w:tbl>
    <w:p w14:paraId="5C58BE90" w14:textId="77777777" w:rsidR="00DC062C" w:rsidRPr="00745C3D" w:rsidRDefault="00DC062C" w:rsidP="00AA7F20">
      <w:pPr>
        <w:pStyle w:val="07-Legenda"/>
        <w:numPr>
          <w:ilvl w:val="0"/>
          <w:numId w:val="2"/>
        </w:numPr>
        <w:ind w:left="0" w:hanging="284"/>
        <w:rPr>
          <w:szCs w:val="14"/>
          <w:lang w:val="en-US"/>
        </w:rPr>
      </w:pPr>
      <w:r w:rsidRPr="00745C3D">
        <w:rPr>
          <w:lang w:val="en-US"/>
        </w:rPr>
        <w:t>Refers to dividends received from BB Corretora and BB Seguros on 03.01.2023.</w:t>
      </w:r>
    </w:p>
    <w:p w14:paraId="66E04B40" w14:textId="37922322" w:rsidR="008C707F" w:rsidRPr="006B0F73" w:rsidRDefault="008C707F" w:rsidP="00AA7F20">
      <w:pPr>
        <w:pStyle w:val="Ttulo1"/>
        <w:rPr>
          <w:rFonts w:eastAsiaTheme="minorHAnsi"/>
        </w:rPr>
      </w:pPr>
    </w:p>
    <w:p w14:paraId="5A96DFDF" w14:textId="420E3EF5" w:rsidR="00AA7F20" w:rsidRPr="00D1582F" w:rsidRDefault="00AA7F20" w:rsidP="00AA7F20">
      <w:pPr>
        <w:pStyle w:val="Ttulo1"/>
        <w:rPr>
          <w:b w:val="0"/>
        </w:rPr>
      </w:pPr>
      <w:bookmarkStart w:id="50" w:name="_Toc134823582"/>
      <w:r>
        <w:lastRenderedPageBreak/>
        <w:t>18</w:t>
      </w:r>
      <w:r w:rsidRPr="00D1582F">
        <w:t xml:space="preserve"> – COMMISSIONS RECEIVABLE</w:t>
      </w:r>
      <w:bookmarkEnd w:id="50"/>
    </w:p>
    <w:p w14:paraId="69175782" w14:textId="77777777" w:rsidR="00AA7F20" w:rsidRPr="002B208A" w:rsidRDefault="00AA7F20" w:rsidP="00AA7F20">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AA7F20" w:rsidRPr="00D1582F" w14:paraId="0BCE81DF" w14:textId="77777777" w:rsidTr="00AA7F20">
        <w:trPr>
          <w:trHeight w:val="238"/>
          <w:jc w:val="center"/>
        </w:trPr>
        <w:tc>
          <w:tcPr>
            <w:tcW w:w="5240" w:type="dxa"/>
            <w:gridSpan w:val="2"/>
            <w:tcBorders>
              <w:top w:val="single" w:sz="2" w:space="0" w:color="1F4E79" w:themeColor="accent1" w:themeShade="80"/>
              <w:bottom w:val="nil"/>
            </w:tcBorders>
            <w:shd w:val="clear" w:color="auto" w:fill="auto"/>
          </w:tcPr>
          <w:p w14:paraId="3F850CD7" w14:textId="77777777" w:rsidR="00AA7F20" w:rsidRPr="00D1582F" w:rsidRDefault="00AA7F20" w:rsidP="00AA7F20">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6E4A5C2F" w14:textId="77777777" w:rsidR="00AA7F20" w:rsidRPr="00D1582F" w:rsidRDefault="00AA7F20" w:rsidP="00AA7F20">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35BF6D3D" w14:textId="77777777" w:rsidR="00AA7F20" w:rsidRPr="00D1582F" w:rsidRDefault="00AA7F20" w:rsidP="00AA7F20">
            <w:pPr>
              <w:pStyle w:val="08-Tabelageral"/>
              <w:jc w:val="center"/>
              <w:rPr>
                <w:b/>
              </w:rPr>
            </w:pPr>
            <w:r w:rsidRPr="00D1582F">
              <w:rPr>
                <w:rFonts w:cs="Arial"/>
                <w:b/>
                <w:lang w:val="en-US"/>
              </w:rPr>
              <w:t>Consolidated</w:t>
            </w:r>
          </w:p>
        </w:tc>
      </w:tr>
      <w:tr w:rsidR="00AA7F20" w:rsidRPr="00D1582F" w14:paraId="0BD41BB1" w14:textId="77777777" w:rsidTr="00AA7F20">
        <w:trPr>
          <w:trHeight w:val="238"/>
          <w:jc w:val="center"/>
        </w:trPr>
        <w:tc>
          <w:tcPr>
            <w:tcW w:w="4384" w:type="dxa"/>
            <w:tcBorders>
              <w:top w:val="nil"/>
              <w:bottom w:val="single" w:sz="2" w:space="0" w:color="1F4E79" w:themeColor="accent1" w:themeShade="80"/>
            </w:tcBorders>
            <w:shd w:val="clear" w:color="auto" w:fill="auto"/>
          </w:tcPr>
          <w:p w14:paraId="0C591125" w14:textId="77777777" w:rsidR="00AA7F20" w:rsidRPr="00D1582F" w:rsidRDefault="00AA7F20" w:rsidP="00AA7F20">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4FF376B5" w14:textId="77777777" w:rsidR="00AA7F20" w:rsidRPr="00D1582F" w:rsidRDefault="00AA7F20" w:rsidP="00AA7F20">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4A1DD56B" w14:textId="77777777" w:rsidR="00AA7F20" w:rsidRPr="00D1582F" w:rsidRDefault="00AA7F20" w:rsidP="00AA7F20">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759157A3" w14:textId="77777777" w:rsidR="00AA7F20" w:rsidRPr="00D1582F" w:rsidRDefault="00AA7F20" w:rsidP="00AA7F20">
            <w:pPr>
              <w:pStyle w:val="08-Tabelageral"/>
              <w:rPr>
                <w:b/>
              </w:rPr>
            </w:pPr>
            <w:r>
              <w:rPr>
                <w:rFonts w:cs="Arial"/>
                <w:b/>
              </w:rPr>
              <w:t>Mar</w:t>
            </w:r>
            <w:r w:rsidRPr="00D1582F">
              <w:rPr>
                <w:rFonts w:cs="Arial"/>
                <w:b/>
              </w:rPr>
              <w:t xml:space="preserve"> 3</w:t>
            </w:r>
            <w:r>
              <w:rPr>
                <w:rFonts w:cs="Arial"/>
                <w:b/>
              </w:rPr>
              <w:t>1</w:t>
            </w:r>
            <w:r w:rsidRPr="00D1582F">
              <w:rPr>
                <w:rFonts w:cs="Arial"/>
                <w:b/>
              </w:rPr>
              <w:t xml:space="preserve">, </w:t>
            </w:r>
            <w:r>
              <w:rPr>
                <w:rFonts w:cs="Arial"/>
                <w:b/>
              </w:rPr>
              <w:t>2023</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63DC0C63" w14:textId="77777777" w:rsidR="00AA7F20" w:rsidRPr="00D1582F" w:rsidRDefault="00AA7F20" w:rsidP="00AA7F20">
            <w:pPr>
              <w:pStyle w:val="08-Tabelageral"/>
              <w:rPr>
                <w:b/>
              </w:rPr>
            </w:pPr>
            <w:r>
              <w:rPr>
                <w:rFonts w:cs="Arial"/>
                <w:b/>
              </w:rPr>
              <w:t>Dec</w:t>
            </w:r>
            <w:r w:rsidRPr="00D1582F">
              <w:rPr>
                <w:rFonts w:cs="Arial"/>
                <w:b/>
              </w:rPr>
              <w:t xml:space="preserve"> 3</w:t>
            </w:r>
            <w:r>
              <w:rPr>
                <w:rFonts w:cs="Arial"/>
                <w:b/>
              </w:rPr>
              <w:t>1</w:t>
            </w:r>
            <w:r w:rsidRPr="00D1582F">
              <w:rPr>
                <w:rFonts w:cs="Arial"/>
                <w:b/>
              </w:rPr>
              <w:t>, 202</w:t>
            </w:r>
            <w:r>
              <w:rPr>
                <w:rFonts w:cs="Arial"/>
                <w:b/>
              </w:rPr>
              <w:t>2</w:t>
            </w:r>
          </w:p>
        </w:tc>
      </w:tr>
      <w:tr w:rsidR="00AA7F20" w:rsidRPr="00D1582F" w14:paraId="5454B01B" w14:textId="77777777" w:rsidTr="00AA7F20">
        <w:trPr>
          <w:trHeight w:val="238"/>
          <w:jc w:val="center"/>
        </w:trPr>
        <w:tc>
          <w:tcPr>
            <w:tcW w:w="4384" w:type="dxa"/>
            <w:tcBorders>
              <w:top w:val="single" w:sz="2" w:space="0" w:color="1F4E79" w:themeColor="accent1" w:themeShade="80"/>
            </w:tcBorders>
            <w:shd w:val="clear" w:color="auto" w:fill="auto"/>
            <w:vAlign w:val="center"/>
          </w:tcPr>
          <w:p w14:paraId="63371417" w14:textId="77777777" w:rsidR="00AA7F20" w:rsidRPr="00D1582F" w:rsidRDefault="00AA7F20" w:rsidP="00AA7F20">
            <w:pPr>
              <w:pStyle w:val="08-Tabelageral"/>
              <w:jc w:val="left"/>
              <w:rPr>
                <w:rFonts w:cs="Arial"/>
                <w:b/>
                <w:lang w:val="en-US"/>
              </w:rPr>
            </w:pPr>
            <w:r w:rsidRPr="00D1582F">
              <w:rPr>
                <w:rFonts w:cs="Arial"/>
                <w:b/>
                <w:lang w:val="en-US"/>
              </w:rPr>
              <w:t>Current Assets</w:t>
            </w:r>
          </w:p>
        </w:tc>
        <w:tc>
          <w:tcPr>
            <w:tcW w:w="856" w:type="dxa"/>
            <w:tcBorders>
              <w:top w:val="single" w:sz="2" w:space="0" w:color="1F4E79" w:themeColor="accent1" w:themeShade="80"/>
            </w:tcBorders>
            <w:shd w:val="clear" w:color="auto" w:fill="auto"/>
          </w:tcPr>
          <w:p w14:paraId="530A9870" w14:textId="77777777" w:rsidR="00AA7F20" w:rsidRPr="00D1582F" w:rsidRDefault="00AA7F20" w:rsidP="00AA7F20">
            <w:pPr>
              <w:pStyle w:val="08-Tabelageral"/>
              <w:rPr>
                <w:b/>
              </w:rPr>
            </w:pPr>
          </w:p>
        </w:tc>
        <w:tc>
          <w:tcPr>
            <w:tcW w:w="401" w:type="dxa"/>
            <w:tcBorders>
              <w:top w:val="single" w:sz="2" w:space="0" w:color="1F4E79" w:themeColor="accent1" w:themeShade="80"/>
            </w:tcBorders>
            <w:shd w:val="clear" w:color="auto" w:fill="auto"/>
          </w:tcPr>
          <w:p w14:paraId="5886D19C" w14:textId="77777777" w:rsidR="00AA7F20" w:rsidRPr="00D1582F" w:rsidRDefault="00AA7F20" w:rsidP="00AA7F20">
            <w:pPr>
              <w:pStyle w:val="08-Tabelageral"/>
              <w:rPr>
                <w:b/>
              </w:rPr>
            </w:pPr>
          </w:p>
        </w:tc>
        <w:tc>
          <w:tcPr>
            <w:tcW w:w="2008" w:type="dxa"/>
            <w:tcBorders>
              <w:top w:val="single" w:sz="2" w:space="0" w:color="1F4E79" w:themeColor="accent1" w:themeShade="80"/>
            </w:tcBorders>
            <w:shd w:val="clear" w:color="auto" w:fill="auto"/>
            <w:vAlign w:val="center"/>
          </w:tcPr>
          <w:p w14:paraId="47242E1B" w14:textId="77777777" w:rsidR="00AA7F20" w:rsidRPr="00D1582F" w:rsidRDefault="00AA7F20" w:rsidP="00AA7F20">
            <w:pPr>
              <w:pStyle w:val="08-Tabelageral"/>
              <w:rPr>
                <w:b/>
              </w:rPr>
            </w:pPr>
            <w:r>
              <w:rPr>
                <w:b/>
              </w:rPr>
              <w:t>1,054,924</w:t>
            </w:r>
          </w:p>
        </w:tc>
        <w:tc>
          <w:tcPr>
            <w:tcW w:w="2009" w:type="dxa"/>
            <w:tcBorders>
              <w:top w:val="single" w:sz="2" w:space="0" w:color="1F4E79" w:themeColor="accent1" w:themeShade="80"/>
            </w:tcBorders>
            <w:shd w:val="clear" w:color="auto" w:fill="auto"/>
            <w:vAlign w:val="center"/>
          </w:tcPr>
          <w:p w14:paraId="520992E1" w14:textId="77777777" w:rsidR="00AA7F20" w:rsidRPr="00D1582F" w:rsidRDefault="00AA7F20" w:rsidP="00AA7F20">
            <w:pPr>
              <w:pStyle w:val="08-Tabelageral"/>
              <w:rPr>
                <w:b/>
              </w:rPr>
            </w:pPr>
            <w:r>
              <w:rPr>
                <w:b/>
              </w:rPr>
              <w:t>1,114,256</w:t>
            </w:r>
          </w:p>
        </w:tc>
      </w:tr>
      <w:tr w:rsidR="00AA7F20" w:rsidRPr="0049410B" w14:paraId="2A0A9C52" w14:textId="77777777" w:rsidTr="00AA7F20">
        <w:trPr>
          <w:trHeight w:val="238"/>
          <w:jc w:val="center"/>
        </w:trPr>
        <w:tc>
          <w:tcPr>
            <w:tcW w:w="4384" w:type="dxa"/>
            <w:shd w:val="clear" w:color="auto" w:fill="auto"/>
            <w:vAlign w:val="center"/>
          </w:tcPr>
          <w:p w14:paraId="4FF4EB00" w14:textId="77777777" w:rsidR="00AA7F20" w:rsidRPr="00FE42D8" w:rsidRDefault="00AA7F20" w:rsidP="00AA7F20">
            <w:pPr>
              <w:pStyle w:val="08-Tabelageral"/>
              <w:ind w:left="113"/>
              <w:jc w:val="left"/>
              <w:rPr>
                <w:rFonts w:cs="Arial"/>
                <w:b/>
                <w:lang w:val="en-US"/>
              </w:rPr>
            </w:pPr>
            <w:r>
              <w:rPr>
                <w:rFonts w:cs="Arial"/>
                <w:lang w:val="en-US"/>
              </w:rPr>
              <w:t xml:space="preserve">BB MAPFRE </w:t>
            </w:r>
            <w:r>
              <w:rPr>
                <w:rFonts w:cs="Arial"/>
                <w:vertAlign w:val="superscript"/>
                <w:lang w:val="en-US"/>
              </w:rPr>
              <w:t>(</w:t>
            </w:r>
            <w:r w:rsidRPr="00FE42D8">
              <w:rPr>
                <w:rFonts w:cs="Arial"/>
                <w:vertAlign w:val="superscript"/>
                <w:lang w:val="en-US"/>
              </w:rPr>
              <w:t>1)</w:t>
            </w:r>
          </w:p>
        </w:tc>
        <w:tc>
          <w:tcPr>
            <w:tcW w:w="856" w:type="dxa"/>
            <w:shd w:val="clear" w:color="auto" w:fill="auto"/>
          </w:tcPr>
          <w:p w14:paraId="01E84E1F" w14:textId="77777777" w:rsidR="00AA7F20" w:rsidRPr="0049410B" w:rsidRDefault="00AA7F20" w:rsidP="00AA7F20">
            <w:pPr>
              <w:pStyle w:val="08-Tabelageral"/>
            </w:pPr>
          </w:p>
        </w:tc>
        <w:tc>
          <w:tcPr>
            <w:tcW w:w="401" w:type="dxa"/>
            <w:shd w:val="clear" w:color="auto" w:fill="auto"/>
          </w:tcPr>
          <w:p w14:paraId="4809BD0C" w14:textId="77777777" w:rsidR="00AA7F20" w:rsidRPr="0049410B" w:rsidRDefault="00AA7F20" w:rsidP="00AA7F20">
            <w:pPr>
              <w:pStyle w:val="08-Tabelageral"/>
            </w:pPr>
          </w:p>
        </w:tc>
        <w:tc>
          <w:tcPr>
            <w:tcW w:w="2008" w:type="dxa"/>
            <w:shd w:val="clear" w:color="auto" w:fill="auto"/>
            <w:vAlign w:val="center"/>
          </w:tcPr>
          <w:p w14:paraId="38A661A2" w14:textId="77777777" w:rsidR="00AA7F20" w:rsidRPr="00FE0AFD" w:rsidRDefault="00AA7F20" w:rsidP="00AA7F20">
            <w:pPr>
              <w:pStyle w:val="08-Tabelageral"/>
            </w:pPr>
            <w:r>
              <w:t>944,744</w:t>
            </w:r>
          </w:p>
        </w:tc>
        <w:tc>
          <w:tcPr>
            <w:tcW w:w="2009" w:type="dxa"/>
            <w:shd w:val="clear" w:color="auto" w:fill="auto"/>
            <w:vAlign w:val="center"/>
          </w:tcPr>
          <w:p w14:paraId="61FC6063" w14:textId="77777777" w:rsidR="00AA7F20" w:rsidRPr="00FE0AFD" w:rsidRDefault="00AA7F20" w:rsidP="00AA7F20">
            <w:pPr>
              <w:pStyle w:val="08-Tabelageral"/>
            </w:pPr>
            <w:r>
              <w:t>1,014,707</w:t>
            </w:r>
          </w:p>
        </w:tc>
      </w:tr>
      <w:tr w:rsidR="00AA7F20" w:rsidRPr="0049410B" w14:paraId="0441CD29" w14:textId="77777777" w:rsidTr="00AA7F20">
        <w:trPr>
          <w:trHeight w:val="238"/>
          <w:jc w:val="center"/>
        </w:trPr>
        <w:tc>
          <w:tcPr>
            <w:tcW w:w="4384" w:type="dxa"/>
            <w:shd w:val="clear" w:color="auto" w:fill="auto"/>
            <w:vAlign w:val="center"/>
          </w:tcPr>
          <w:p w14:paraId="741BADE8" w14:textId="77777777" w:rsidR="00AA7F20" w:rsidRPr="00FE42D8" w:rsidRDefault="00AA7F20" w:rsidP="00AA7F20">
            <w:pPr>
              <w:pStyle w:val="08-Tabelageral"/>
              <w:ind w:left="113"/>
              <w:jc w:val="left"/>
              <w:rPr>
                <w:rFonts w:cs="Arial"/>
                <w:b/>
                <w:lang w:val="en-US"/>
              </w:rPr>
            </w:pPr>
            <w:r>
              <w:rPr>
                <w:rFonts w:cs="Arial"/>
                <w:lang w:val="en-US"/>
              </w:rPr>
              <w:t>MAPFRE Seguros Gerais</w:t>
            </w:r>
          </w:p>
        </w:tc>
        <w:tc>
          <w:tcPr>
            <w:tcW w:w="856" w:type="dxa"/>
            <w:shd w:val="clear" w:color="auto" w:fill="auto"/>
          </w:tcPr>
          <w:p w14:paraId="64EB9F5B" w14:textId="77777777" w:rsidR="00AA7F20" w:rsidRPr="0049410B" w:rsidRDefault="00AA7F20" w:rsidP="00AA7F20">
            <w:pPr>
              <w:pStyle w:val="08-Tabelageral"/>
            </w:pPr>
          </w:p>
        </w:tc>
        <w:tc>
          <w:tcPr>
            <w:tcW w:w="401" w:type="dxa"/>
            <w:shd w:val="clear" w:color="auto" w:fill="auto"/>
          </w:tcPr>
          <w:p w14:paraId="3E4D4C7C" w14:textId="77777777" w:rsidR="00AA7F20" w:rsidRPr="0049410B" w:rsidRDefault="00AA7F20" w:rsidP="00AA7F20">
            <w:pPr>
              <w:pStyle w:val="08-Tabelageral"/>
            </w:pPr>
          </w:p>
        </w:tc>
        <w:tc>
          <w:tcPr>
            <w:tcW w:w="2008" w:type="dxa"/>
            <w:shd w:val="clear" w:color="auto" w:fill="auto"/>
          </w:tcPr>
          <w:p w14:paraId="367C1680" w14:textId="77777777" w:rsidR="00AA7F20" w:rsidRPr="00FE0AFD" w:rsidRDefault="00AA7F20" w:rsidP="00AA7F20">
            <w:pPr>
              <w:pStyle w:val="08-Tabelageral"/>
            </w:pPr>
            <w:r>
              <w:t>89,460</w:t>
            </w:r>
          </w:p>
        </w:tc>
        <w:tc>
          <w:tcPr>
            <w:tcW w:w="2009" w:type="dxa"/>
            <w:shd w:val="clear" w:color="auto" w:fill="auto"/>
          </w:tcPr>
          <w:p w14:paraId="51780417" w14:textId="77777777" w:rsidR="00AA7F20" w:rsidRPr="00FE0AFD" w:rsidRDefault="00AA7F20" w:rsidP="00AA7F20">
            <w:pPr>
              <w:pStyle w:val="08-Tabelageral"/>
            </w:pPr>
            <w:r>
              <w:t>81,025</w:t>
            </w:r>
          </w:p>
        </w:tc>
      </w:tr>
      <w:tr w:rsidR="00AA7F20" w:rsidRPr="0049410B" w14:paraId="67FFE841" w14:textId="77777777" w:rsidTr="00AA7F20">
        <w:trPr>
          <w:trHeight w:val="238"/>
          <w:jc w:val="center"/>
        </w:trPr>
        <w:tc>
          <w:tcPr>
            <w:tcW w:w="4384" w:type="dxa"/>
            <w:shd w:val="clear" w:color="auto" w:fill="auto"/>
            <w:vAlign w:val="center"/>
          </w:tcPr>
          <w:p w14:paraId="6B685976" w14:textId="77777777" w:rsidR="00AA7F20" w:rsidRPr="00FE42D8" w:rsidRDefault="00AA7F20" w:rsidP="00AA7F20">
            <w:pPr>
              <w:pStyle w:val="08-Tabelageral"/>
              <w:ind w:left="113"/>
              <w:jc w:val="left"/>
              <w:rPr>
                <w:rFonts w:cs="Arial"/>
                <w:b/>
                <w:lang w:val="en-US"/>
              </w:rPr>
            </w:pPr>
            <w:r w:rsidRPr="00FE42D8">
              <w:rPr>
                <w:rFonts w:cs="Arial"/>
                <w:lang w:val="en-US"/>
              </w:rPr>
              <w:t>Brasilprev</w:t>
            </w:r>
          </w:p>
        </w:tc>
        <w:tc>
          <w:tcPr>
            <w:tcW w:w="856" w:type="dxa"/>
            <w:shd w:val="clear" w:color="auto" w:fill="auto"/>
          </w:tcPr>
          <w:p w14:paraId="1D3CED38" w14:textId="77777777" w:rsidR="00AA7F20" w:rsidRPr="0049410B" w:rsidRDefault="00AA7F20" w:rsidP="00AA7F20">
            <w:pPr>
              <w:pStyle w:val="08-Tabelageral"/>
            </w:pPr>
          </w:p>
        </w:tc>
        <w:tc>
          <w:tcPr>
            <w:tcW w:w="401" w:type="dxa"/>
            <w:shd w:val="clear" w:color="auto" w:fill="auto"/>
          </w:tcPr>
          <w:p w14:paraId="45653FCE" w14:textId="77777777" w:rsidR="00AA7F20" w:rsidRPr="0049410B" w:rsidRDefault="00AA7F20" w:rsidP="00AA7F20">
            <w:pPr>
              <w:pStyle w:val="08-Tabelageral"/>
            </w:pPr>
          </w:p>
        </w:tc>
        <w:tc>
          <w:tcPr>
            <w:tcW w:w="2008" w:type="dxa"/>
            <w:shd w:val="clear" w:color="auto" w:fill="auto"/>
          </w:tcPr>
          <w:p w14:paraId="584DA018" w14:textId="77777777" w:rsidR="00AA7F20" w:rsidRDefault="00AA7F20" w:rsidP="00AA7F20">
            <w:pPr>
              <w:pStyle w:val="08-Tabelageral"/>
            </w:pPr>
            <w:r>
              <w:t>13,652</w:t>
            </w:r>
          </w:p>
        </w:tc>
        <w:tc>
          <w:tcPr>
            <w:tcW w:w="2009" w:type="dxa"/>
            <w:shd w:val="clear" w:color="auto" w:fill="auto"/>
          </w:tcPr>
          <w:p w14:paraId="3503A5E4" w14:textId="77777777" w:rsidR="00AA7F20" w:rsidRDefault="00AA7F20" w:rsidP="00AA7F20">
            <w:pPr>
              <w:pStyle w:val="08-Tabelageral"/>
            </w:pPr>
            <w:r>
              <w:t>12,627</w:t>
            </w:r>
          </w:p>
        </w:tc>
      </w:tr>
      <w:tr w:rsidR="00AA7F20" w:rsidRPr="0049410B" w14:paraId="10080431" w14:textId="77777777" w:rsidTr="00AA7F20">
        <w:trPr>
          <w:trHeight w:val="238"/>
          <w:jc w:val="center"/>
        </w:trPr>
        <w:tc>
          <w:tcPr>
            <w:tcW w:w="4384" w:type="dxa"/>
            <w:shd w:val="clear" w:color="auto" w:fill="auto"/>
            <w:vAlign w:val="center"/>
          </w:tcPr>
          <w:p w14:paraId="5F7DE9F1" w14:textId="77777777" w:rsidR="00AA7F20" w:rsidRPr="00D4589F" w:rsidRDefault="00AA7F20" w:rsidP="00AA7F20">
            <w:pPr>
              <w:pStyle w:val="08-Tabelageral"/>
              <w:ind w:left="113"/>
              <w:jc w:val="left"/>
              <w:rPr>
                <w:rFonts w:cs="Arial"/>
                <w:b/>
                <w:lang w:val="en-US"/>
              </w:rPr>
            </w:pPr>
            <w:r w:rsidRPr="00D4589F">
              <w:rPr>
                <w:rFonts w:cs="Arial"/>
                <w:lang w:val="en-US"/>
              </w:rPr>
              <w:t>Brasilcap</w:t>
            </w:r>
          </w:p>
        </w:tc>
        <w:tc>
          <w:tcPr>
            <w:tcW w:w="856" w:type="dxa"/>
            <w:shd w:val="clear" w:color="auto" w:fill="auto"/>
          </w:tcPr>
          <w:p w14:paraId="7C84A4B4" w14:textId="77777777" w:rsidR="00AA7F20" w:rsidRPr="0049410B" w:rsidRDefault="00AA7F20" w:rsidP="00AA7F20">
            <w:pPr>
              <w:pStyle w:val="08-Tabelageral"/>
            </w:pPr>
          </w:p>
        </w:tc>
        <w:tc>
          <w:tcPr>
            <w:tcW w:w="401" w:type="dxa"/>
            <w:shd w:val="clear" w:color="auto" w:fill="auto"/>
          </w:tcPr>
          <w:p w14:paraId="07AF8BA6" w14:textId="77777777" w:rsidR="00AA7F20" w:rsidRPr="0049410B" w:rsidRDefault="00AA7F20" w:rsidP="00AA7F20">
            <w:pPr>
              <w:pStyle w:val="08-Tabelageral"/>
            </w:pPr>
          </w:p>
        </w:tc>
        <w:tc>
          <w:tcPr>
            <w:tcW w:w="2008" w:type="dxa"/>
            <w:shd w:val="clear" w:color="auto" w:fill="auto"/>
          </w:tcPr>
          <w:p w14:paraId="748D1553" w14:textId="77777777" w:rsidR="00AA7F20" w:rsidRDefault="00AA7F20" w:rsidP="00AA7F20">
            <w:pPr>
              <w:pStyle w:val="08-Tabelageral"/>
            </w:pPr>
            <w:r>
              <w:t>6,973</w:t>
            </w:r>
          </w:p>
        </w:tc>
        <w:tc>
          <w:tcPr>
            <w:tcW w:w="2009" w:type="dxa"/>
            <w:shd w:val="clear" w:color="auto" w:fill="auto"/>
          </w:tcPr>
          <w:p w14:paraId="63780FEE" w14:textId="77777777" w:rsidR="00AA7F20" w:rsidRDefault="00AA7F20" w:rsidP="00AA7F20">
            <w:pPr>
              <w:pStyle w:val="08-Tabelageral"/>
            </w:pPr>
            <w:r>
              <w:t>5,802</w:t>
            </w:r>
          </w:p>
        </w:tc>
      </w:tr>
      <w:tr w:rsidR="00AA7F20" w:rsidRPr="0049410B" w14:paraId="3E7AD955" w14:textId="77777777" w:rsidTr="00AA7F20">
        <w:trPr>
          <w:trHeight w:val="238"/>
          <w:jc w:val="center"/>
        </w:trPr>
        <w:tc>
          <w:tcPr>
            <w:tcW w:w="4384" w:type="dxa"/>
            <w:shd w:val="clear" w:color="auto" w:fill="auto"/>
            <w:vAlign w:val="center"/>
          </w:tcPr>
          <w:p w14:paraId="1E958067" w14:textId="77777777" w:rsidR="00AA7F20" w:rsidRPr="00F97BF2" w:rsidRDefault="00AA7F20" w:rsidP="00AA7F20">
            <w:pPr>
              <w:pStyle w:val="08-Tabelageral"/>
              <w:ind w:left="113"/>
              <w:jc w:val="left"/>
              <w:rPr>
                <w:rFonts w:cs="Arial"/>
                <w:b/>
                <w:bCs/>
                <w:lang w:val="en-US"/>
              </w:rPr>
            </w:pPr>
            <w:r>
              <w:rPr>
                <w:rFonts w:cs="Arial"/>
                <w:lang w:val="en-US"/>
              </w:rPr>
              <w:t>Others</w:t>
            </w:r>
          </w:p>
        </w:tc>
        <w:tc>
          <w:tcPr>
            <w:tcW w:w="856" w:type="dxa"/>
            <w:shd w:val="clear" w:color="auto" w:fill="auto"/>
          </w:tcPr>
          <w:p w14:paraId="686BB686" w14:textId="77777777" w:rsidR="00AA7F20" w:rsidRPr="0049410B" w:rsidRDefault="00AA7F20" w:rsidP="00AA7F20">
            <w:pPr>
              <w:pStyle w:val="08-Tabelageral"/>
            </w:pPr>
          </w:p>
        </w:tc>
        <w:tc>
          <w:tcPr>
            <w:tcW w:w="401" w:type="dxa"/>
            <w:shd w:val="clear" w:color="auto" w:fill="auto"/>
          </w:tcPr>
          <w:p w14:paraId="07461AFC" w14:textId="77777777" w:rsidR="00AA7F20" w:rsidRPr="0049410B" w:rsidRDefault="00AA7F20" w:rsidP="00AA7F20">
            <w:pPr>
              <w:pStyle w:val="08-Tabelageral"/>
            </w:pPr>
          </w:p>
        </w:tc>
        <w:tc>
          <w:tcPr>
            <w:tcW w:w="2008" w:type="dxa"/>
            <w:shd w:val="clear" w:color="auto" w:fill="auto"/>
          </w:tcPr>
          <w:p w14:paraId="2785E308" w14:textId="77777777" w:rsidR="00AA7F20" w:rsidRPr="00D4589F" w:rsidRDefault="00AA7F20" w:rsidP="00AA7F20">
            <w:pPr>
              <w:pStyle w:val="08-Tabelageral"/>
              <w:rPr>
                <w:b/>
              </w:rPr>
            </w:pPr>
            <w:r>
              <w:t>95</w:t>
            </w:r>
          </w:p>
        </w:tc>
        <w:tc>
          <w:tcPr>
            <w:tcW w:w="2009" w:type="dxa"/>
            <w:shd w:val="clear" w:color="auto" w:fill="auto"/>
          </w:tcPr>
          <w:p w14:paraId="56636732" w14:textId="77777777" w:rsidR="00AA7F20" w:rsidRPr="00D4589F" w:rsidRDefault="00AA7F20" w:rsidP="00AA7F20">
            <w:pPr>
              <w:pStyle w:val="08-Tabelageral"/>
              <w:rPr>
                <w:b/>
              </w:rPr>
            </w:pPr>
            <w:r>
              <w:t>95</w:t>
            </w:r>
          </w:p>
        </w:tc>
      </w:tr>
      <w:tr w:rsidR="00AA7F20" w:rsidRPr="00D1582F" w14:paraId="65ED915F" w14:textId="77777777" w:rsidTr="00AA7F20">
        <w:trPr>
          <w:trHeight w:val="238"/>
          <w:jc w:val="center"/>
        </w:trPr>
        <w:tc>
          <w:tcPr>
            <w:tcW w:w="4384" w:type="dxa"/>
            <w:shd w:val="clear" w:color="auto" w:fill="auto"/>
            <w:vAlign w:val="center"/>
          </w:tcPr>
          <w:p w14:paraId="09F06880" w14:textId="77777777" w:rsidR="00AA7F20" w:rsidRPr="00D1582F" w:rsidRDefault="00AA7F20" w:rsidP="00AA7F20">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66E5A913" w14:textId="77777777" w:rsidR="00AA7F20" w:rsidRPr="00D1582F" w:rsidRDefault="00AA7F20" w:rsidP="00AA7F20">
            <w:pPr>
              <w:pStyle w:val="08-Tabelageral"/>
              <w:rPr>
                <w:b/>
              </w:rPr>
            </w:pPr>
          </w:p>
        </w:tc>
        <w:tc>
          <w:tcPr>
            <w:tcW w:w="401" w:type="dxa"/>
            <w:shd w:val="clear" w:color="auto" w:fill="auto"/>
          </w:tcPr>
          <w:p w14:paraId="13942F0C" w14:textId="77777777" w:rsidR="00AA7F20" w:rsidRPr="00D1582F" w:rsidRDefault="00AA7F20" w:rsidP="00AA7F20">
            <w:pPr>
              <w:pStyle w:val="08-Tabelageral"/>
              <w:rPr>
                <w:b/>
              </w:rPr>
            </w:pPr>
          </w:p>
        </w:tc>
        <w:tc>
          <w:tcPr>
            <w:tcW w:w="2008" w:type="dxa"/>
            <w:shd w:val="clear" w:color="auto" w:fill="auto"/>
            <w:vAlign w:val="center"/>
          </w:tcPr>
          <w:p w14:paraId="36DD9D7A" w14:textId="77777777" w:rsidR="00AA7F20" w:rsidRPr="00D1582F" w:rsidRDefault="00AA7F20" w:rsidP="00AA7F20">
            <w:pPr>
              <w:pStyle w:val="08-Tabelageral"/>
              <w:rPr>
                <w:b/>
              </w:rPr>
            </w:pPr>
            <w:r>
              <w:rPr>
                <w:b/>
              </w:rPr>
              <w:t>785,876</w:t>
            </w:r>
          </w:p>
        </w:tc>
        <w:tc>
          <w:tcPr>
            <w:tcW w:w="2009" w:type="dxa"/>
            <w:shd w:val="clear" w:color="auto" w:fill="auto"/>
            <w:vAlign w:val="center"/>
          </w:tcPr>
          <w:p w14:paraId="6EEF1B0C" w14:textId="77777777" w:rsidR="00AA7F20" w:rsidRPr="00D1582F" w:rsidRDefault="00AA7F20" w:rsidP="00AA7F20">
            <w:pPr>
              <w:pStyle w:val="08-Tabelageral"/>
              <w:rPr>
                <w:b/>
              </w:rPr>
            </w:pPr>
            <w:r>
              <w:rPr>
                <w:b/>
              </w:rPr>
              <w:t>708,990</w:t>
            </w:r>
          </w:p>
        </w:tc>
      </w:tr>
      <w:tr w:rsidR="00AA7F20" w:rsidRPr="00880B68" w14:paraId="259C6736" w14:textId="77777777" w:rsidTr="00AA7F20">
        <w:trPr>
          <w:trHeight w:val="238"/>
          <w:jc w:val="center"/>
        </w:trPr>
        <w:tc>
          <w:tcPr>
            <w:tcW w:w="4384" w:type="dxa"/>
            <w:shd w:val="clear" w:color="auto" w:fill="auto"/>
            <w:vAlign w:val="center"/>
          </w:tcPr>
          <w:p w14:paraId="65EEC6A5" w14:textId="77777777" w:rsidR="00AA7F20" w:rsidRPr="003E53C4" w:rsidRDefault="00AA7F20" w:rsidP="00AA7F20">
            <w:pPr>
              <w:pStyle w:val="08-Tabelageral"/>
              <w:ind w:left="113"/>
              <w:jc w:val="left"/>
              <w:rPr>
                <w:rFonts w:cs="Arial"/>
                <w:b/>
                <w:lang w:val="en-US"/>
              </w:rPr>
            </w:pPr>
            <w:r>
              <w:rPr>
                <w:rFonts w:cs="Arial"/>
                <w:lang w:val="en-US"/>
              </w:rPr>
              <w:t>BB MAPFRE</w:t>
            </w:r>
          </w:p>
        </w:tc>
        <w:tc>
          <w:tcPr>
            <w:tcW w:w="856" w:type="dxa"/>
            <w:shd w:val="clear" w:color="auto" w:fill="auto"/>
          </w:tcPr>
          <w:p w14:paraId="14479FAE" w14:textId="77777777" w:rsidR="00AA7F20" w:rsidRPr="00880B68" w:rsidRDefault="00AA7F20" w:rsidP="00AA7F20">
            <w:pPr>
              <w:pStyle w:val="08-Tabelageral"/>
              <w:rPr>
                <w:b/>
                <w:szCs w:val="14"/>
              </w:rPr>
            </w:pPr>
          </w:p>
        </w:tc>
        <w:tc>
          <w:tcPr>
            <w:tcW w:w="401" w:type="dxa"/>
            <w:shd w:val="clear" w:color="auto" w:fill="auto"/>
          </w:tcPr>
          <w:p w14:paraId="1AC593BB" w14:textId="77777777" w:rsidR="00AA7F20" w:rsidRPr="00880B68" w:rsidRDefault="00AA7F20" w:rsidP="00AA7F20">
            <w:pPr>
              <w:pStyle w:val="08-Tabelageral"/>
              <w:rPr>
                <w:b/>
                <w:szCs w:val="14"/>
              </w:rPr>
            </w:pPr>
          </w:p>
        </w:tc>
        <w:tc>
          <w:tcPr>
            <w:tcW w:w="2008" w:type="dxa"/>
            <w:shd w:val="clear" w:color="auto" w:fill="auto"/>
            <w:vAlign w:val="center"/>
          </w:tcPr>
          <w:p w14:paraId="28C12548" w14:textId="77777777" w:rsidR="00AA7F20" w:rsidRPr="00AE7AC4" w:rsidRDefault="00AA7F20" w:rsidP="00AA7F20">
            <w:pPr>
              <w:pStyle w:val="08-Tabelageral"/>
              <w:rPr>
                <w:b/>
              </w:rPr>
            </w:pPr>
            <w:r>
              <w:t>785,876</w:t>
            </w:r>
          </w:p>
        </w:tc>
        <w:tc>
          <w:tcPr>
            <w:tcW w:w="2009" w:type="dxa"/>
            <w:shd w:val="clear" w:color="auto" w:fill="auto"/>
            <w:vAlign w:val="center"/>
          </w:tcPr>
          <w:p w14:paraId="14C0056A" w14:textId="77777777" w:rsidR="00AA7F20" w:rsidRPr="00AE7AC4" w:rsidRDefault="00AA7F20" w:rsidP="00AA7F20">
            <w:pPr>
              <w:pStyle w:val="08-Tabelageral"/>
              <w:rPr>
                <w:b/>
              </w:rPr>
            </w:pPr>
            <w:r>
              <w:t>708,990</w:t>
            </w:r>
          </w:p>
        </w:tc>
      </w:tr>
      <w:tr w:rsidR="00AA7F20" w:rsidRPr="00D1582F" w14:paraId="2DF5D710" w14:textId="77777777" w:rsidTr="00AA7F20">
        <w:trPr>
          <w:trHeight w:val="238"/>
          <w:jc w:val="center"/>
        </w:trPr>
        <w:tc>
          <w:tcPr>
            <w:tcW w:w="4384" w:type="dxa"/>
            <w:tcBorders>
              <w:bottom w:val="single" w:sz="2" w:space="0" w:color="1F4E79" w:themeColor="accent1" w:themeShade="80"/>
            </w:tcBorders>
            <w:shd w:val="clear" w:color="auto" w:fill="auto"/>
            <w:vAlign w:val="center"/>
          </w:tcPr>
          <w:p w14:paraId="7C3042D4" w14:textId="77777777" w:rsidR="00AA7F20" w:rsidRPr="00D1582F" w:rsidRDefault="00AA7F20" w:rsidP="00AA7F20">
            <w:pPr>
              <w:pStyle w:val="08-Tabelageral"/>
              <w:jc w:val="left"/>
              <w:rPr>
                <w:rFonts w:cs="Arial"/>
                <w:b/>
                <w:lang w:val="en-US"/>
              </w:rPr>
            </w:pPr>
            <w:r w:rsidRPr="00D1582F">
              <w:rPr>
                <w:rFonts w:cs="Arial"/>
                <w:b/>
                <w:lang w:val="en-US"/>
              </w:rPr>
              <w:t>Total</w:t>
            </w:r>
          </w:p>
        </w:tc>
        <w:tc>
          <w:tcPr>
            <w:tcW w:w="856" w:type="dxa"/>
            <w:tcBorders>
              <w:bottom w:val="single" w:sz="2" w:space="0" w:color="1F4E79" w:themeColor="accent1" w:themeShade="80"/>
            </w:tcBorders>
            <w:shd w:val="clear" w:color="auto" w:fill="auto"/>
          </w:tcPr>
          <w:p w14:paraId="6280B267" w14:textId="77777777" w:rsidR="00AA7F20" w:rsidRPr="00D1582F" w:rsidRDefault="00AA7F20" w:rsidP="00AA7F20">
            <w:pPr>
              <w:pStyle w:val="08-Tabelageral"/>
              <w:rPr>
                <w:b/>
                <w:szCs w:val="14"/>
              </w:rPr>
            </w:pPr>
          </w:p>
        </w:tc>
        <w:tc>
          <w:tcPr>
            <w:tcW w:w="401" w:type="dxa"/>
            <w:tcBorders>
              <w:bottom w:val="single" w:sz="2" w:space="0" w:color="1F4E79" w:themeColor="accent1" w:themeShade="80"/>
            </w:tcBorders>
            <w:shd w:val="clear" w:color="auto" w:fill="auto"/>
          </w:tcPr>
          <w:p w14:paraId="7E490F20" w14:textId="77777777" w:rsidR="00AA7F20" w:rsidRPr="00D1582F" w:rsidRDefault="00AA7F20" w:rsidP="00AA7F20">
            <w:pPr>
              <w:pStyle w:val="08-Tabelageral"/>
              <w:rPr>
                <w:b/>
                <w:szCs w:val="14"/>
              </w:rPr>
            </w:pPr>
          </w:p>
        </w:tc>
        <w:tc>
          <w:tcPr>
            <w:tcW w:w="2008" w:type="dxa"/>
            <w:tcBorders>
              <w:bottom w:val="single" w:sz="2" w:space="0" w:color="1F4E79" w:themeColor="accent1" w:themeShade="80"/>
            </w:tcBorders>
            <w:shd w:val="clear" w:color="auto" w:fill="auto"/>
            <w:vAlign w:val="center"/>
          </w:tcPr>
          <w:p w14:paraId="53D64C8A" w14:textId="77777777" w:rsidR="00AA7F20" w:rsidRPr="00D1582F" w:rsidRDefault="00AA7F20" w:rsidP="00AA7F20">
            <w:pPr>
              <w:pStyle w:val="08-Tabelageral"/>
              <w:rPr>
                <w:b/>
              </w:rPr>
            </w:pPr>
            <w:r>
              <w:rPr>
                <w:b/>
              </w:rPr>
              <w:t>1,840,800</w:t>
            </w:r>
          </w:p>
        </w:tc>
        <w:tc>
          <w:tcPr>
            <w:tcW w:w="2009" w:type="dxa"/>
            <w:tcBorders>
              <w:bottom w:val="single" w:sz="2" w:space="0" w:color="1F4E79" w:themeColor="accent1" w:themeShade="80"/>
            </w:tcBorders>
            <w:shd w:val="clear" w:color="auto" w:fill="auto"/>
            <w:vAlign w:val="center"/>
          </w:tcPr>
          <w:p w14:paraId="5F43252B" w14:textId="77777777" w:rsidR="00AA7F20" w:rsidRPr="00D1582F" w:rsidRDefault="00AA7F20" w:rsidP="00AA7F20">
            <w:pPr>
              <w:pStyle w:val="08-Tabelageral"/>
              <w:rPr>
                <w:b/>
              </w:rPr>
            </w:pPr>
            <w:r>
              <w:rPr>
                <w:b/>
              </w:rPr>
              <w:t>1,823,246</w:t>
            </w:r>
          </w:p>
        </w:tc>
      </w:tr>
    </w:tbl>
    <w:p w14:paraId="4B483EA1" w14:textId="77777777" w:rsidR="00AA7F20" w:rsidRPr="00D41A1A" w:rsidRDefault="00AA7F20" w:rsidP="00AA7F20">
      <w:pPr>
        <w:pStyle w:val="07-Legenda"/>
        <w:numPr>
          <w:ilvl w:val="0"/>
          <w:numId w:val="12"/>
        </w:numPr>
        <w:tabs>
          <w:tab w:val="clear" w:pos="284"/>
        </w:tabs>
        <w:ind w:left="284" w:hanging="284"/>
        <w:rPr>
          <w:lang w:val="en-US"/>
        </w:rPr>
      </w:pPr>
      <w:r w:rsidRPr="00D41A1A">
        <w:rPr>
          <w:rFonts w:cs="Arial"/>
          <w:color w:val="222222"/>
          <w:szCs w:val="14"/>
          <w:shd w:val="clear" w:color="auto" w:fill="F8F9FA"/>
          <w:lang w:val="en-US"/>
        </w:rPr>
        <w:t xml:space="preserve">On </w:t>
      </w:r>
      <w:r>
        <w:rPr>
          <w:rFonts w:cs="Arial"/>
          <w:color w:val="222222"/>
          <w:szCs w:val="14"/>
          <w:shd w:val="clear" w:color="auto" w:fill="F8F9FA"/>
          <w:lang w:val="en-US"/>
        </w:rPr>
        <w:t>12</w:t>
      </w:r>
      <w:r w:rsidRPr="00D41A1A">
        <w:rPr>
          <w:rFonts w:cs="Arial"/>
          <w:color w:val="222222"/>
          <w:szCs w:val="14"/>
          <w:shd w:val="clear" w:color="auto" w:fill="F8F9FA"/>
          <w:lang w:val="en-US"/>
        </w:rPr>
        <w:t>.3</w:t>
      </w:r>
      <w:r>
        <w:rPr>
          <w:rFonts w:cs="Arial"/>
          <w:color w:val="222222"/>
          <w:szCs w:val="14"/>
          <w:shd w:val="clear" w:color="auto" w:fill="F8F9FA"/>
          <w:lang w:val="en-US"/>
        </w:rPr>
        <w:t>1</w:t>
      </w:r>
      <w:r w:rsidRPr="00D41A1A">
        <w:rPr>
          <w:rFonts w:cs="Arial"/>
          <w:color w:val="222222"/>
          <w:szCs w:val="14"/>
          <w:shd w:val="clear" w:color="auto" w:fill="F8F9FA"/>
          <w:lang w:val="en-US"/>
        </w:rPr>
        <w:t xml:space="preserve">.2022, R$ </w:t>
      </w:r>
      <w:r>
        <w:rPr>
          <w:rFonts w:cs="Arial"/>
          <w:color w:val="222222"/>
          <w:szCs w:val="14"/>
          <w:shd w:val="clear" w:color="auto" w:fill="F8F9FA"/>
          <w:lang w:val="en-US"/>
        </w:rPr>
        <w:t>203</w:t>
      </w:r>
      <w:r w:rsidRPr="00D41A1A">
        <w:rPr>
          <w:rFonts w:cs="Arial"/>
          <w:color w:val="222222"/>
          <w:szCs w:val="14"/>
          <w:shd w:val="clear" w:color="auto" w:fill="F8F9FA"/>
          <w:lang w:val="en-US"/>
        </w:rPr>
        <w:t xml:space="preserve"> million refers to the additional commission according to the restructuring agreement between BB Seguros and the M</w:t>
      </w:r>
      <w:r>
        <w:rPr>
          <w:rFonts w:cs="Arial"/>
          <w:color w:val="222222"/>
          <w:szCs w:val="14"/>
          <w:shd w:val="clear" w:color="auto" w:fill="F8F9FA"/>
          <w:lang w:val="en-US"/>
        </w:rPr>
        <w:t>APFRE</w:t>
      </w:r>
      <w:r w:rsidRPr="00D41A1A">
        <w:rPr>
          <w:rFonts w:cs="Arial"/>
          <w:color w:val="222222"/>
          <w:szCs w:val="14"/>
          <w:shd w:val="clear" w:color="auto" w:fill="F8F9FA"/>
          <w:lang w:val="en-US"/>
        </w:rPr>
        <w:t xml:space="preserve"> Group </w:t>
      </w:r>
      <w:r w:rsidRPr="00E823EA">
        <w:rPr>
          <w:rFonts w:cs="Arial"/>
          <w:color w:val="222222"/>
          <w:szCs w:val="14"/>
          <w:shd w:val="clear" w:color="auto" w:fill="F8F9FA"/>
          <w:lang w:val="en-US"/>
        </w:rPr>
        <w:t>in force until the end of 2022</w:t>
      </w:r>
      <w:r w:rsidRPr="00D41A1A">
        <w:rPr>
          <w:rFonts w:cs="Arial"/>
          <w:color w:val="222222"/>
          <w:szCs w:val="14"/>
          <w:shd w:val="clear" w:color="auto" w:fill="F8F9FA"/>
          <w:lang w:val="en-US"/>
        </w:rPr>
        <w:t xml:space="preserve">. </w:t>
      </w:r>
      <w:r w:rsidRPr="003C3361">
        <w:rPr>
          <w:rFonts w:cs="Arial"/>
          <w:color w:val="222222"/>
          <w:szCs w:val="14"/>
          <w:shd w:val="clear" w:color="auto" w:fill="F8F9FA"/>
          <w:lang w:val="en-US"/>
        </w:rPr>
        <w:t>The additional commission was recognized monthly and received on 02</w:t>
      </w:r>
      <w:r>
        <w:rPr>
          <w:rFonts w:cs="Arial"/>
          <w:color w:val="222222"/>
          <w:szCs w:val="14"/>
          <w:shd w:val="clear" w:color="auto" w:fill="F8F9FA"/>
          <w:lang w:val="en-US"/>
        </w:rPr>
        <w:t>.</w:t>
      </w:r>
      <w:r w:rsidRPr="003C3361">
        <w:rPr>
          <w:rFonts w:cs="Arial"/>
          <w:color w:val="222222"/>
          <w:szCs w:val="14"/>
          <w:shd w:val="clear" w:color="auto" w:fill="F8F9FA"/>
          <w:lang w:val="en-US"/>
        </w:rPr>
        <w:t>27</w:t>
      </w:r>
      <w:r>
        <w:rPr>
          <w:rFonts w:cs="Arial"/>
          <w:color w:val="222222"/>
          <w:szCs w:val="14"/>
          <w:shd w:val="clear" w:color="auto" w:fill="F8F9FA"/>
          <w:lang w:val="en-US"/>
        </w:rPr>
        <w:t>.</w:t>
      </w:r>
      <w:r w:rsidRPr="003C3361">
        <w:rPr>
          <w:rFonts w:cs="Arial"/>
          <w:color w:val="222222"/>
          <w:szCs w:val="14"/>
          <w:shd w:val="clear" w:color="auto" w:fill="F8F9FA"/>
          <w:lang w:val="en-US"/>
        </w:rPr>
        <w:t>2023.</w:t>
      </w:r>
    </w:p>
    <w:p w14:paraId="274B51E4" w14:textId="77777777" w:rsidR="00AA7F20" w:rsidRDefault="00AA7F20" w:rsidP="00AA7F20">
      <w:pPr>
        <w:pStyle w:val="07-Legenda"/>
        <w:spacing w:before="120" w:after="120" w:line="276" w:lineRule="auto"/>
        <w:rPr>
          <w:sz w:val="18"/>
          <w:lang w:val="en-US"/>
        </w:rPr>
      </w:pPr>
      <w:r w:rsidRPr="00FD6B41">
        <w:rPr>
          <w:sz w:val="18"/>
          <w:lang w:val="en-US"/>
        </w:rPr>
        <w:t>There are no amount of comissions receivable in parent.</w:t>
      </w:r>
    </w:p>
    <w:p w14:paraId="0F914D08" w14:textId="77777777" w:rsidR="00AA7F20" w:rsidRDefault="00AA7F20" w:rsidP="00AA7F20">
      <w:pPr>
        <w:pStyle w:val="07-Legenda"/>
        <w:spacing w:before="120" w:after="120" w:line="276" w:lineRule="auto"/>
        <w:ind w:left="0" w:firstLine="0"/>
        <w:rPr>
          <w:sz w:val="18"/>
          <w:lang w:val="en-US"/>
        </w:rPr>
      </w:pPr>
      <w:r>
        <w:rPr>
          <w:sz w:val="18"/>
          <w:lang w:val="en-US"/>
        </w:rPr>
        <w:t xml:space="preserve">Comissions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4.</w:t>
      </w:r>
    </w:p>
    <w:p w14:paraId="5444DE08" w14:textId="77777777" w:rsidR="00AA7F20" w:rsidRDefault="00AA7F20" w:rsidP="00AA7F20">
      <w:pPr>
        <w:pStyle w:val="07-Legenda"/>
        <w:spacing w:before="120" w:after="120" w:line="276" w:lineRule="auto"/>
        <w:ind w:left="0" w:firstLine="0"/>
        <w:rPr>
          <w:sz w:val="18"/>
          <w:lang w:val="en-US"/>
        </w:rPr>
      </w:pPr>
      <w:r w:rsidRPr="00872E58">
        <w:rPr>
          <w:sz w:val="18"/>
          <w:lang w:val="en-US"/>
        </w:rPr>
        <w:t>In the partnership model signed between BB Seguros and the M</w:t>
      </w:r>
      <w:r>
        <w:rPr>
          <w:sz w:val="18"/>
          <w:lang w:val="en-US"/>
        </w:rPr>
        <w:t>APFRE</w:t>
      </w:r>
      <w:r w:rsidRPr="00872E58">
        <w:rPr>
          <w:sz w:val="18"/>
          <w:lang w:val="en-US"/>
        </w:rPr>
        <w:t xml:space="preserve"> Group</w:t>
      </w:r>
      <w:r>
        <w:rPr>
          <w:sz w:val="18"/>
          <w:lang w:val="en-US"/>
        </w:rPr>
        <w:t xml:space="preserve"> in effect until the end of 2022</w:t>
      </w:r>
      <w:r w:rsidRPr="00872E58">
        <w:rPr>
          <w:sz w:val="18"/>
          <w:lang w:val="en-US"/>
        </w:rPr>
        <w:t xml:space="preserve">, the payment of additional remuneration by Brasilseg Companhia de Seguros SA to BB Corretora </w:t>
      </w:r>
      <w:r>
        <w:rPr>
          <w:sz w:val="18"/>
          <w:lang w:val="en-US"/>
        </w:rPr>
        <w:t>was</w:t>
      </w:r>
      <w:r w:rsidRPr="00872E58">
        <w:rPr>
          <w:sz w:val="18"/>
          <w:lang w:val="en-US"/>
        </w:rPr>
        <w:t xml:space="preserve"> foreseen to exceed the sales growth target in some specific products, following the rules of the 2nd Amendment to the Operating Agreement for Operation in the Insurance Segment and its annexes ("Operating Agreement" or "Agreement") which Brasilseg and BB Corretora have been signatory since November 30th, 2018.</w:t>
      </w:r>
    </w:p>
    <w:p w14:paraId="7106C699" w14:textId="77777777" w:rsidR="00AA7F20" w:rsidRPr="00F35574" w:rsidRDefault="00AA7F20" w:rsidP="00AA7F20">
      <w:pPr>
        <w:spacing w:before="120" w:after="120"/>
        <w:jc w:val="both"/>
        <w:rPr>
          <w:rFonts w:eastAsia="Times New Roman" w:cs="Arial"/>
          <w:spacing w:val="-2"/>
          <w:szCs w:val="18"/>
          <w:highlight w:val="yellow"/>
          <w:lang w:val="en-US" w:eastAsia="pt-BR"/>
        </w:rPr>
      </w:pPr>
      <w:r w:rsidRPr="00F35574">
        <w:rPr>
          <w:rFonts w:eastAsia="Times New Roman" w:cs="Arial"/>
          <w:spacing w:val="-2"/>
          <w:szCs w:val="18"/>
          <w:lang w:val="en-US" w:eastAsia="pt-BR"/>
        </w:rPr>
        <w:t>On 12.29.2022, the 3rd Amendment to the Operating Agreement for Operating in the Insurance Segment (“Amendment to the Operating Agreement”) was formalized,</w:t>
      </w:r>
      <w:r>
        <w:rPr>
          <w:rFonts w:eastAsia="Times New Roman" w:cs="Arial"/>
          <w:spacing w:val="-2"/>
          <w:szCs w:val="18"/>
          <w:lang w:val="en-US" w:eastAsia="pt-BR"/>
        </w:rPr>
        <w:t xml:space="preserve"> effective from 01.01.2023,</w:t>
      </w:r>
      <w:r w:rsidRPr="00F35574">
        <w:rPr>
          <w:rFonts w:eastAsia="Times New Roman" w:cs="Arial"/>
          <w:spacing w:val="-2"/>
          <w:szCs w:val="18"/>
          <w:lang w:val="en-US" w:eastAsia="pt-BR"/>
        </w:rPr>
        <w:t xml:space="preserve"> which excludes the additional remuneration mechanism paid by Brasilseg to BB Corretora, increases the percentage of commission paid by Brasilseg to BB Corretora on premiums written for life and credit life insurance and reduces the percentage of commission paid by Brasilseg to BB Corretora on premiums written for rural pledge insurance.</w:t>
      </w:r>
    </w:p>
    <w:p w14:paraId="2BFDD8CA" w14:textId="77777777" w:rsidR="00AA7F20" w:rsidRPr="000C71E0" w:rsidRDefault="00AA7F20" w:rsidP="00AA7F20">
      <w:pPr>
        <w:spacing w:before="120" w:after="120"/>
        <w:jc w:val="both"/>
        <w:rPr>
          <w:rFonts w:eastAsia="Times New Roman" w:cs="Arial"/>
          <w:spacing w:val="-2"/>
          <w:szCs w:val="18"/>
          <w:lang w:val="en-US" w:eastAsia="pt-BR"/>
        </w:rPr>
      </w:pPr>
      <w:r w:rsidRPr="00F35574">
        <w:rPr>
          <w:rFonts w:eastAsia="Times New Roman" w:cs="Arial"/>
          <w:spacing w:val="-2"/>
          <w:szCs w:val="18"/>
          <w:lang w:val="en-US" w:eastAsia="pt-BR"/>
        </w:rPr>
        <w:t>The new Amendment to the Operating Agreement will be in force for a period of 3 (three) years, starting from January 1, 2023, being automatically renewed for new subsequent periods of 3 (three) years.</w:t>
      </w:r>
    </w:p>
    <w:p w14:paraId="2732A654" w14:textId="21B89A90" w:rsidR="00CC37BC" w:rsidRDefault="00CC37BC" w:rsidP="00AA7F20">
      <w:pPr>
        <w:pStyle w:val="Ttulo1"/>
      </w:pPr>
    </w:p>
    <w:p w14:paraId="0CEDF2C2" w14:textId="249FCE43" w:rsidR="00AA7F20" w:rsidRPr="00622608" w:rsidRDefault="00AA7F20" w:rsidP="00AA7F20">
      <w:pPr>
        <w:pStyle w:val="Ttulo1"/>
        <w:rPr>
          <w:b w:val="0"/>
        </w:rPr>
      </w:pPr>
      <w:bookmarkStart w:id="51" w:name="_Toc134823583"/>
      <w:r w:rsidRPr="00622608">
        <w:t>19 – INTANGIBLE ASSET</w:t>
      </w:r>
      <w:bookmarkEnd w:id="51"/>
    </w:p>
    <w:p w14:paraId="1F86B75F" w14:textId="77777777" w:rsidR="00AA7F20" w:rsidRPr="00183B01" w:rsidRDefault="00AA7F20" w:rsidP="00AA7F20">
      <w:pPr>
        <w:pStyle w:val="01-TtulodeNota"/>
        <w:numPr>
          <w:ilvl w:val="0"/>
          <w:numId w:val="8"/>
        </w:numPr>
        <w:ind w:left="284" w:hanging="284"/>
        <w:rPr>
          <w:color w:val="1F4E79" w:themeColor="accent1" w:themeShade="80"/>
          <w:sz w:val="18"/>
          <w:szCs w:val="18"/>
        </w:rPr>
      </w:pPr>
      <w:r w:rsidRPr="00183B01">
        <w:rPr>
          <w:color w:val="1F4E79" w:themeColor="accent1" w:themeShade="80"/>
          <w:sz w:val="18"/>
          <w:szCs w:val="18"/>
        </w:rPr>
        <w:t>ERP - Enterprise Resource Planning</w:t>
      </w:r>
    </w:p>
    <w:p w14:paraId="0E358883" w14:textId="77777777" w:rsidR="00AA7F20" w:rsidRPr="005D5AE6" w:rsidRDefault="00AA7F20" w:rsidP="00AA7F20">
      <w:pPr>
        <w:pStyle w:val="07-Legenda"/>
        <w:ind w:left="708" w:firstLine="0"/>
        <w:jc w:val="right"/>
        <w:rPr>
          <w:b/>
        </w:rPr>
      </w:pPr>
      <w:r>
        <w:rPr>
          <w:sz w:val="12"/>
          <w:szCs w:val="12"/>
        </w:rPr>
        <w:tab/>
      </w:r>
      <w:r>
        <w:rPr>
          <w:sz w:val="12"/>
          <w:szCs w:val="12"/>
        </w:rPr>
        <w:tab/>
      </w:r>
      <w:r>
        <w:rPr>
          <w:sz w:val="12"/>
          <w:szCs w:val="12"/>
        </w:rPr>
        <w:tab/>
      </w:r>
      <w:r>
        <w:rPr>
          <w:sz w:val="12"/>
          <w:szCs w:val="12"/>
        </w:rPr>
        <w:tab/>
      </w:r>
      <w:r>
        <w:rPr>
          <w:sz w:val="12"/>
          <w:szCs w:val="12"/>
        </w:rPr>
        <w:tab/>
        <w:t xml:space="preserve">            </w:t>
      </w:r>
      <w:r w:rsidRPr="005D5AE6">
        <w:rPr>
          <w:rFonts w:cs="Arial"/>
          <w:b/>
          <w:lang w:val="en-US"/>
        </w:rPr>
        <w:t>R$ thousand</w:t>
      </w:r>
    </w:p>
    <w:tbl>
      <w:tblPr>
        <w:tblStyle w:val="TabeladeLista6Colorida-nfase5"/>
        <w:tblW w:w="9786" w:type="dxa"/>
        <w:jc w:val="center"/>
        <w:tblLayout w:type="fixed"/>
        <w:tblLook w:val="04A0" w:firstRow="1" w:lastRow="0" w:firstColumn="1" w:lastColumn="0" w:noHBand="0" w:noVBand="1"/>
      </w:tblPr>
      <w:tblGrid>
        <w:gridCol w:w="1940"/>
        <w:gridCol w:w="241"/>
        <w:gridCol w:w="1256"/>
        <w:gridCol w:w="290"/>
        <w:gridCol w:w="86"/>
        <w:gridCol w:w="63"/>
        <w:gridCol w:w="1086"/>
        <w:gridCol w:w="1239"/>
        <w:gridCol w:w="281"/>
        <w:gridCol w:w="1159"/>
        <w:gridCol w:w="164"/>
        <w:gridCol w:w="919"/>
        <w:gridCol w:w="105"/>
        <w:gridCol w:w="957"/>
      </w:tblGrid>
      <w:tr w:rsidR="00AA7F20" w:rsidRPr="00F71EE3" w14:paraId="76C86A6E" w14:textId="77777777" w:rsidTr="00AA7F20">
        <w:trPr>
          <w:cnfStyle w:val="100000000000" w:firstRow="1" w:lastRow="0" w:firstColumn="0" w:lastColumn="0" w:oddVBand="0" w:evenVBand="0" w:oddHBand="0" w:evenHBand="0" w:firstRowFirstColumn="0" w:firstRowLastColumn="0" w:lastRowFirstColumn="0" w:lastRowLastColumn="0"/>
          <w:trHeight w:hRule="exact" w:val="239"/>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nil"/>
            </w:tcBorders>
            <w:shd w:val="clear" w:color="auto" w:fill="auto"/>
            <w:vAlign w:val="center"/>
          </w:tcPr>
          <w:p w14:paraId="36C2CAA1" w14:textId="77777777" w:rsidR="00AA7F20" w:rsidRPr="00F71EE3" w:rsidRDefault="00AA7F20" w:rsidP="00AA7F20">
            <w:pPr>
              <w:rPr>
                <w:rFonts w:cs="Arial"/>
                <w:sz w:val="14"/>
                <w:szCs w:val="14"/>
              </w:rPr>
            </w:pPr>
          </w:p>
        </w:tc>
        <w:tc>
          <w:tcPr>
            <w:tcW w:w="7846" w:type="dxa"/>
            <w:gridSpan w:val="13"/>
            <w:tcBorders>
              <w:top w:val="single" w:sz="2" w:space="0" w:color="1F4E79" w:themeColor="accent1" w:themeShade="80"/>
              <w:bottom w:val="single" w:sz="2" w:space="0" w:color="1F4E79" w:themeColor="accent1" w:themeShade="80"/>
            </w:tcBorders>
            <w:shd w:val="clear" w:color="auto" w:fill="auto"/>
            <w:vAlign w:val="center"/>
          </w:tcPr>
          <w:p w14:paraId="69E44F70" w14:textId="77777777" w:rsidR="00AA7F20" w:rsidRPr="00F71EE3"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napToGrid w:val="0"/>
              </w:rPr>
              <w:t xml:space="preserve">Parent and </w:t>
            </w:r>
            <w:r>
              <w:rPr>
                <w:rFonts w:cs="Arial"/>
              </w:rPr>
              <w:t>Consolidated</w:t>
            </w:r>
          </w:p>
        </w:tc>
      </w:tr>
      <w:tr w:rsidR="00AA7F20" w:rsidRPr="00F71EE3" w14:paraId="78090029" w14:textId="77777777" w:rsidTr="00AA7F20">
        <w:trPr>
          <w:cnfStyle w:val="000000100000" w:firstRow="0" w:lastRow="0" w:firstColumn="0" w:lastColumn="0" w:oddVBand="0" w:evenVBand="0" w:oddHBand="1" w:evenHBand="0" w:firstRowFirstColumn="0" w:firstRowLastColumn="0" w:lastRowFirstColumn="0" w:lastRowLastColumn="0"/>
          <w:trHeight w:hRule="exact" w:val="362"/>
          <w:jc w:val="center"/>
        </w:trPr>
        <w:tc>
          <w:tcPr>
            <w:cnfStyle w:val="001000000000" w:firstRow="0" w:lastRow="0" w:firstColumn="1" w:lastColumn="0" w:oddVBand="0" w:evenVBand="0" w:oddHBand="0" w:evenHBand="0" w:firstRowFirstColumn="0" w:firstRowLastColumn="0" w:lastRowFirstColumn="0" w:lastRowLastColumn="0"/>
            <w:tcW w:w="1940" w:type="dxa"/>
            <w:tcBorders>
              <w:top w:val="nil"/>
              <w:bottom w:val="nil"/>
            </w:tcBorders>
            <w:shd w:val="clear" w:color="auto" w:fill="auto"/>
            <w:vAlign w:val="center"/>
          </w:tcPr>
          <w:p w14:paraId="01A7E9A3" w14:textId="77777777" w:rsidR="00AA7F20" w:rsidRPr="00F71EE3" w:rsidRDefault="00AA7F20" w:rsidP="00AA7F20">
            <w:pPr>
              <w:rPr>
                <w:rFonts w:cs="Arial"/>
                <w:sz w:val="14"/>
                <w:szCs w:val="14"/>
              </w:rPr>
            </w:pPr>
          </w:p>
        </w:tc>
        <w:tc>
          <w:tcPr>
            <w:tcW w:w="241" w:type="dxa"/>
            <w:tcBorders>
              <w:top w:val="single" w:sz="2" w:space="0" w:color="1F4E79" w:themeColor="accent1" w:themeShade="80"/>
              <w:bottom w:val="nil"/>
            </w:tcBorders>
            <w:shd w:val="clear" w:color="auto" w:fill="auto"/>
            <w:vAlign w:val="center"/>
          </w:tcPr>
          <w:p w14:paraId="21BAC671" w14:textId="77777777" w:rsidR="00AA7F20" w:rsidRPr="00F71EE3" w:rsidRDefault="00AA7F20" w:rsidP="00AA7F20">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56" w:type="dxa"/>
            <w:tcBorders>
              <w:top w:val="single" w:sz="2" w:space="0" w:color="1F4E79" w:themeColor="accent1" w:themeShade="80"/>
              <w:bottom w:val="single" w:sz="2" w:space="0" w:color="1F4E79" w:themeColor="accent1" w:themeShade="80"/>
            </w:tcBorders>
            <w:shd w:val="clear" w:color="auto" w:fill="auto"/>
            <w:vAlign w:val="center"/>
          </w:tcPr>
          <w:p w14:paraId="155BA7AF" w14:textId="77777777" w:rsidR="00AA7F20" w:rsidRPr="00365088" w:rsidRDefault="00AA7F20" w:rsidP="00AA7F20">
            <w:pPr>
              <w:pStyle w:val="08-Tabelageral"/>
              <w:spacing w:before="0" w:after="0"/>
              <w:ind w:right="28"/>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2022</w:t>
            </w:r>
          </w:p>
        </w:tc>
        <w:tc>
          <w:tcPr>
            <w:tcW w:w="290" w:type="dxa"/>
            <w:tcBorders>
              <w:top w:val="single" w:sz="2" w:space="0" w:color="1F4E79" w:themeColor="accent1" w:themeShade="80"/>
              <w:bottom w:val="nil"/>
            </w:tcBorders>
            <w:shd w:val="clear" w:color="auto" w:fill="auto"/>
            <w:vAlign w:val="center"/>
          </w:tcPr>
          <w:p w14:paraId="783CA040" w14:textId="77777777" w:rsidR="00AA7F20" w:rsidRPr="00DE3735"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2474" w:type="dxa"/>
            <w:gridSpan w:val="4"/>
            <w:tcBorders>
              <w:top w:val="single" w:sz="2" w:space="0" w:color="1F4E79" w:themeColor="accent1" w:themeShade="80"/>
              <w:bottom w:val="single" w:sz="2" w:space="0" w:color="1F4E79" w:themeColor="accent1" w:themeShade="80"/>
            </w:tcBorders>
            <w:shd w:val="clear" w:color="auto" w:fill="auto"/>
            <w:vAlign w:val="center"/>
          </w:tcPr>
          <w:p w14:paraId="48DCBE3C" w14:textId="77777777" w:rsidR="00AA7F20" w:rsidRPr="00DE3735"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szCs w:val="14"/>
              </w:rPr>
              <w:t>1</w:t>
            </w:r>
            <w:r>
              <w:rPr>
                <w:rFonts w:cs="Arial"/>
                <w:b/>
                <w:bCs/>
                <w:szCs w:val="14"/>
                <w:vertAlign w:val="superscript"/>
              </w:rPr>
              <w:t>st</w:t>
            </w:r>
            <w:r>
              <w:rPr>
                <w:rFonts w:cs="Arial"/>
                <w:b/>
                <w:bCs/>
                <w:szCs w:val="14"/>
              </w:rPr>
              <w:t xml:space="preserve"> Quarter 2023</w:t>
            </w:r>
          </w:p>
        </w:tc>
        <w:tc>
          <w:tcPr>
            <w:tcW w:w="281" w:type="dxa"/>
            <w:tcBorders>
              <w:top w:val="single" w:sz="2" w:space="0" w:color="1F4E79" w:themeColor="accent1" w:themeShade="80"/>
              <w:bottom w:val="nil"/>
            </w:tcBorders>
            <w:shd w:val="clear" w:color="auto" w:fill="auto"/>
            <w:vAlign w:val="center"/>
          </w:tcPr>
          <w:p w14:paraId="577AD325" w14:textId="77777777" w:rsidR="00AA7F20" w:rsidRPr="00DE3735"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3304" w:type="dxa"/>
            <w:gridSpan w:val="5"/>
            <w:tcBorders>
              <w:top w:val="single" w:sz="2" w:space="0" w:color="1F4E79" w:themeColor="accent1" w:themeShade="80"/>
              <w:bottom w:val="single" w:sz="2" w:space="0" w:color="1F4E79" w:themeColor="accent1" w:themeShade="80"/>
            </w:tcBorders>
            <w:shd w:val="clear" w:color="auto" w:fill="auto"/>
            <w:vAlign w:val="center"/>
          </w:tcPr>
          <w:p w14:paraId="1E0319FF" w14:textId="77777777" w:rsidR="00AA7F20" w:rsidRPr="00DE3735"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rPr>
              <w:t>Mar 31, 2023</w:t>
            </w:r>
          </w:p>
        </w:tc>
      </w:tr>
      <w:tr w:rsidR="00AA7F20" w:rsidRPr="00F71EE3" w14:paraId="780CFBFB" w14:textId="77777777" w:rsidTr="00AA7F20">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1940" w:type="dxa"/>
            <w:tcBorders>
              <w:top w:val="nil"/>
              <w:bottom w:val="single" w:sz="2" w:space="0" w:color="1F4E79" w:themeColor="accent1" w:themeShade="80"/>
            </w:tcBorders>
            <w:shd w:val="clear" w:color="auto" w:fill="auto"/>
            <w:vAlign w:val="center"/>
          </w:tcPr>
          <w:p w14:paraId="0C580B66" w14:textId="77777777" w:rsidR="00AA7F20" w:rsidRPr="00F71EE3" w:rsidRDefault="00AA7F20" w:rsidP="00AA7F20">
            <w:pPr>
              <w:rPr>
                <w:rFonts w:cs="Arial"/>
                <w:sz w:val="14"/>
                <w:szCs w:val="14"/>
              </w:rPr>
            </w:pPr>
          </w:p>
        </w:tc>
        <w:tc>
          <w:tcPr>
            <w:tcW w:w="241" w:type="dxa"/>
            <w:tcBorders>
              <w:top w:val="nil"/>
              <w:bottom w:val="single" w:sz="2" w:space="0" w:color="1F4E79" w:themeColor="accent1" w:themeShade="80"/>
            </w:tcBorders>
            <w:shd w:val="clear" w:color="auto" w:fill="auto"/>
            <w:vAlign w:val="center"/>
          </w:tcPr>
          <w:p w14:paraId="28BA0E1D" w14:textId="77777777" w:rsidR="00AA7F20" w:rsidRPr="00F71EE3" w:rsidRDefault="00AA7F20" w:rsidP="00AA7F20">
            <w:pPr>
              <w:jc w:val="center"/>
              <w:cnfStyle w:val="000000000000" w:firstRow="0" w:lastRow="0" w:firstColumn="0" w:lastColumn="0" w:oddVBand="0" w:evenVBand="0" w:oddHBand="0" w:evenHBand="0" w:firstRowFirstColumn="0" w:firstRowLastColumn="0" w:lastRowFirstColumn="0" w:lastRowLastColumn="0"/>
              <w:rPr>
                <w:rFonts w:cs="Arial"/>
                <w:b/>
                <w:sz w:val="14"/>
                <w:szCs w:val="14"/>
              </w:rPr>
            </w:pPr>
          </w:p>
        </w:tc>
        <w:tc>
          <w:tcPr>
            <w:tcW w:w="1256" w:type="dxa"/>
            <w:tcBorders>
              <w:top w:val="single" w:sz="2" w:space="0" w:color="1F4E79" w:themeColor="accent1" w:themeShade="80"/>
              <w:bottom w:val="single" w:sz="2" w:space="0" w:color="1F4E79" w:themeColor="accent1" w:themeShade="80"/>
            </w:tcBorders>
            <w:shd w:val="clear" w:color="auto" w:fill="auto"/>
            <w:vAlign w:val="center"/>
          </w:tcPr>
          <w:p w14:paraId="04BC4202"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Book value</w:t>
            </w:r>
          </w:p>
        </w:tc>
        <w:tc>
          <w:tcPr>
            <w:tcW w:w="376" w:type="dxa"/>
            <w:gridSpan w:val="2"/>
            <w:tcBorders>
              <w:top w:val="nil"/>
              <w:bottom w:val="single" w:sz="2" w:space="0" w:color="8EAADB" w:themeColor="accent5" w:themeTint="99"/>
            </w:tcBorders>
            <w:shd w:val="clear" w:color="auto" w:fill="auto"/>
            <w:vAlign w:val="center"/>
          </w:tcPr>
          <w:p w14:paraId="453D078A"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49" w:type="dxa"/>
            <w:gridSpan w:val="2"/>
            <w:tcBorders>
              <w:top w:val="single" w:sz="2" w:space="0" w:color="1F4E79" w:themeColor="accent1" w:themeShade="80"/>
              <w:bottom w:val="single" w:sz="2" w:space="0" w:color="1F4E79" w:themeColor="accent1" w:themeShade="80"/>
            </w:tcBorders>
            <w:shd w:val="clear" w:color="auto" w:fill="auto"/>
            <w:vAlign w:val="center"/>
          </w:tcPr>
          <w:p w14:paraId="5157178B"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EB5D75">
              <w:rPr>
                <w:rFonts w:cs="Arial"/>
                <w:b/>
              </w:rPr>
              <w:t>Acquisitions</w:t>
            </w: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152F043E"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Amortization</w:t>
            </w:r>
          </w:p>
        </w:tc>
        <w:tc>
          <w:tcPr>
            <w:tcW w:w="281" w:type="dxa"/>
            <w:tcBorders>
              <w:top w:val="nil"/>
              <w:bottom w:val="single" w:sz="2" w:space="0" w:color="8EAADB" w:themeColor="accent5" w:themeTint="99"/>
            </w:tcBorders>
            <w:shd w:val="clear" w:color="auto" w:fill="auto"/>
            <w:vAlign w:val="center"/>
          </w:tcPr>
          <w:p w14:paraId="47C282B5"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59" w:type="dxa"/>
            <w:tcBorders>
              <w:top w:val="single" w:sz="2" w:space="0" w:color="1F4E79" w:themeColor="accent1" w:themeShade="80"/>
              <w:bottom w:val="single" w:sz="2" w:space="0" w:color="1F4E79" w:themeColor="accent1" w:themeShade="80"/>
            </w:tcBorders>
            <w:shd w:val="clear" w:color="auto" w:fill="auto"/>
            <w:vAlign w:val="center"/>
          </w:tcPr>
          <w:p w14:paraId="0C1D3ED6"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Cost value</w:t>
            </w:r>
          </w:p>
        </w:tc>
        <w:tc>
          <w:tcPr>
            <w:tcW w:w="1083" w:type="dxa"/>
            <w:gridSpan w:val="2"/>
            <w:tcBorders>
              <w:top w:val="single" w:sz="2" w:space="0" w:color="1F4E79" w:themeColor="accent1" w:themeShade="80"/>
              <w:bottom w:val="single" w:sz="2" w:space="0" w:color="1F4E79" w:themeColor="accent1" w:themeShade="80"/>
            </w:tcBorders>
            <w:shd w:val="clear" w:color="auto" w:fill="auto"/>
            <w:vAlign w:val="center"/>
          </w:tcPr>
          <w:p w14:paraId="59004C7E"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9A6FC8">
              <w:rPr>
                <w:rFonts w:cs="Arial"/>
                <w:b/>
                <w:bCs/>
              </w:rPr>
              <w:t>Accumulated amortization</w:t>
            </w:r>
          </w:p>
        </w:tc>
        <w:tc>
          <w:tcPr>
            <w:tcW w:w="1062" w:type="dxa"/>
            <w:gridSpan w:val="2"/>
            <w:tcBorders>
              <w:top w:val="single" w:sz="2" w:space="0" w:color="1F4E79" w:themeColor="accent1" w:themeShade="80"/>
              <w:bottom w:val="single" w:sz="2" w:space="0" w:color="1F4E79" w:themeColor="accent1" w:themeShade="80"/>
            </w:tcBorders>
            <w:shd w:val="clear" w:color="auto" w:fill="auto"/>
            <w:vAlign w:val="center"/>
          </w:tcPr>
          <w:p w14:paraId="7B8352D0" w14:textId="77777777" w:rsidR="00AA7F20" w:rsidRPr="00DE3735" w:rsidRDefault="00AA7F20" w:rsidP="00AA7F20">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Book value</w:t>
            </w:r>
          </w:p>
        </w:tc>
      </w:tr>
      <w:tr w:rsidR="00AA7F20" w:rsidRPr="00543AEB" w14:paraId="3A608D53" w14:textId="77777777" w:rsidTr="00AA7F2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single" w:sz="2" w:space="0" w:color="1F4E79" w:themeColor="accent1" w:themeShade="80"/>
            </w:tcBorders>
            <w:shd w:val="clear" w:color="auto" w:fill="auto"/>
            <w:vAlign w:val="center"/>
          </w:tcPr>
          <w:p w14:paraId="252BC74B" w14:textId="77777777" w:rsidR="00AA7F20" w:rsidRPr="005D5AE6" w:rsidRDefault="00AA7F20" w:rsidP="00AA7F20">
            <w:pPr>
              <w:pStyle w:val="08-Tabelageral"/>
              <w:jc w:val="left"/>
              <w:rPr>
                <w:rFonts w:cs="Arial"/>
                <w:b w:val="0"/>
                <w:szCs w:val="14"/>
                <w:vertAlign w:val="superscript"/>
              </w:rPr>
            </w:pPr>
            <w:r w:rsidRPr="005D5AE6">
              <w:rPr>
                <w:rFonts w:cs="Arial"/>
                <w:b w:val="0"/>
                <w:lang w:val="en-US"/>
              </w:rPr>
              <w:t xml:space="preserve">Software – ERP </w:t>
            </w:r>
            <w:r w:rsidRPr="005D5AE6">
              <w:rPr>
                <w:rFonts w:cs="Arial"/>
                <w:b w:val="0"/>
                <w:vertAlign w:val="superscript"/>
                <w:lang w:val="en-US"/>
              </w:rPr>
              <w:t>(1)</w:t>
            </w:r>
          </w:p>
        </w:tc>
        <w:tc>
          <w:tcPr>
            <w:tcW w:w="241" w:type="dxa"/>
            <w:tcBorders>
              <w:top w:val="single" w:sz="2" w:space="0" w:color="1F4E79" w:themeColor="accent1" w:themeShade="80"/>
              <w:bottom w:val="single" w:sz="2" w:space="0" w:color="1F4E79" w:themeColor="accent1" w:themeShade="80"/>
            </w:tcBorders>
            <w:shd w:val="clear" w:color="auto" w:fill="auto"/>
            <w:vAlign w:val="center"/>
          </w:tcPr>
          <w:p w14:paraId="1B894C82"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56" w:type="dxa"/>
            <w:tcBorders>
              <w:top w:val="single" w:sz="2" w:space="0" w:color="1F4E79" w:themeColor="accent1" w:themeShade="80"/>
              <w:bottom w:val="single" w:sz="2" w:space="0" w:color="1F4E79" w:themeColor="accent1" w:themeShade="80"/>
            </w:tcBorders>
            <w:shd w:val="clear" w:color="auto" w:fill="auto"/>
          </w:tcPr>
          <w:p w14:paraId="7D48DCE8"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sidRPr="006B5786">
              <w:rPr>
                <w:rFonts w:cs="Arial"/>
                <w:szCs w:val="14"/>
              </w:rPr>
              <w:t>4</w:t>
            </w:r>
            <w:r>
              <w:rPr>
                <w:rFonts w:cs="Arial"/>
                <w:szCs w:val="14"/>
              </w:rPr>
              <w:t>,</w:t>
            </w:r>
            <w:r w:rsidRPr="006B5786">
              <w:rPr>
                <w:rFonts w:cs="Arial"/>
                <w:szCs w:val="14"/>
              </w:rPr>
              <w:t>021</w:t>
            </w:r>
          </w:p>
        </w:tc>
        <w:tc>
          <w:tcPr>
            <w:tcW w:w="439" w:type="dxa"/>
            <w:gridSpan w:val="3"/>
            <w:tcBorders>
              <w:top w:val="single" w:sz="2" w:space="0" w:color="1F4E79" w:themeColor="accent1" w:themeShade="80"/>
              <w:bottom w:val="single" w:sz="2" w:space="0" w:color="1F4E79" w:themeColor="accent1" w:themeShade="80"/>
            </w:tcBorders>
            <w:shd w:val="clear" w:color="auto" w:fill="auto"/>
          </w:tcPr>
          <w:p w14:paraId="6F4FADA2" w14:textId="77777777" w:rsidR="00AA7F20" w:rsidRPr="003B0482" w:rsidRDefault="00AA7F20" w:rsidP="00AA7F20">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86" w:type="dxa"/>
            <w:tcBorders>
              <w:top w:val="single" w:sz="2" w:space="0" w:color="1F4E79" w:themeColor="accent1" w:themeShade="80"/>
              <w:bottom w:val="single" w:sz="2" w:space="0" w:color="1F4E79" w:themeColor="accent1" w:themeShade="80"/>
            </w:tcBorders>
            <w:shd w:val="clear" w:color="auto" w:fill="auto"/>
          </w:tcPr>
          <w:p w14:paraId="5EC51BB5"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88</w:t>
            </w:r>
          </w:p>
        </w:tc>
        <w:tc>
          <w:tcPr>
            <w:tcW w:w="1239" w:type="dxa"/>
            <w:tcBorders>
              <w:top w:val="single" w:sz="2" w:space="0" w:color="1F4E79" w:themeColor="accent1" w:themeShade="80"/>
              <w:bottom w:val="single" w:sz="2" w:space="0" w:color="1F4E79" w:themeColor="accent1" w:themeShade="80"/>
            </w:tcBorders>
            <w:shd w:val="clear" w:color="auto" w:fill="auto"/>
          </w:tcPr>
          <w:p w14:paraId="4AC4D255"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(204)</w:t>
            </w:r>
          </w:p>
        </w:tc>
        <w:tc>
          <w:tcPr>
            <w:tcW w:w="281" w:type="dxa"/>
            <w:tcBorders>
              <w:top w:val="single" w:sz="2" w:space="0" w:color="1F4E79" w:themeColor="accent1" w:themeShade="80"/>
              <w:bottom w:val="single" w:sz="2" w:space="0" w:color="1F4E79" w:themeColor="accent1" w:themeShade="80"/>
            </w:tcBorders>
            <w:shd w:val="clear" w:color="auto" w:fill="auto"/>
          </w:tcPr>
          <w:p w14:paraId="7BC5F013" w14:textId="77777777" w:rsidR="00AA7F20" w:rsidRPr="003B0482" w:rsidRDefault="00AA7F20" w:rsidP="00AA7F20">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23" w:type="dxa"/>
            <w:gridSpan w:val="2"/>
            <w:tcBorders>
              <w:top w:val="single" w:sz="2" w:space="0" w:color="1F4E79" w:themeColor="accent1" w:themeShade="80"/>
              <w:bottom w:val="single" w:sz="2" w:space="0" w:color="1F4E79" w:themeColor="accent1" w:themeShade="80"/>
            </w:tcBorders>
            <w:shd w:val="clear" w:color="auto" w:fill="auto"/>
          </w:tcPr>
          <w:p w14:paraId="73980A00"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7,403</w:t>
            </w:r>
          </w:p>
        </w:tc>
        <w:tc>
          <w:tcPr>
            <w:tcW w:w="1024" w:type="dxa"/>
            <w:gridSpan w:val="2"/>
            <w:tcBorders>
              <w:top w:val="single" w:sz="2" w:space="0" w:color="1F4E79" w:themeColor="accent1" w:themeShade="80"/>
              <w:bottom w:val="single" w:sz="2" w:space="0" w:color="1F4E79" w:themeColor="accent1" w:themeShade="80"/>
            </w:tcBorders>
            <w:shd w:val="clear" w:color="auto" w:fill="auto"/>
          </w:tcPr>
          <w:p w14:paraId="2AC4A101"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(3,498)</w:t>
            </w:r>
          </w:p>
        </w:tc>
        <w:tc>
          <w:tcPr>
            <w:tcW w:w="957" w:type="dxa"/>
            <w:tcBorders>
              <w:top w:val="single" w:sz="2" w:space="0" w:color="1F4E79" w:themeColor="accent1" w:themeShade="80"/>
              <w:bottom w:val="single" w:sz="2" w:space="0" w:color="1F4E79" w:themeColor="accent1" w:themeShade="80"/>
            </w:tcBorders>
            <w:shd w:val="clear" w:color="auto" w:fill="auto"/>
          </w:tcPr>
          <w:p w14:paraId="546178B5" w14:textId="77777777" w:rsidR="00AA7F20" w:rsidRPr="003B0482"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3,905</w:t>
            </w:r>
          </w:p>
        </w:tc>
      </w:tr>
    </w:tbl>
    <w:p w14:paraId="251A6D44" w14:textId="77777777" w:rsidR="00AA7F20" w:rsidRPr="00F15267" w:rsidRDefault="00AA7F20" w:rsidP="00AA7F20">
      <w:pPr>
        <w:pStyle w:val="07-Legenda"/>
        <w:numPr>
          <w:ilvl w:val="0"/>
          <w:numId w:val="13"/>
        </w:numPr>
        <w:tabs>
          <w:tab w:val="clear" w:pos="284"/>
          <w:tab w:val="left" w:pos="0"/>
        </w:tabs>
        <w:ind w:left="284" w:hanging="284"/>
        <w:rPr>
          <w:lang w:val="en-US"/>
        </w:rPr>
      </w:pPr>
      <w:r w:rsidRPr="00887BA2">
        <w:rPr>
          <w:lang w:val="en-US"/>
        </w:rPr>
        <w:t xml:space="preserve">In January 2018, the amortization of Enterprise Resource Planning (ERP) began, according to CPC </w:t>
      </w:r>
      <w:r>
        <w:rPr>
          <w:lang w:val="en-US"/>
        </w:rPr>
        <w:t xml:space="preserve">04 [IAS 38] - Intangible Assets </w:t>
      </w:r>
      <w:r w:rsidRPr="001C7169">
        <w:rPr>
          <w:lang w:val="en-US"/>
        </w:rPr>
        <w:t>in which the</w:t>
      </w:r>
      <w:r w:rsidRPr="00FC7714">
        <w:rPr>
          <w:lang w:val="en-US"/>
        </w:rPr>
        <w:t xml:space="preserve"> amortization period of intangible assets with a defined useful li</w:t>
      </w:r>
      <w:r>
        <w:rPr>
          <w:lang w:val="en-US"/>
        </w:rPr>
        <w:t xml:space="preserve">fe is 10 years and amortization </w:t>
      </w:r>
      <w:r w:rsidRPr="00FC7714">
        <w:rPr>
          <w:lang w:val="en-US"/>
        </w:rPr>
        <w:t xml:space="preserve">is calculated at the annual rate of 10% and recognized to the income statement on a straight-line </w:t>
      </w:r>
      <w:r>
        <w:rPr>
          <w:lang w:val="en-US"/>
        </w:rPr>
        <w:t>method.</w:t>
      </w:r>
    </w:p>
    <w:p w14:paraId="01DE8174" w14:textId="77777777" w:rsidR="00AA7F20" w:rsidRPr="00F15267" w:rsidRDefault="00AA7F20" w:rsidP="00AA7F20">
      <w:pPr>
        <w:spacing w:after="120"/>
        <w:rPr>
          <w:rFonts w:cs="Arial"/>
          <w:b/>
          <w:color w:val="1F4E79" w:themeColor="accent1" w:themeShade="80"/>
          <w:szCs w:val="18"/>
          <w:lang w:val="en-US"/>
        </w:rPr>
      </w:pPr>
    </w:p>
    <w:p w14:paraId="5018F803" w14:textId="77777777" w:rsidR="00AA7F20" w:rsidRPr="00F15267" w:rsidRDefault="00AA7F20" w:rsidP="00AA7F20">
      <w:pPr>
        <w:pStyle w:val="01-TtulodeNota"/>
        <w:rPr>
          <w:color w:val="1F4E79" w:themeColor="accent1" w:themeShade="80"/>
          <w:sz w:val="18"/>
          <w:szCs w:val="18"/>
          <w:lang w:val="en-US"/>
        </w:rPr>
      </w:pPr>
      <w:r w:rsidRPr="00F15267">
        <w:rPr>
          <w:color w:val="1F4E79" w:themeColor="accent1" w:themeShade="80"/>
          <w:sz w:val="18"/>
          <w:szCs w:val="18"/>
          <w:lang w:val="en-US"/>
        </w:rPr>
        <w:t>a.1) Estimate for amortization</w:t>
      </w:r>
    </w:p>
    <w:p w14:paraId="68EF5FC2" w14:textId="77777777" w:rsidR="00AA7F20" w:rsidRPr="00F15267" w:rsidRDefault="00AA7F20" w:rsidP="00AA7F20">
      <w:pPr>
        <w:pStyle w:val="07-Legenda"/>
        <w:ind w:left="708" w:firstLine="0"/>
        <w:jc w:val="center"/>
        <w:rPr>
          <w:b/>
          <w:sz w:val="12"/>
          <w:szCs w:val="12"/>
          <w:lang w:val="en-US"/>
        </w:rPr>
      </w:pPr>
      <w:r>
        <w:rPr>
          <w:rFonts w:cs="Arial"/>
          <w:b/>
          <w:lang w:val="en-US"/>
        </w:rPr>
        <w:t xml:space="preserve">                                                                                                                                                                                                                            </w:t>
      </w:r>
      <w:r w:rsidRPr="005D5AE6">
        <w:rPr>
          <w:rFonts w:cs="Arial"/>
          <w:b/>
          <w:lang w:val="en-US"/>
        </w:rPr>
        <w:t>R$ thousand</w:t>
      </w:r>
    </w:p>
    <w:tbl>
      <w:tblPr>
        <w:tblStyle w:val="TabeladeLista6Colorida-nfase510"/>
        <w:tblW w:w="9639" w:type="dxa"/>
        <w:jc w:val="center"/>
        <w:tblInd w:w="0" w:type="dxa"/>
        <w:tblBorders>
          <w:top w:val="single" w:sz="2" w:space="0" w:color="1F4E79" w:themeColor="accent1" w:themeShade="80"/>
          <w:bottom w:val="single" w:sz="2" w:space="0" w:color="1F4E79" w:themeColor="accent1" w:themeShade="80"/>
          <w:insideH w:val="single" w:sz="2" w:space="0" w:color="8EAADB" w:themeColor="accent5" w:themeTint="99"/>
        </w:tblBorders>
        <w:tblLook w:val="04A0" w:firstRow="1" w:lastRow="0" w:firstColumn="1" w:lastColumn="0" w:noHBand="0" w:noVBand="1"/>
      </w:tblPr>
      <w:tblGrid>
        <w:gridCol w:w="2965"/>
        <w:gridCol w:w="1016"/>
        <w:gridCol w:w="1016"/>
        <w:gridCol w:w="1016"/>
        <w:gridCol w:w="1016"/>
        <w:gridCol w:w="1112"/>
        <w:gridCol w:w="1498"/>
      </w:tblGrid>
      <w:tr w:rsidR="00AA7F20" w:rsidRPr="005C781F" w14:paraId="45427D72" w14:textId="77777777" w:rsidTr="00AA7F20">
        <w:trPr>
          <w:cnfStyle w:val="100000000000" w:firstRow="1" w:lastRow="0" w:firstColumn="0" w:lastColumn="0" w:oddVBand="0" w:evenVBand="0" w:oddHBand="0" w:evenHBand="0" w:firstRowFirstColumn="0" w:firstRowLastColumn="0" w:lastRowFirstColumn="0" w:lastRowLastColumn="0"/>
          <w:trHeight w:hRule="exact" w:val="227"/>
          <w:jc w:val="center"/>
        </w:trPr>
        <w:tc>
          <w:tcPr>
            <w:cnfStyle w:val="001000000000" w:firstRow="0" w:lastRow="0" w:firstColumn="1" w:lastColumn="0" w:oddVBand="0" w:evenVBand="0" w:oddHBand="0" w:evenHBand="0" w:firstRowFirstColumn="0" w:firstRowLastColumn="0" w:lastRowFirstColumn="0" w:lastRowLastColumn="0"/>
            <w:tcW w:w="2965" w:type="dxa"/>
            <w:tcBorders>
              <w:bottom w:val="single" w:sz="2" w:space="0" w:color="1F4E79" w:themeColor="accent1" w:themeShade="80"/>
            </w:tcBorders>
            <w:shd w:val="clear" w:color="auto" w:fill="auto"/>
            <w:vAlign w:val="center"/>
          </w:tcPr>
          <w:p w14:paraId="4239900F" w14:textId="77777777" w:rsidR="00AA7F20" w:rsidRPr="00F15267" w:rsidRDefault="00AA7F20" w:rsidP="00AA7F20">
            <w:pPr>
              <w:pStyle w:val="08-Tabelageral"/>
              <w:rPr>
                <w:lang w:val="en-US"/>
              </w:rPr>
            </w:pPr>
          </w:p>
        </w:tc>
        <w:tc>
          <w:tcPr>
            <w:tcW w:w="1016" w:type="dxa"/>
            <w:tcBorders>
              <w:bottom w:val="single" w:sz="2" w:space="0" w:color="1F4E79" w:themeColor="accent1" w:themeShade="80"/>
            </w:tcBorders>
            <w:shd w:val="clear" w:color="auto" w:fill="auto"/>
            <w:vAlign w:val="center"/>
          </w:tcPr>
          <w:p w14:paraId="35586F95" w14:textId="77777777" w:rsidR="00AA7F20" w:rsidRPr="005C781F"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2023</w:t>
            </w:r>
          </w:p>
        </w:tc>
        <w:tc>
          <w:tcPr>
            <w:tcW w:w="1016" w:type="dxa"/>
            <w:tcBorders>
              <w:bottom w:val="single" w:sz="2" w:space="0" w:color="1F4E79" w:themeColor="accent1" w:themeShade="80"/>
            </w:tcBorders>
            <w:shd w:val="clear" w:color="auto" w:fill="auto"/>
            <w:vAlign w:val="center"/>
          </w:tcPr>
          <w:p w14:paraId="1CBD82B2" w14:textId="77777777" w:rsidR="00AA7F20" w:rsidRPr="005C781F"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2024</w:t>
            </w:r>
          </w:p>
        </w:tc>
        <w:tc>
          <w:tcPr>
            <w:tcW w:w="1016" w:type="dxa"/>
            <w:tcBorders>
              <w:bottom w:val="single" w:sz="2" w:space="0" w:color="1F4E79" w:themeColor="accent1" w:themeShade="80"/>
            </w:tcBorders>
            <w:shd w:val="clear" w:color="auto" w:fill="auto"/>
            <w:vAlign w:val="center"/>
          </w:tcPr>
          <w:p w14:paraId="2D4B98CB" w14:textId="77777777" w:rsidR="00AA7F20" w:rsidRPr="005C781F"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2025</w:t>
            </w:r>
          </w:p>
        </w:tc>
        <w:tc>
          <w:tcPr>
            <w:tcW w:w="1016" w:type="dxa"/>
            <w:tcBorders>
              <w:bottom w:val="single" w:sz="2" w:space="0" w:color="1F4E79" w:themeColor="accent1" w:themeShade="80"/>
            </w:tcBorders>
            <w:shd w:val="clear" w:color="auto" w:fill="auto"/>
            <w:vAlign w:val="center"/>
          </w:tcPr>
          <w:p w14:paraId="48316B14" w14:textId="77777777" w:rsidR="00AA7F20" w:rsidRPr="005C781F"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2026</w:t>
            </w:r>
          </w:p>
        </w:tc>
        <w:tc>
          <w:tcPr>
            <w:tcW w:w="1112" w:type="dxa"/>
            <w:tcBorders>
              <w:bottom w:val="single" w:sz="2" w:space="0" w:color="1F4E79" w:themeColor="accent1" w:themeShade="80"/>
            </w:tcBorders>
            <w:shd w:val="clear" w:color="auto" w:fill="auto"/>
            <w:vAlign w:val="center"/>
          </w:tcPr>
          <w:p w14:paraId="2AE5B51C" w14:textId="77777777" w:rsidR="00AA7F20" w:rsidRPr="005C781F"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t>2027</w:t>
            </w:r>
          </w:p>
        </w:tc>
        <w:tc>
          <w:tcPr>
            <w:tcW w:w="1498" w:type="dxa"/>
            <w:tcBorders>
              <w:bottom w:val="single" w:sz="2" w:space="0" w:color="1F4E79" w:themeColor="accent1" w:themeShade="80"/>
            </w:tcBorders>
            <w:shd w:val="clear" w:color="auto" w:fill="auto"/>
            <w:vAlign w:val="center"/>
          </w:tcPr>
          <w:p w14:paraId="4961BAA7" w14:textId="77777777" w:rsidR="00AA7F20" w:rsidRPr="005C781F"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r w:rsidRPr="00255E0A">
              <w:t>Total</w:t>
            </w:r>
          </w:p>
        </w:tc>
      </w:tr>
      <w:tr w:rsidR="00AA7F20" w:rsidRPr="00E177EF" w14:paraId="713240C1" w14:textId="77777777" w:rsidTr="00AA7F2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965" w:type="dxa"/>
            <w:tcBorders>
              <w:top w:val="single" w:sz="2" w:space="0" w:color="1F4E79" w:themeColor="accent1" w:themeShade="80"/>
              <w:bottom w:val="single" w:sz="2" w:space="0" w:color="1F4E79" w:themeColor="accent1" w:themeShade="80"/>
            </w:tcBorders>
            <w:shd w:val="clear" w:color="auto" w:fill="auto"/>
            <w:vAlign w:val="center"/>
          </w:tcPr>
          <w:p w14:paraId="22D36405" w14:textId="77777777" w:rsidR="00AA7F20" w:rsidRPr="005D5AE6" w:rsidRDefault="00AA7F20" w:rsidP="00AA7F20">
            <w:pPr>
              <w:pStyle w:val="08-Tabelageral"/>
              <w:jc w:val="left"/>
              <w:rPr>
                <w:b w:val="0"/>
                <w:szCs w:val="14"/>
              </w:rPr>
            </w:pPr>
            <w:r w:rsidRPr="005D5AE6">
              <w:rPr>
                <w:rFonts w:cs="Arial"/>
                <w:b w:val="0"/>
              </w:rPr>
              <w:t>Amounts to be amortized</w:t>
            </w:r>
          </w:p>
        </w:tc>
        <w:tc>
          <w:tcPr>
            <w:tcW w:w="1016" w:type="dxa"/>
            <w:tcBorders>
              <w:top w:val="single" w:sz="2" w:space="0" w:color="1F4E79" w:themeColor="accent1" w:themeShade="80"/>
              <w:bottom w:val="single" w:sz="2" w:space="0" w:color="1F4E79" w:themeColor="accent1" w:themeShade="80"/>
            </w:tcBorders>
            <w:shd w:val="clear" w:color="auto" w:fill="auto"/>
          </w:tcPr>
          <w:p w14:paraId="22B0D2FC" w14:textId="77777777" w:rsidR="00AA7F20" w:rsidRPr="008331D9"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617</w:t>
            </w:r>
          </w:p>
        </w:tc>
        <w:tc>
          <w:tcPr>
            <w:tcW w:w="1016" w:type="dxa"/>
            <w:tcBorders>
              <w:top w:val="single" w:sz="2" w:space="0" w:color="1F4E79" w:themeColor="accent1" w:themeShade="80"/>
              <w:bottom w:val="single" w:sz="2" w:space="0" w:color="1F4E79" w:themeColor="accent1" w:themeShade="80"/>
            </w:tcBorders>
            <w:shd w:val="clear" w:color="auto" w:fill="auto"/>
          </w:tcPr>
          <w:p w14:paraId="749AC5BD" w14:textId="77777777" w:rsidR="00AA7F20" w:rsidRPr="008331D9"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016" w:type="dxa"/>
            <w:tcBorders>
              <w:top w:val="single" w:sz="2" w:space="0" w:color="1F4E79" w:themeColor="accent1" w:themeShade="80"/>
              <w:bottom w:val="single" w:sz="2" w:space="0" w:color="1F4E79" w:themeColor="accent1" w:themeShade="80"/>
            </w:tcBorders>
            <w:shd w:val="clear" w:color="auto" w:fill="auto"/>
          </w:tcPr>
          <w:p w14:paraId="70A0ECB4" w14:textId="77777777" w:rsidR="00AA7F20" w:rsidRPr="008331D9"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016" w:type="dxa"/>
            <w:tcBorders>
              <w:top w:val="single" w:sz="2" w:space="0" w:color="1F4E79" w:themeColor="accent1" w:themeShade="80"/>
              <w:bottom w:val="single" w:sz="2" w:space="0" w:color="1F4E79" w:themeColor="accent1" w:themeShade="80"/>
            </w:tcBorders>
            <w:shd w:val="clear" w:color="auto" w:fill="auto"/>
          </w:tcPr>
          <w:p w14:paraId="68A597C5" w14:textId="77777777" w:rsidR="00AA7F20" w:rsidRPr="008331D9"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112" w:type="dxa"/>
            <w:tcBorders>
              <w:top w:val="single" w:sz="2" w:space="0" w:color="1F4E79" w:themeColor="accent1" w:themeShade="80"/>
              <w:bottom w:val="single" w:sz="2" w:space="0" w:color="1F4E79" w:themeColor="accent1" w:themeShade="80"/>
            </w:tcBorders>
            <w:shd w:val="clear" w:color="auto" w:fill="auto"/>
          </w:tcPr>
          <w:p w14:paraId="33BC4D70" w14:textId="77777777" w:rsidR="00AA7F20" w:rsidRPr="008331D9"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822</w:t>
            </w:r>
          </w:p>
        </w:tc>
        <w:tc>
          <w:tcPr>
            <w:tcW w:w="1498" w:type="dxa"/>
            <w:tcBorders>
              <w:top w:val="single" w:sz="2" w:space="0" w:color="1F4E79" w:themeColor="accent1" w:themeShade="80"/>
              <w:bottom w:val="single" w:sz="2" w:space="0" w:color="1F4E79" w:themeColor="accent1" w:themeShade="80"/>
            </w:tcBorders>
            <w:shd w:val="clear" w:color="auto" w:fill="auto"/>
          </w:tcPr>
          <w:p w14:paraId="59F3989A" w14:textId="77777777" w:rsidR="00AA7F20" w:rsidRPr="008331D9" w:rsidRDefault="00AA7F20" w:rsidP="00AA7F20">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b/>
              </w:rPr>
              <w:t>3,905</w:t>
            </w:r>
          </w:p>
        </w:tc>
      </w:tr>
    </w:tbl>
    <w:p w14:paraId="143AF261" w14:textId="5F49932B" w:rsidR="002A1B52" w:rsidRDefault="002A1B52" w:rsidP="00CC37BC">
      <w:pPr>
        <w:pStyle w:val="Ttulo1"/>
        <w:rPr>
          <w:b w:val="0"/>
          <w:bCs w:val="0"/>
        </w:rPr>
      </w:pPr>
      <w:r>
        <w:br w:type="page"/>
      </w:r>
    </w:p>
    <w:p w14:paraId="3163A095" w14:textId="4792A17A" w:rsidR="00AA7F20" w:rsidRPr="00D84880" w:rsidRDefault="00AA7F20" w:rsidP="00AA7F20">
      <w:pPr>
        <w:pStyle w:val="Ttulo1"/>
        <w:rPr>
          <w:b w:val="0"/>
        </w:rPr>
      </w:pPr>
      <w:bookmarkStart w:id="52" w:name="OLE_LINK15"/>
      <w:bookmarkStart w:id="53" w:name="_Toc134823584"/>
      <w:r>
        <w:lastRenderedPageBreak/>
        <w:t>20</w:t>
      </w:r>
      <w:r w:rsidRPr="00D84880">
        <w:t xml:space="preserve"> – O</w:t>
      </w:r>
      <w:r>
        <w:t>THER ASSETS</w:t>
      </w:r>
      <w:bookmarkEnd w:id="53"/>
    </w:p>
    <w:p w14:paraId="56143DDC" w14:textId="77777777" w:rsidR="00AA7F20" w:rsidRPr="00FF3D4B" w:rsidRDefault="00AA7F20" w:rsidP="00AA7F20">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AA7F20" w:rsidRPr="0068592A" w14:paraId="293500AF" w14:textId="77777777" w:rsidTr="00AA7F20">
        <w:trPr>
          <w:trHeight w:val="238"/>
        </w:trPr>
        <w:tc>
          <w:tcPr>
            <w:tcW w:w="3094" w:type="dxa"/>
            <w:tcBorders>
              <w:top w:val="single" w:sz="2" w:space="0" w:color="1F4E79" w:themeColor="accent1" w:themeShade="80"/>
            </w:tcBorders>
            <w:shd w:val="clear" w:color="auto" w:fill="auto"/>
          </w:tcPr>
          <w:p w14:paraId="61960792" w14:textId="77777777" w:rsidR="00AA7F20" w:rsidRPr="0068592A" w:rsidRDefault="00AA7F20" w:rsidP="00AA7F20">
            <w:pPr>
              <w:spacing w:after="0"/>
              <w:jc w:val="center"/>
              <w:rPr>
                <w:rFonts w:cs="Arial"/>
                <w:b/>
                <w:szCs w:val="18"/>
              </w:rPr>
            </w:pPr>
          </w:p>
        </w:tc>
        <w:tc>
          <w:tcPr>
            <w:tcW w:w="604" w:type="dxa"/>
            <w:tcBorders>
              <w:top w:val="single" w:sz="2" w:space="0" w:color="1F4E79" w:themeColor="accent1" w:themeShade="80"/>
            </w:tcBorders>
            <w:shd w:val="clear" w:color="auto" w:fill="auto"/>
          </w:tcPr>
          <w:p w14:paraId="53AD6665" w14:textId="77777777" w:rsidR="00AA7F20" w:rsidRPr="0068592A" w:rsidRDefault="00AA7F20" w:rsidP="00AA7F20">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E3E2248" w14:textId="77777777" w:rsidR="00AA7F20" w:rsidRPr="0068592A" w:rsidRDefault="00AA7F20" w:rsidP="00AA7F20">
            <w:pPr>
              <w:spacing w:after="0"/>
              <w:jc w:val="center"/>
              <w:rPr>
                <w:rFonts w:cs="Arial"/>
                <w:b/>
                <w:sz w:val="14"/>
                <w:szCs w:val="18"/>
              </w:rPr>
            </w:pPr>
            <w:r>
              <w:rPr>
                <w:rFonts w:cs="Arial"/>
                <w:b/>
                <w:sz w:val="14"/>
                <w:szCs w:val="18"/>
              </w:rPr>
              <w:t>Parent</w:t>
            </w:r>
          </w:p>
        </w:tc>
        <w:tc>
          <w:tcPr>
            <w:tcW w:w="283" w:type="dxa"/>
            <w:tcBorders>
              <w:top w:val="single" w:sz="2" w:space="0" w:color="1F4E79" w:themeColor="accent1" w:themeShade="80"/>
            </w:tcBorders>
            <w:shd w:val="clear" w:color="auto" w:fill="auto"/>
            <w:vAlign w:val="center"/>
          </w:tcPr>
          <w:p w14:paraId="70B60C14" w14:textId="77777777" w:rsidR="00AA7F20" w:rsidRPr="0068592A" w:rsidRDefault="00AA7F20" w:rsidP="00AA7F20">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2FA5900" w14:textId="77777777" w:rsidR="00AA7F20" w:rsidRPr="0068592A" w:rsidRDefault="00AA7F20" w:rsidP="00AA7F20">
            <w:pPr>
              <w:spacing w:after="0"/>
              <w:jc w:val="center"/>
              <w:rPr>
                <w:rFonts w:cs="Arial"/>
                <w:b/>
                <w:szCs w:val="18"/>
              </w:rPr>
            </w:pPr>
            <w:r>
              <w:rPr>
                <w:rFonts w:cs="Arial"/>
                <w:b/>
                <w:sz w:val="14"/>
                <w:szCs w:val="18"/>
              </w:rPr>
              <w:t>Consolidated</w:t>
            </w:r>
          </w:p>
        </w:tc>
      </w:tr>
      <w:tr w:rsidR="00AA7F20" w:rsidRPr="0068592A" w14:paraId="329EF129" w14:textId="77777777" w:rsidTr="00AA7F20">
        <w:trPr>
          <w:trHeight w:val="238"/>
        </w:trPr>
        <w:tc>
          <w:tcPr>
            <w:tcW w:w="3094" w:type="dxa"/>
            <w:tcBorders>
              <w:bottom w:val="single" w:sz="2" w:space="0" w:color="1F4E79" w:themeColor="accent1" w:themeShade="80"/>
            </w:tcBorders>
            <w:shd w:val="clear" w:color="auto" w:fill="auto"/>
          </w:tcPr>
          <w:p w14:paraId="71680F70" w14:textId="77777777" w:rsidR="00AA7F20" w:rsidRPr="0068592A" w:rsidRDefault="00AA7F20" w:rsidP="00AA7F20">
            <w:pPr>
              <w:pStyle w:val="08-Tabelageral"/>
              <w:rPr>
                <w:rFonts w:cs="Arial"/>
                <w:b/>
              </w:rPr>
            </w:pPr>
          </w:p>
        </w:tc>
        <w:tc>
          <w:tcPr>
            <w:tcW w:w="604" w:type="dxa"/>
            <w:tcBorders>
              <w:bottom w:val="single" w:sz="2" w:space="0" w:color="1F4E79" w:themeColor="accent1" w:themeShade="80"/>
            </w:tcBorders>
            <w:shd w:val="clear" w:color="auto" w:fill="auto"/>
          </w:tcPr>
          <w:p w14:paraId="40254209" w14:textId="77777777" w:rsidR="00AA7F20" w:rsidRPr="0068592A" w:rsidRDefault="00AA7F20" w:rsidP="00AA7F20">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706320F8" w14:textId="77777777" w:rsidR="00AA7F20" w:rsidRPr="0068592A" w:rsidRDefault="00AA7F20" w:rsidP="00AA7F20">
            <w:pPr>
              <w:pStyle w:val="08-Tabelageral"/>
              <w:rPr>
                <w:rFonts w:cs="Arial"/>
                <w:b/>
              </w:rPr>
            </w:pPr>
            <w:r>
              <w:rPr>
                <w:rFonts w:cs="Arial"/>
                <w:b/>
              </w:rPr>
              <w:t>Mar 31, 2023</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5F4B1CC" w14:textId="77777777" w:rsidR="00AA7F20" w:rsidRPr="0068592A" w:rsidRDefault="00AA7F20" w:rsidP="00AA7F20">
            <w:pPr>
              <w:pStyle w:val="08-Tabelageral"/>
              <w:rPr>
                <w:rFonts w:cs="Arial"/>
                <w:b/>
              </w:rPr>
            </w:pPr>
            <w:r>
              <w:rPr>
                <w:rFonts w:cs="Arial"/>
                <w:b/>
              </w:rPr>
              <w:t>Dec 31, 2022</w:t>
            </w:r>
          </w:p>
        </w:tc>
        <w:tc>
          <w:tcPr>
            <w:tcW w:w="283" w:type="dxa"/>
            <w:tcBorders>
              <w:bottom w:val="single" w:sz="2" w:space="0" w:color="1F4E79" w:themeColor="accent1" w:themeShade="80"/>
            </w:tcBorders>
            <w:shd w:val="clear" w:color="auto" w:fill="auto"/>
            <w:vAlign w:val="center"/>
          </w:tcPr>
          <w:p w14:paraId="3755A192" w14:textId="77777777" w:rsidR="00AA7F20" w:rsidRPr="0068592A" w:rsidRDefault="00AA7F20" w:rsidP="00AA7F20">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B243C4C" w14:textId="77777777" w:rsidR="00AA7F20" w:rsidRPr="0068592A" w:rsidRDefault="00AA7F20" w:rsidP="00AA7F20">
            <w:pPr>
              <w:pStyle w:val="08-Tabelageral"/>
              <w:rPr>
                <w:rFonts w:cs="Arial"/>
                <w:b/>
              </w:rPr>
            </w:pPr>
            <w:r>
              <w:rPr>
                <w:rFonts w:cs="Arial"/>
                <w:b/>
              </w:rPr>
              <w:t>Mar 31, 2023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82A1CC7" w14:textId="77777777" w:rsidR="00AA7F20" w:rsidRPr="0068592A" w:rsidRDefault="00AA7F20" w:rsidP="00AA7F20">
            <w:pPr>
              <w:pStyle w:val="08-Tabelageral"/>
              <w:rPr>
                <w:rFonts w:cs="Arial"/>
                <w:b/>
              </w:rPr>
            </w:pPr>
            <w:r>
              <w:rPr>
                <w:rFonts w:cs="Arial"/>
                <w:b/>
              </w:rPr>
              <w:t>Dec 31, 2022</w:t>
            </w:r>
          </w:p>
        </w:tc>
      </w:tr>
      <w:tr w:rsidR="00AA7F20" w:rsidRPr="0068592A" w14:paraId="589F827C" w14:textId="77777777" w:rsidTr="00AA7F20">
        <w:trPr>
          <w:trHeight w:val="238"/>
        </w:trPr>
        <w:tc>
          <w:tcPr>
            <w:tcW w:w="3094" w:type="dxa"/>
            <w:tcBorders>
              <w:top w:val="single" w:sz="2" w:space="0" w:color="1F4E79" w:themeColor="accent1" w:themeShade="80"/>
            </w:tcBorders>
            <w:shd w:val="clear" w:color="auto" w:fill="auto"/>
          </w:tcPr>
          <w:p w14:paraId="169676D5" w14:textId="77777777" w:rsidR="00AA7F20" w:rsidRPr="0068592A" w:rsidRDefault="00AA7F20" w:rsidP="00AA7F20">
            <w:pPr>
              <w:pStyle w:val="08-Tabelageral"/>
              <w:jc w:val="left"/>
              <w:rPr>
                <w:rFonts w:cs="Arial"/>
                <w:b/>
                <w:bCs/>
                <w:szCs w:val="14"/>
              </w:rPr>
            </w:pPr>
            <w:r>
              <w:rPr>
                <w:rFonts w:cs="Arial"/>
                <w:b/>
                <w:szCs w:val="14"/>
              </w:rPr>
              <w:t>Current Assets</w:t>
            </w:r>
          </w:p>
        </w:tc>
        <w:tc>
          <w:tcPr>
            <w:tcW w:w="604" w:type="dxa"/>
            <w:tcBorders>
              <w:top w:val="single" w:sz="2" w:space="0" w:color="1F4E79" w:themeColor="accent1" w:themeShade="80"/>
            </w:tcBorders>
            <w:shd w:val="clear" w:color="auto" w:fill="auto"/>
          </w:tcPr>
          <w:p w14:paraId="2559810D" w14:textId="77777777" w:rsidR="00AA7F20" w:rsidRPr="0068592A" w:rsidRDefault="00AA7F20" w:rsidP="00AA7F20">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75B8A7FC" w14:textId="77777777" w:rsidR="00AA7F20" w:rsidRPr="0068592A" w:rsidRDefault="00AA7F20" w:rsidP="00AA7F20">
            <w:pPr>
              <w:pStyle w:val="08-Tabelageral"/>
              <w:rPr>
                <w:rFonts w:cs="Arial"/>
                <w:b/>
                <w:szCs w:val="14"/>
              </w:rPr>
            </w:pPr>
            <w:r>
              <w:rPr>
                <w:rFonts w:cs="Arial"/>
                <w:b/>
                <w:szCs w:val="14"/>
              </w:rPr>
              <w:t>11,434</w:t>
            </w:r>
          </w:p>
        </w:tc>
        <w:tc>
          <w:tcPr>
            <w:tcW w:w="1412" w:type="dxa"/>
            <w:tcBorders>
              <w:top w:val="single" w:sz="2" w:space="0" w:color="1F4E79" w:themeColor="accent1" w:themeShade="80"/>
            </w:tcBorders>
            <w:shd w:val="clear" w:color="auto" w:fill="auto"/>
            <w:vAlign w:val="center"/>
          </w:tcPr>
          <w:p w14:paraId="48116DB3" w14:textId="77777777" w:rsidR="00AA7F20" w:rsidRPr="0068592A" w:rsidRDefault="00AA7F20" w:rsidP="00AA7F20">
            <w:pPr>
              <w:pStyle w:val="08-Tabelageral"/>
              <w:rPr>
                <w:rFonts w:cs="Arial"/>
                <w:b/>
                <w:szCs w:val="14"/>
              </w:rPr>
            </w:pPr>
            <w:r>
              <w:rPr>
                <w:rFonts w:cs="Arial"/>
                <w:b/>
                <w:szCs w:val="14"/>
              </w:rPr>
              <w:t>9,816</w:t>
            </w:r>
          </w:p>
        </w:tc>
        <w:tc>
          <w:tcPr>
            <w:tcW w:w="283" w:type="dxa"/>
            <w:tcBorders>
              <w:top w:val="single" w:sz="2" w:space="0" w:color="1F4E79" w:themeColor="accent1" w:themeShade="80"/>
            </w:tcBorders>
            <w:shd w:val="clear" w:color="auto" w:fill="auto"/>
            <w:vAlign w:val="center"/>
          </w:tcPr>
          <w:p w14:paraId="5FAA4F4E" w14:textId="77777777" w:rsidR="00AA7F20" w:rsidRPr="0068592A" w:rsidRDefault="00AA7F20" w:rsidP="00AA7F20">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23B15707" w14:textId="77777777" w:rsidR="00AA7F20" w:rsidRPr="0068592A" w:rsidRDefault="00AA7F20" w:rsidP="00AA7F20">
            <w:pPr>
              <w:pStyle w:val="08-Tabelageral"/>
              <w:rPr>
                <w:rFonts w:cs="Arial"/>
                <w:b/>
                <w:szCs w:val="14"/>
              </w:rPr>
            </w:pPr>
            <w:r>
              <w:rPr>
                <w:rFonts w:cs="Arial"/>
                <w:b/>
                <w:szCs w:val="14"/>
              </w:rPr>
              <w:t>5,089</w:t>
            </w:r>
          </w:p>
        </w:tc>
        <w:tc>
          <w:tcPr>
            <w:tcW w:w="1418" w:type="dxa"/>
            <w:tcBorders>
              <w:top w:val="single" w:sz="2" w:space="0" w:color="1F4E79" w:themeColor="accent1" w:themeShade="80"/>
            </w:tcBorders>
            <w:shd w:val="clear" w:color="auto" w:fill="auto"/>
            <w:vAlign w:val="center"/>
          </w:tcPr>
          <w:p w14:paraId="65646C66" w14:textId="77777777" w:rsidR="00AA7F20" w:rsidRPr="0068592A" w:rsidRDefault="00AA7F20" w:rsidP="00AA7F20">
            <w:pPr>
              <w:pStyle w:val="08-Tabelageral"/>
              <w:rPr>
                <w:rFonts w:cs="Arial"/>
                <w:b/>
                <w:szCs w:val="14"/>
              </w:rPr>
            </w:pPr>
            <w:r>
              <w:rPr>
                <w:rFonts w:cs="Arial"/>
                <w:b/>
                <w:szCs w:val="14"/>
              </w:rPr>
              <w:t>574</w:t>
            </w:r>
          </w:p>
        </w:tc>
      </w:tr>
      <w:tr w:rsidR="00AA7F20" w:rsidRPr="0068592A" w14:paraId="15F5C3A8" w14:textId="77777777" w:rsidTr="00AA7F20">
        <w:trPr>
          <w:trHeight w:val="238"/>
        </w:trPr>
        <w:tc>
          <w:tcPr>
            <w:tcW w:w="3094" w:type="dxa"/>
            <w:shd w:val="clear" w:color="auto" w:fill="auto"/>
          </w:tcPr>
          <w:p w14:paraId="7A5DAB6E" w14:textId="77777777" w:rsidR="00AA7F20" w:rsidRPr="0068592A" w:rsidRDefault="00AA7F20" w:rsidP="00AA7F20">
            <w:pPr>
              <w:pStyle w:val="08-Tabelageral"/>
              <w:ind w:left="113"/>
              <w:jc w:val="left"/>
              <w:rPr>
                <w:rFonts w:cs="Arial"/>
                <w:szCs w:val="14"/>
              </w:rPr>
            </w:pPr>
            <w:r>
              <w:rPr>
                <w:rFonts w:cs="Arial"/>
                <w:szCs w:val="14"/>
              </w:rPr>
              <w:t>Receivables from related comparies</w:t>
            </w:r>
          </w:p>
        </w:tc>
        <w:tc>
          <w:tcPr>
            <w:tcW w:w="604" w:type="dxa"/>
            <w:shd w:val="clear" w:color="auto" w:fill="auto"/>
          </w:tcPr>
          <w:p w14:paraId="768699BD" w14:textId="77777777" w:rsidR="00AA7F20" w:rsidRPr="0068592A" w:rsidRDefault="00AA7F20" w:rsidP="00AA7F20">
            <w:pPr>
              <w:pStyle w:val="08-Tabelageral"/>
              <w:ind w:left="113"/>
              <w:jc w:val="center"/>
              <w:rPr>
                <w:rFonts w:cs="Arial"/>
                <w:szCs w:val="14"/>
              </w:rPr>
            </w:pPr>
          </w:p>
        </w:tc>
        <w:tc>
          <w:tcPr>
            <w:tcW w:w="1411" w:type="dxa"/>
            <w:shd w:val="clear" w:color="auto" w:fill="auto"/>
            <w:vAlign w:val="center"/>
          </w:tcPr>
          <w:p w14:paraId="24C4CE64" w14:textId="77777777" w:rsidR="00AA7F20" w:rsidRPr="0068592A" w:rsidRDefault="00AA7F20" w:rsidP="00AA7F20">
            <w:pPr>
              <w:pStyle w:val="08-Tabelageral"/>
              <w:ind w:left="113"/>
              <w:rPr>
                <w:rFonts w:cs="Arial"/>
                <w:szCs w:val="14"/>
              </w:rPr>
            </w:pPr>
            <w:r>
              <w:rPr>
                <w:rFonts w:cs="Arial"/>
                <w:szCs w:val="14"/>
              </w:rPr>
              <w:t>7,495</w:t>
            </w:r>
          </w:p>
        </w:tc>
        <w:tc>
          <w:tcPr>
            <w:tcW w:w="1412" w:type="dxa"/>
            <w:shd w:val="clear" w:color="auto" w:fill="auto"/>
            <w:vAlign w:val="center"/>
          </w:tcPr>
          <w:p w14:paraId="2D2E8701" w14:textId="77777777" w:rsidR="00AA7F20" w:rsidRPr="0068592A" w:rsidRDefault="00AA7F20" w:rsidP="00AA7F20">
            <w:pPr>
              <w:pStyle w:val="08-Tabelageral"/>
              <w:ind w:left="113"/>
              <w:rPr>
                <w:rFonts w:cs="Arial"/>
                <w:szCs w:val="14"/>
              </w:rPr>
            </w:pPr>
            <w:r>
              <w:rPr>
                <w:rFonts w:cs="Arial"/>
                <w:szCs w:val="14"/>
              </w:rPr>
              <w:t>9,365</w:t>
            </w:r>
          </w:p>
        </w:tc>
        <w:tc>
          <w:tcPr>
            <w:tcW w:w="283" w:type="dxa"/>
            <w:shd w:val="clear" w:color="auto" w:fill="auto"/>
            <w:vAlign w:val="center"/>
          </w:tcPr>
          <w:p w14:paraId="6CFDFF70" w14:textId="77777777" w:rsidR="00AA7F20" w:rsidRPr="0068592A" w:rsidRDefault="00AA7F20" w:rsidP="00AA7F20">
            <w:pPr>
              <w:pStyle w:val="08-Tabelageral"/>
              <w:ind w:left="113"/>
              <w:rPr>
                <w:rFonts w:cs="Arial"/>
                <w:szCs w:val="14"/>
              </w:rPr>
            </w:pPr>
          </w:p>
        </w:tc>
        <w:tc>
          <w:tcPr>
            <w:tcW w:w="1417" w:type="dxa"/>
            <w:shd w:val="clear" w:color="auto" w:fill="auto"/>
            <w:vAlign w:val="center"/>
          </w:tcPr>
          <w:p w14:paraId="673D4FDD" w14:textId="77777777" w:rsidR="00AA7F20" w:rsidRPr="0068592A" w:rsidRDefault="00AA7F20" w:rsidP="00AA7F20">
            <w:pPr>
              <w:pStyle w:val="08-Tabelageral"/>
              <w:ind w:left="113"/>
              <w:rPr>
                <w:rFonts w:cs="Arial"/>
                <w:szCs w:val="14"/>
              </w:rPr>
            </w:pPr>
            <w:r>
              <w:rPr>
                <w:rFonts w:cs="Arial"/>
                <w:szCs w:val="14"/>
              </w:rPr>
              <w:t>502</w:t>
            </w:r>
          </w:p>
        </w:tc>
        <w:tc>
          <w:tcPr>
            <w:tcW w:w="1418" w:type="dxa"/>
            <w:shd w:val="clear" w:color="auto" w:fill="auto"/>
            <w:vAlign w:val="center"/>
          </w:tcPr>
          <w:p w14:paraId="362DCBF2" w14:textId="77777777" w:rsidR="00AA7F20" w:rsidRPr="0068592A" w:rsidRDefault="00AA7F20" w:rsidP="00AA7F20">
            <w:pPr>
              <w:pStyle w:val="08-Tabelageral"/>
              <w:ind w:left="113"/>
              <w:rPr>
                <w:rFonts w:cs="Arial"/>
                <w:szCs w:val="14"/>
              </w:rPr>
            </w:pPr>
            <w:r>
              <w:rPr>
                <w:rFonts w:cs="Arial"/>
                <w:szCs w:val="14"/>
              </w:rPr>
              <w:t>--</w:t>
            </w:r>
          </w:p>
        </w:tc>
      </w:tr>
      <w:tr w:rsidR="00AA7F20" w:rsidRPr="0068592A" w14:paraId="6C75BB88" w14:textId="77777777" w:rsidTr="00AA7F20">
        <w:trPr>
          <w:trHeight w:val="238"/>
        </w:trPr>
        <w:tc>
          <w:tcPr>
            <w:tcW w:w="3094" w:type="dxa"/>
            <w:shd w:val="clear" w:color="auto" w:fill="auto"/>
          </w:tcPr>
          <w:p w14:paraId="105FB51D" w14:textId="77777777" w:rsidR="00AA7F20" w:rsidRPr="0068592A" w:rsidRDefault="00AA7F20" w:rsidP="00AA7F20">
            <w:pPr>
              <w:pStyle w:val="08-Tabelageral"/>
              <w:ind w:left="113"/>
              <w:jc w:val="left"/>
              <w:rPr>
                <w:rFonts w:cs="Arial"/>
                <w:szCs w:val="14"/>
              </w:rPr>
            </w:pPr>
            <w:r>
              <w:rPr>
                <w:rFonts w:cs="Arial"/>
                <w:szCs w:val="14"/>
              </w:rPr>
              <w:t>Receivables from</w:t>
            </w:r>
            <w:r w:rsidRPr="0068592A">
              <w:rPr>
                <w:rFonts w:cs="Arial"/>
                <w:szCs w:val="14"/>
              </w:rPr>
              <w:t xml:space="preserve"> ADR</w:t>
            </w:r>
          </w:p>
        </w:tc>
        <w:tc>
          <w:tcPr>
            <w:tcW w:w="604" w:type="dxa"/>
            <w:shd w:val="clear" w:color="auto" w:fill="auto"/>
          </w:tcPr>
          <w:p w14:paraId="42B3CC09" w14:textId="77777777" w:rsidR="00AA7F20" w:rsidRPr="0068592A" w:rsidRDefault="00AA7F20" w:rsidP="00AA7F20">
            <w:pPr>
              <w:pStyle w:val="08-Tabelageral"/>
              <w:ind w:left="113"/>
              <w:jc w:val="center"/>
              <w:rPr>
                <w:rFonts w:cs="Arial"/>
                <w:szCs w:val="14"/>
              </w:rPr>
            </w:pPr>
          </w:p>
        </w:tc>
        <w:tc>
          <w:tcPr>
            <w:tcW w:w="1411" w:type="dxa"/>
            <w:shd w:val="clear" w:color="auto" w:fill="auto"/>
            <w:vAlign w:val="center"/>
          </w:tcPr>
          <w:p w14:paraId="06A75F72" w14:textId="77777777" w:rsidR="00AA7F20" w:rsidRPr="0068592A" w:rsidRDefault="00AA7F20" w:rsidP="00AA7F20">
            <w:pPr>
              <w:pStyle w:val="08-Tabelageral"/>
              <w:ind w:left="113"/>
              <w:rPr>
                <w:rFonts w:cs="Arial"/>
                <w:szCs w:val="14"/>
              </w:rPr>
            </w:pPr>
            <w:r>
              <w:rPr>
                <w:rFonts w:cs="Arial"/>
                <w:szCs w:val="14"/>
              </w:rPr>
              <w:t>3,441</w:t>
            </w:r>
          </w:p>
        </w:tc>
        <w:tc>
          <w:tcPr>
            <w:tcW w:w="1412" w:type="dxa"/>
            <w:shd w:val="clear" w:color="auto" w:fill="auto"/>
            <w:vAlign w:val="center"/>
          </w:tcPr>
          <w:p w14:paraId="5E055AA6" w14:textId="77777777" w:rsidR="00AA7F20" w:rsidRPr="0068592A" w:rsidRDefault="00AA7F20" w:rsidP="00AA7F20">
            <w:pPr>
              <w:pStyle w:val="08-Tabelageral"/>
              <w:ind w:left="113"/>
              <w:rPr>
                <w:rFonts w:cs="Arial"/>
                <w:szCs w:val="14"/>
              </w:rPr>
            </w:pPr>
            <w:r>
              <w:rPr>
                <w:rFonts w:cs="Arial"/>
                <w:szCs w:val="14"/>
              </w:rPr>
              <w:t>423</w:t>
            </w:r>
          </w:p>
        </w:tc>
        <w:tc>
          <w:tcPr>
            <w:tcW w:w="283" w:type="dxa"/>
            <w:shd w:val="clear" w:color="auto" w:fill="auto"/>
            <w:vAlign w:val="center"/>
          </w:tcPr>
          <w:p w14:paraId="0E738207" w14:textId="77777777" w:rsidR="00AA7F20" w:rsidRPr="0068592A" w:rsidRDefault="00AA7F20" w:rsidP="00AA7F20">
            <w:pPr>
              <w:pStyle w:val="08-Tabelageral"/>
              <w:ind w:left="113"/>
              <w:rPr>
                <w:rFonts w:cs="Arial"/>
                <w:szCs w:val="14"/>
              </w:rPr>
            </w:pPr>
          </w:p>
        </w:tc>
        <w:tc>
          <w:tcPr>
            <w:tcW w:w="1417" w:type="dxa"/>
            <w:shd w:val="clear" w:color="auto" w:fill="auto"/>
            <w:vAlign w:val="center"/>
          </w:tcPr>
          <w:p w14:paraId="004FF35B" w14:textId="77777777" w:rsidR="00AA7F20" w:rsidRPr="0068592A" w:rsidRDefault="00AA7F20" w:rsidP="00AA7F20">
            <w:pPr>
              <w:pStyle w:val="08-Tabelageral"/>
              <w:ind w:left="113"/>
              <w:rPr>
                <w:rFonts w:cs="Arial"/>
                <w:szCs w:val="14"/>
              </w:rPr>
            </w:pPr>
            <w:r>
              <w:rPr>
                <w:rFonts w:cs="Arial"/>
                <w:szCs w:val="14"/>
              </w:rPr>
              <w:t>3,441</w:t>
            </w:r>
          </w:p>
        </w:tc>
        <w:tc>
          <w:tcPr>
            <w:tcW w:w="1418" w:type="dxa"/>
            <w:shd w:val="clear" w:color="auto" w:fill="auto"/>
            <w:vAlign w:val="center"/>
          </w:tcPr>
          <w:p w14:paraId="16378F00" w14:textId="77777777" w:rsidR="00AA7F20" w:rsidRPr="0068592A" w:rsidRDefault="00AA7F20" w:rsidP="00AA7F20">
            <w:pPr>
              <w:pStyle w:val="08-Tabelageral"/>
              <w:ind w:left="113"/>
              <w:rPr>
                <w:rFonts w:cs="Arial"/>
                <w:szCs w:val="14"/>
              </w:rPr>
            </w:pPr>
            <w:r>
              <w:rPr>
                <w:rFonts w:cs="Arial"/>
                <w:szCs w:val="14"/>
              </w:rPr>
              <w:t>--</w:t>
            </w:r>
          </w:p>
        </w:tc>
      </w:tr>
      <w:tr w:rsidR="00AA7F20" w:rsidRPr="0068592A" w14:paraId="13ABB4AA" w14:textId="77777777" w:rsidTr="00AA7F20">
        <w:trPr>
          <w:trHeight w:val="238"/>
        </w:trPr>
        <w:tc>
          <w:tcPr>
            <w:tcW w:w="3094" w:type="dxa"/>
            <w:shd w:val="clear" w:color="auto" w:fill="auto"/>
          </w:tcPr>
          <w:p w14:paraId="7BA83204" w14:textId="77777777" w:rsidR="00AA7F20" w:rsidRPr="0068592A" w:rsidRDefault="00AA7F20" w:rsidP="00AA7F20">
            <w:pPr>
              <w:pStyle w:val="08-Tabelageral"/>
              <w:ind w:left="113"/>
              <w:jc w:val="left"/>
              <w:rPr>
                <w:rFonts w:cs="Arial"/>
                <w:szCs w:val="14"/>
              </w:rPr>
            </w:pPr>
            <w:r>
              <w:rPr>
                <w:rFonts w:cs="Arial"/>
                <w:szCs w:val="14"/>
              </w:rPr>
              <w:t xml:space="preserve">Other </w:t>
            </w:r>
          </w:p>
        </w:tc>
        <w:tc>
          <w:tcPr>
            <w:tcW w:w="604" w:type="dxa"/>
            <w:shd w:val="clear" w:color="auto" w:fill="auto"/>
          </w:tcPr>
          <w:p w14:paraId="7E93BF28" w14:textId="77777777" w:rsidR="00AA7F20" w:rsidRPr="0068592A" w:rsidRDefault="00AA7F20" w:rsidP="00AA7F20">
            <w:pPr>
              <w:pStyle w:val="08-Tabelageral"/>
              <w:ind w:left="113"/>
              <w:jc w:val="center"/>
              <w:rPr>
                <w:rFonts w:cs="Arial"/>
                <w:szCs w:val="14"/>
              </w:rPr>
            </w:pPr>
          </w:p>
        </w:tc>
        <w:tc>
          <w:tcPr>
            <w:tcW w:w="1411" w:type="dxa"/>
            <w:shd w:val="clear" w:color="auto" w:fill="auto"/>
            <w:vAlign w:val="center"/>
          </w:tcPr>
          <w:p w14:paraId="05195D8B" w14:textId="77777777" w:rsidR="00AA7F20" w:rsidRPr="0068592A" w:rsidRDefault="00AA7F20" w:rsidP="00AA7F20">
            <w:pPr>
              <w:pStyle w:val="08-Tabelageral"/>
              <w:ind w:left="113"/>
              <w:rPr>
                <w:rFonts w:cs="Arial"/>
                <w:szCs w:val="14"/>
              </w:rPr>
            </w:pPr>
            <w:r>
              <w:rPr>
                <w:rFonts w:cs="Arial"/>
                <w:szCs w:val="14"/>
              </w:rPr>
              <w:t>498</w:t>
            </w:r>
          </w:p>
        </w:tc>
        <w:tc>
          <w:tcPr>
            <w:tcW w:w="1412" w:type="dxa"/>
            <w:shd w:val="clear" w:color="auto" w:fill="auto"/>
            <w:vAlign w:val="center"/>
          </w:tcPr>
          <w:p w14:paraId="39264249" w14:textId="77777777" w:rsidR="00AA7F20" w:rsidRPr="0068592A" w:rsidRDefault="00AA7F20" w:rsidP="00AA7F20">
            <w:pPr>
              <w:pStyle w:val="08-Tabelageral"/>
              <w:ind w:left="113"/>
              <w:rPr>
                <w:rFonts w:cs="Arial"/>
                <w:szCs w:val="14"/>
              </w:rPr>
            </w:pPr>
            <w:r>
              <w:rPr>
                <w:rFonts w:cs="Arial"/>
                <w:szCs w:val="14"/>
              </w:rPr>
              <w:t>28</w:t>
            </w:r>
          </w:p>
        </w:tc>
        <w:tc>
          <w:tcPr>
            <w:tcW w:w="283" w:type="dxa"/>
            <w:shd w:val="clear" w:color="auto" w:fill="auto"/>
            <w:vAlign w:val="center"/>
          </w:tcPr>
          <w:p w14:paraId="0BC9CB7B" w14:textId="77777777" w:rsidR="00AA7F20" w:rsidRPr="0068592A" w:rsidRDefault="00AA7F20" w:rsidP="00AA7F20">
            <w:pPr>
              <w:pStyle w:val="08-Tabelageral"/>
              <w:ind w:left="113"/>
              <w:rPr>
                <w:rFonts w:cs="Arial"/>
                <w:szCs w:val="14"/>
              </w:rPr>
            </w:pPr>
          </w:p>
        </w:tc>
        <w:tc>
          <w:tcPr>
            <w:tcW w:w="1417" w:type="dxa"/>
            <w:shd w:val="clear" w:color="auto" w:fill="auto"/>
            <w:vAlign w:val="center"/>
          </w:tcPr>
          <w:p w14:paraId="578FE2CF" w14:textId="77777777" w:rsidR="00AA7F20" w:rsidRPr="0068592A" w:rsidRDefault="00AA7F20" w:rsidP="00AA7F20">
            <w:pPr>
              <w:pStyle w:val="08-Tabelageral"/>
              <w:ind w:left="113"/>
              <w:rPr>
                <w:rFonts w:cs="Arial"/>
                <w:szCs w:val="14"/>
              </w:rPr>
            </w:pPr>
            <w:r>
              <w:rPr>
                <w:rFonts w:cs="Arial"/>
                <w:szCs w:val="14"/>
              </w:rPr>
              <w:t>1,146</w:t>
            </w:r>
          </w:p>
        </w:tc>
        <w:tc>
          <w:tcPr>
            <w:tcW w:w="1418" w:type="dxa"/>
            <w:shd w:val="clear" w:color="auto" w:fill="auto"/>
            <w:vAlign w:val="center"/>
          </w:tcPr>
          <w:p w14:paraId="45FCF0B9" w14:textId="77777777" w:rsidR="00AA7F20" w:rsidRPr="0068592A" w:rsidRDefault="00AA7F20" w:rsidP="00AA7F20">
            <w:pPr>
              <w:pStyle w:val="08-Tabelageral"/>
              <w:ind w:left="113"/>
              <w:rPr>
                <w:rFonts w:cs="Arial"/>
                <w:szCs w:val="14"/>
              </w:rPr>
            </w:pPr>
            <w:r>
              <w:rPr>
                <w:rFonts w:cs="Arial"/>
                <w:szCs w:val="14"/>
              </w:rPr>
              <w:t>574</w:t>
            </w:r>
          </w:p>
        </w:tc>
      </w:tr>
      <w:tr w:rsidR="00AA7F20" w:rsidRPr="0068592A" w14:paraId="372235CA" w14:textId="77777777" w:rsidTr="00AA7F20">
        <w:trPr>
          <w:trHeight w:val="238"/>
        </w:trPr>
        <w:tc>
          <w:tcPr>
            <w:tcW w:w="3094" w:type="dxa"/>
            <w:shd w:val="clear" w:color="auto" w:fill="auto"/>
          </w:tcPr>
          <w:p w14:paraId="3D3E8DDD" w14:textId="77777777" w:rsidR="00AA7F20" w:rsidRPr="0068592A" w:rsidRDefault="00AA7F20" w:rsidP="00AA7F20">
            <w:pPr>
              <w:pStyle w:val="08-Tabelageral"/>
              <w:jc w:val="left"/>
              <w:rPr>
                <w:rFonts w:cs="Arial"/>
                <w:b/>
                <w:szCs w:val="14"/>
              </w:rPr>
            </w:pPr>
            <w:r>
              <w:rPr>
                <w:rFonts w:cs="Arial"/>
                <w:b/>
                <w:szCs w:val="14"/>
              </w:rPr>
              <w:t>Non-Current Assets</w:t>
            </w:r>
          </w:p>
        </w:tc>
        <w:tc>
          <w:tcPr>
            <w:tcW w:w="604" w:type="dxa"/>
            <w:shd w:val="clear" w:color="auto" w:fill="auto"/>
          </w:tcPr>
          <w:p w14:paraId="23D5224A" w14:textId="77777777" w:rsidR="00AA7F20" w:rsidRPr="0068592A" w:rsidRDefault="00AA7F20" w:rsidP="00AA7F20">
            <w:pPr>
              <w:pStyle w:val="08-Tabelageral"/>
              <w:jc w:val="center"/>
              <w:rPr>
                <w:rFonts w:cs="Arial"/>
                <w:b/>
                <w:szCs w:val="14"/>
              </w:rPr>
            </w:pPr>
          </w:p>
        </w:tc>
        <w:tc>
          <w:tcPr>
            <w:tcW w:w="1411" w:type="dxa"/>
            <w:shd w:val="clear" w:color="auto" w:fill="auto"/>
            <w:vAlign w:val="center"/>
          </w:tcPr>
          <w:p w14:paraId="429143E7" w14:textId="77777777" w:rsidR="00AA7F20" w:rsidRPr="0068592A" w:rsidRDefault="00AA7F20" w:rsidP="00AA7F20">
            <w:pPr>
              <w:pStyle w:val="08-Tabelageral"/>
              <w:rPr>
                <w:rFonts w:cs="Arial"/>
                <w:b/>
                <w:szCs w:val="14"/>
              </w:rPr>
            </w:pPr>
            <w:r>
              <w:rPr>
                <w:rFonts w:cs="Arial"/>
                <w:b/>
                <w:szCs w:val="14"/>
              </w:rPr>
              <w:t>53</w:t>
            </w:r>
          </w:p>
        </w:tc>
        <w:tc>
          <w:tcPr>
            <w:tcW w:w="1412" w:type="dxa"/>
            <w:shd w:val="clear" w:color="auto" w:fill="auto"/>
            <w:vAlign w:val="center"/>
          </w:tcPr>
          <w:p w14:paraId="59E6D8A5" w14:textId="77777777" w:rsidR="00AA7F20" w:rsidRPr="0068592A" w:rsidRDefault="00AA7F20" w:rsidP="00AA7F20">
            <w:pPr>
              <w:pStyle w:val="08-Tabelageral"/>
              <w:rPr>
                <w:rFonts w:cs="Arial"/>
                <w:b/>
                <w:szCs w:val="14"/>
              </w:rPr>
            </w:pPr>
            <w:r>
              <w:rPr>
                <w:rFonts w:cs="Arial"/>
                <w:b/>
                <w:szCs w:val="14"/>
              </w:rPr>
              <w:t>58</w:t>
            </w:r>
          </w:p>
        </w:tc>
        <w:tc>
          <w:tcPr>
            <w:tcW w:w="283" w:type="dxa"/>
            <w:shd w:val="clear" w:color="auto" w:fill="auto"/>
            <w:vAlign w:val="center"/>
          </w:tcPr>
          <w:p w14:paraId="08122915" w14:textId="77777777" w:rsidR="00AA7F20" w:rsidRPr="0068592A" w:rsidRDefault="00AA7F20" w:rsidP="00AA7F20">
            <w:pPr>
              <w:pStyle w:val="08-Tabelageral"/>
              <w:rPr>
                <w:rFonts w:cs="Arial"/>
                <w:b/>
                <w:szCs w:val="14"/>
              </w:rPr>
            </w:pPr>
          </w:p>
        </w:tc>
        <w:tc>
          <w:tcPr>
            <w:tcW w:w="1417" w:type="dxa"/>
            <w:shd w:val="clear" w:color="auto" w:fill="auto"/>
            <w:vAlign w:val="center"/>
          </w:tcPr>
          <w:p w14:paraId="3BBEB6C3" w14:textId="77777777" w:rsidR="00AA7F20" w:rsidRPr="0068592A" w:rsidRDefault="00AA7F20" w:rsidP="00AA7F20">
            <w:pPr>
              <w:pStyle w:val="08-Tabelageral"/>
              <w:rPr>
                <w:rFonts w:cs="Arial"/>
                <w:b/>
                <w:szCs w:val="14"/>
              </w:rPr>
            </w:pPr>
            <w:r>
              <w:rPr>
                <w:rFonts w:cs="Arial"/>
                <w:b/>
                <w:szCs w:val="14"/>
              </w:rPr>
              <w:t>224,843</w:t>
            </w:r>
          </w:p>
        </w:tc>
        <w:tc>
          <w:tcPr>
            <w:tcW w:w="1418" w:type="dxa"/>
            <w:shd w:val="clear" w:color="auto" w:fill="auto"/>
            <w:vAlign w:val="center"/>
          </w:tcPr>
          <w:p w14:paraId="1E763028" w14:textId="77777777" w:rsidR="00AA7F20" w:rsidRPr="0068592A" w:rsidRDefault="00AA7F20" w:rsidP="00AA7F20">
            <w:pPr>
              <w:pStyle w:val="08-Tabelageral"/>
              <w:rPr>
                <w:rFonts w:cs="Arial"/>
                <w:b/>
                <w:szCs w:val="14"/>
              </w:rPr>
            </w:pPr>
            <w:r>
              <w:rPr>
                <w:rFonts w:cs="Arial"/>
                <w:b/>
                <w:szCs w:val="14"/>
              </w:rPr>
              <w:t>221,882</w:t>
            </w:r>
          </w:p>
        </w:tc>
      </w:tr>
      <w:tr w:rsidR="00AA7F20" w:rsidRPr="0068592A" w14:paraId="17B2D250" w14:textId="77777777" w:rsidTr="00AA7F20">
        <w:trPr>
          <w:trHeight w:val="238"/>
        </w:trPr>
        <w:tc>
          <w:tcPr>
            <w:tcW w:w="3094" w:type="dxa"/>
            <w:shd w:val="clear" w:color="auto" w:fill="auto"/>
          </w:tcPr>
          <w:p w14:paraId="36765642" w14:textId="77777777" w:rsidR="00AA7F20" w:rsidRPr="0068592A" w:rsidRDefault="00AA7F20" w:rsidP="00AA7F20">
            <w:pPr>
              <w:pStyle w:val="08-Tabelageral"/>
              <w:ind w:left="113"/>
              <w:jc w:val="left"/>
              <w:rPr>
                <w:rFonts w:cs="Arial"/>
                <w:szCs w:val="14"/>
              </w:rPr>
            </w:pPr>
            <w:r>
              <w:rPr>
                <w:rFonts w:cs="Arial"/>
                <w:szCs w:val="14"/>
              </w:rPr>
              <w:t xml:space="preserve">Judicial deposits </w:t>
            </w:r>
            <w:r w:rsidRPr="0068592A">
              <w:rPr>
                <w:rFonts w:cs="Arial"/>
                <w:szCs w:val="14"/>
                <w:vertAlign w:val="superscript"/>
              </w:rPr>
              <w:t>(1)</w:t>
            </w:r>
          </w:p>
        </w:tc>
        <w:tc>
          <w:tcPr>
            <w:tcW w:w="604" w:type="dxa"/>
            <w:shd w:val="clear" w:color="auto" w:fill="auto"/>
          </w:tcPr>
          <w:p w14:paraId="74D7ED94" w14:textId="77777777" w:rsidR="00AA7F20" w:rsidRPr="0068592A" w:rsidRDefault="00AA7F20" w:rsidP="00AA7F20">
            <w:pPr>
              <w:pStyle w:val="08-Tabelageral"/>
              <w:ind w:left="113"/>
              <w:jc w:val="center"/>
              <w:rPr>
                <w:rFonts w:cs="Arial"/>
                <w:szCs w:val="14"/>
              </w:rPr>
            </w:pPr>
          </w:p>
        </w:tc>
        <w:tc>
          <w:tcPr>
            <w:tcW w:w="1411" w:type="dxa"/>
            <w:shd w:val="clear" w:color="auto" w:fill="auto"/>
            <w:vAlign w:val="center"/>
          </w:tcPr>
          <w:p w14:paraId="1AC22B2C" w14:textId="77777777" w:rsidR="00AA7F20" w:rsidRPr="0068592A" w:rsidRDefault="00AA7F20" w:rsidP="00AA7F20">
            <w:pPr>
              <w:pStyle w:val="08-Tabelageral"/>
              <w:ind w:left="113"/>
              <w:rPr>
                <w:rFonts w:cs="Arial"/>
                <w:szCs w:val="14"/>
              </w:rPr>
            </w:pPr>
            <w:r>
              <w:rPr>
                <w:rFonts w:cs="Arial"/>
                <w:szCs w:val="14"/>
              </w:rPr>
              <w:t>12</w:t>
            </w:r>
          </w:p>
        </w:tc>
        <w:tc>
          <w:tcPr>
            <w:tcW w:w="1412" w:type="dxa"/>
            <w:shd w:val="clear" w:color="auto" w:fill="auto"/>
            <w:vAlign w:val="center"/>
          </w:tcPr>
          <w:p w14:paraId="25FEF9BF" w14:textId="77777777" w:rsidR="00AA7F20" w:rsidRPr="0068592A" w:rsidRDefault="00AA7F20" w:rsidP="00AA7F20">
            <w:pPr>
              <w:pStyle w:val="08-Tabelageral"/>
              <w:ind w:left="113"/>
              <w:rPr>
                <w:rFonts w:cs="Arial"/>
                <w:szCs w:val="14"/>
              </w:rPr>
            </w:pPr>
            <w:r>
              <w:rPr>
                <w:rFonts w:cs="Arial"/>
                <w:szCs w:val="14"/>
              </w:rPr>
              <w:t>11</w:t>
            </w:r>
          </w:p>
        </w:tc>
        <w:tc>
          <w:tcPr>
            <w:tcW w:w="283" w:type="dxa"/>
            <w:shd w:val="clear" w:color="auto" w:fill="auto"/>
            <w:vAlign w:val="center"/>
          </w:tcPr>
          <w:p w14:paraId="41BFE828" w14:textId="77777777" w:rsidR="00AA7F20" w:rsidRPr="0068592A" w:rsidRDefault="00AA7F20" w:rsidP="00AA7F20">
            <w:pPr>
              <w:pStyle w:val="08-Tabelageral"/>
              <w:ind w:left="113"/>
              <w:rPr>
                <w:rFonts w:cs="Arial"/>
                <w:szCs w:val="14"/>
              </w:rPr>
            </w:pPr>
          </w:p>
        </w:tc>
        <w:tc>
          <w:tcPr>
            <w:tcW w:w="1417" w:type="dxa"/>
            <w:shd w:val="clear" w:color="auto" w:fill="auto"/>
            <w:vAlign w:val="center"/>
          </w:tcPr>
          <w:p w14:paraId="7A3A2337" w14:textId="77777777" w:rsidR="00AA7F20" w:rsidRPr="0068592A" w:rsidRDefault="00AA7F20" w:rsidP="00AA7F20">
            <w:pPr>
              <w:pStyle w:val="08-Tabelageral"/>
              <w:ind w:left="113"/>
              <w:rPr>
                <w:rFonts w:cs="Arial"/>
                <w:szCs w:val="14"/>
              </w:rPr>
            </w:pPr>
            <w:r>
              <w:rPr>
                <w:rFonts w:cs="Arial"/>
                <w:szCs w:val="14"/>
              </w:rPr>
              <w:t>224,802</w:t>
            </w:r>
          </w:p>
        </w:tc>
        <w:tc>
          <w:tcPr>
            <w:tcW w:w="1418" w:type="dxa"/>
            <w:shd w:val="clear" w:color="auto" w:fill="auto"/>
            <w:vAlign w:val="center"/>
          </w:tcPr>
          <w:p w14:paraId="2365E945" w14:textId="77777777" w:rsidR="00AA7F20" w:rsidRPr="0068592A" w:rsidRDefault="00AA7F20" w:rsidP="00AA7F20">
            <w:pPr>
              <w:pStyle w:val="08-Tabelageral"/>
              <w:ind w:left="113"/>
              <w:rPr>
                <w:rFonts w:cs="Arial"/>
                <w:szCs w:val="14"/>
              </w:rPr>
            </w:pPr>
            <w:r>
              <w:rPr>
                <w:rFonts w:cs="Arial"/>
                <w:szCs w:val="14"/>
              </w:rPr>
              <w:t>221,835</w:t>
            </w:r>
          </w:p>
        </w:tc>
      </w:tr>
      <w:tr w:rsidR="00AA7F20" w:rsidRPr="0068592A" w14:paraId="1E3BF50A" w14:textId="77777777" w:rsidTr="00AA7F20">
        <w:trPr>
          <w:trHeight w:val="238"/>
        </w:trPr>
        <w:tc>
          <w:tcPr>
            <w:tcW w:w="3094" w:type="dxa"/>
            <w:tcBorders>
              <w:bottom w:val="nil"/>
            </w:tcBorders>
            <w:shd w:val="clear" w:color="auto" w:fill="auto"/>
          </w:tcPr>
          <w:p w14:paraId="423AFD29" w14:textId="77777777" w:rsidR="00AA7F20" w:rsidRPr="0068592A" w:rsidRDefault="00AA7F20" w:rsidP="00AA7F20">
            <w:pPr>
              <w:pStyle w:val="08-Tabelageral"/>
              <w:ind w:left="113"/>
              <w:jc w:val="left"/>
              <w:rPr>
                <w:rFonts w:cs="Arial"/>
                <w:szCs w:val="14"/>
                <w:vertAlign w:val="superscript"/>
              </w:rPr>
            </w:pPr>
            <w:r>
              <w:rPr>
                <w:rFonts w:cs="Arial"/>
                <w:szCs w:val="14"/>
              </w:rPr>
              <w:t>Fixed asset</w:t>
            </w:r>
            <w:r w:rsidRPr="0068592A">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Borders>
              <w:bottom w:val="nil"/>
            </w:tcBorders>
            <w:shd w:val="clear" w:color="auto" w:fill="auto"/>
          </w:tcPr>
          <w:p w14:paraId="6C0EED47" w14:textId="77777777" w:rsidR="00AA7F20" w:rsidRPr="0068592A" w:rsidRDefault="00AA7F20" w:rsidP="00AA7F20">
            <w:pPr>
              <w:pStyle w:val="08-Tabelageral"/>
              <w:ind w:left="113"/>
              <w:jc w:val="center"/>
              <w:rPr>
                <w:rFonts w:cs="Arial"/>
                <w:szCs w:val="14"/>
              </w:rPr>
            </w:pPr>
          </w:p>
        </w:tc>
        <w:tc>
          <w:tcPr>
            <w:tcW w:w="1411" w:type="dxa"/>
            <w:tcBorders>
              <w:bottom w:val="nil"/>
            </w:tcBorders>
            <w:shd w:val="clear" w:color="auto" w:fill="auto"/>
            <w:vAlign w:val="center"/>
          </w:tcPr>
          <w:p w14:paraId="13B19F67" w14:textId="77777777" w:rsidR="00AA7F20" w:rsidRPr="0068592A" w:rsidRDefault="00AA7F20" w:rsidP="00AA7F20">
            <w:pPr>
              <w:pStyle w:val="08-Tabelageral"/>
              <w:ind w:left="113"/>
              <w:rPr>
                <w:rFonts w:cs="Arial"/>
                <w:szCs w:val="14"/>
              </w:rPr>
            </w:pPr>
            <w:r>
              <w:rPr>
                <w:rFonts w:cs="Arial"/>
                <w:szCs w:val="14"/>
              </w:rPr>
              <w:t>41</w:t>
            </w:r>
          </w:p>
        </w:tc>
        <w:tc>
          <w:tcPr>
            <w:tcW w:w="1412" w:type="dxa"/>
            <w:tcBorders>
              <w:bottom w:val="nil"/>
            </w:tcBorders>
            <w:shd w:val="clear" w:color="auto" w:fill="auto"/>
            <w:vAlign w:val="center"/>
          </w:tcPr>
          <w:p w14:paraId="203CE765" w14:textId="77777777" w:rsidR="00AA7F20" w:rsidRPr="0068592A" w:rsidRDefault="00AA7F20" w:rsidP="00AA7F20">
            <w:pPr>
              <w:pStyle w:val="08-Tabelageral"/>
              <w:ind w:left="113"/>
              <w:rPr>
                <w:rFonts w:cs="Arial"/>
                <w:szCs w:val="14"/>
              </w:rPr>
            </w:pPr>
            <w:r>
              <w:rPr>
                <w:rFonts w:cs="Arial"/>
                <w:szCs w:val="14"/>
              </w:rPr>
              <w:t>47</w:t>
            </w:r>
          </w:p>
        </w:tc>
        <w:tc>
          <w:tcPr>
            <w:tcW w:w="283" w:type="dxa"/>
            <w:tcBorders>
              <w:bottom w:val="nil"/>
            </w:tcBorders>
            <w:shd w:val="clear" w:color="auto" w:fill="auto"/>
            <w:vAlign w:val="center"/>
          </w:tcPr>
          <w:p w14:paraId="5B85D146" w14:textId="77777777" w:rsidR="00AA7F20" w:rsidRPr="0068592A" w:rsidRDefault="00AA7F20" w:rsidP="00AA7F20">
            <w:pPr>
              <w:pStyle w:val="08-Tabelageral"/>
              <w:ind w:left="113"/>
              <w:rPr>
                <w:rFonts w:cs="Arial"/>
                <w:szCs w:val="14"/>
              </w:rPr>
            </w:pPr>
          </w:p>
        </w:tc>
        <w:tc>
          <w:tcPr>
            <w:tcW w:w="1417" w:type="dxa"/>
            <w:tcBorders>
              <w:bottom w:val="nil"/>
            </w:tcBorders>
            <w:shd w:val="clear" w:color="auto" w:fill="auto"/>
            <w:vAlign w:val="center"/>
          </w:tcPr>
          <w:p w14:paraId="37BA647D" w14:textId="77777777" w:rsidR="00AA7F20" w:rsidRPr="0068592A" w:rsidRDefault="00AA7F20" w:rsidP="00AA7F20">
            <w:pPr>
              <w:pStyle w:val="08-Tabelageral"/>
              <w:ind w:left="113"/>
              <w:rPr>
                <w:rFonts w:cs="Arial"/>
                <w:szCs w:val="14"/>
              </w:rPr>
            </w:pPr>
            <w:r>
              <w:rPr>
                <w:rFonts w:cs="Arial"/>
                <w:szCs w:val="14"/>
              </w:rPr>
              <w:t>41</w:t>
            </w:r>
          </w:p>
        </w:tc>
        <w:tc>
          <w:tcPr>
            <w:tcW w:w="1418" w:type="dxa"/>
            <w:tcBorders>
              <w:bottom w:val="nil"/>
            </w:tcBorders>
            <w:shd w:val="clear" w:color="auto" w:fill="auto"/>
            <w:vAlign w:val="center"/>
          </w:tcPr>
          <w:p w14:paraId="04ADE522" w14:textId="77777777" w:rsidR="00AA7F20" w:rsidRPr="0068592A" w:rsidRDefault="00AA7F20" w:rsidP="00AA7F20">
            <w:pPr>
              <w:pStyle w:val="08-Tabelageral"/>
              <w:ind w:left="113"/>
              <w:rPr>
                <w:rFonts w:cs="Arial"/>
                <w:szCs w:val="14"/>
              </w:rPr>
            </w:pPr>
            <w:r>
              <w:rPr>
                <w:rFonts w:cs="Arial"/>
                <w:szCs w:val="14"/>
              </w:rPr>
              <w:t>47</w:t>
            </w:r>
          </w:p>
        </w:tc>
      </w:tr>
      <w:tr w:rsidR="00AA7F20" w:rsidRPr="0068592A" w14:paraId="03748DB0" w14:textId="77777777" w:rsidTr="00AA7F20">
        <w:trPr>
          <w:trHeight w:val="238"/>
        </w:trPr>
        <w:tc>
          <w:tcPr>
            <w:tcW w:w="3094" w:type="dxa"/>
            <w:tcBorders>
              <w:top w:val="nil"/>
              <w:bottom w:val="single" w:sz="2" w:space="0" w:color="1F4E79" w:themeColor="accent1" w:themeShade="80"/>
            </w:tcBorders>
            <w:shd w:val="clear" w:color="auto" w:fill="auto"/>
          </w:tcPr>
          <w:p w14:paraId="7D343022" w14:textId="77777777" w:rsidR="00AA7F20" w:rsidRPr="0068592A" w:rsidRDefault="00AA7F20" w:rsidP="00AA7F20">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56278EB2" w14:textId="77777777" w:rsidR="00AA7F20" w:rsidRPr="0068592A" w:rsidRDefault="00AA7F20" w:rsidP="00AA7F20">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69A36BA" w14:textId="77777777" w:rsidR="00AA7F20" w:rsidRPr="0068592A" w:rsidRDefault="00AA7F20" w:rsidP="00AA7F20">
            <w:pPr>
              <w:pStyle w:val="08-Tabelageral"/>
              <w:rPr>
                <w:rFonts w:cs="Arial"/>
                <w:b/>
                <w:szCs w:val="14"/>
              </w:rPr>
            </w:pPr>
            <w:r>
              <w:rPr>
                <w:rFonts w:cs="Arial"/>
                <w:b/>
                <w:szCs w:val="14"/>
              </w:rPr>
              <w:t>11,487</w:t>
            </w:r>
          </w:p>
        </w:tc>
        <w:tc>
          <w:tcPr>
            <w:tcW w:w="1412" w:type="dxa"/>
            <w:tcBorders>
              <w:top w:val="nil"/>
              <w:bottom w:val="single" w:sz="2" w:space="0" w:color="1F4E79" w:themeColor="accent1" w:themeShade="80"/>
            </w:tcBorders>
            <w:shd w:val="clear" w:color="auto" w:fill="auto"/>
            <w:vAlign w:val="center"/>
          </w:tcPr>
          <w:p w14:paraId="25326546" w14:textId="77777777" w:rsidR="00AA7F20" w:rsidRPr="0068592A" w:rsidRDefault="00AA7F20" w:rsidP="00AA7F20">
            <w:pPr>
              <w:pStyle w:val="08-Tabelageral"/>
              <w:rPr>
                <w:rFonts w:cs="Arial"/>
                <w:b/>
                <w:szCs w:val="14"/>
              </w:rPr>
            </w:pPr>
            <w:r>
              <w:rPr>
                <w:rFonts w:cs="Arial"/>
                <w:b/>
                <w:szCs w:val="14"/>
              </w:rPr>
              <w:t>9,874</w:t>
            </w:r>
          </w:p>
        </w:tc>
        <w:tc>
          <w:tcPr>
            <w:tcW w:w="283" w:type="dxa"/>
            <w:tcBorders>
              <w:top w:val="nil"/>
              <w:bottom w:val="single" w:sz="2" w:space="0" w:color="1F4E79" w:themeColor="accent1" w:themeShade="80"/>
            </w:tcBorders>
            <w:shd w:val="clear" w:color="auto" w:fill="auto"/>
            <w:vAlign w:val="center"/>
          </w:tcPr>
          <w:p w14:paraId="1963F0E5" w14:textId="77777777" w:rsidR="00AA7F20" w:rsidRPr="0068592A" w:rsidRDefault="00AA7F20" w:rsidP="00AA7F20">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A1D3917" w14:textId="77777777" w:rsidR="00AA7F20" w:rsidRPr="0068592A" w:rsidRDefault="00AA7F20" w:rsidP="00AA7F20">
            <w:pPr>
              <w:pStyle w:val="08-Tabelageral"/>
              <w:rPr>
                <w:rFonts w:cs="Arial"/>
                <w:b/>
                <w:szCs w:val="14"/>
              </w:rPr>
            </w:pPr>
            <w:r>
              <w:rPr>
                <w:rFonts w:cs="Arial"/>
                <w:b/>
                <w:szCs w:val="14"/>
              </w:rPr>
              <w:t>229,932</w:t>
            </w:r>
          </w:p>
        </w:tc>
        <w:tc>
          <w:tcPr>
            <w:tcW w:w="1418" w:type="dxa"/>
            <w:tcBorders>
              <w:top w:val="nil"/>
              <w:bottom w:val="single" w:sz="2" w:space="0" w:color="1F4E79" w:themeColor="accent1" w:themeShade="80"/>
            </w:tcBorders>
            <w:shd w:val="clear" w:color="auto" w:fill="auto"/>
            <w:vAlign w:val="center"/>
          </w:tcPr>
          <w:p w14:paraId="3E23EE2A" w14:textId="77777777" w:rsidR="00AA7F20" w:rsidRPr="0068592A" w:rsidRDefault="00AA7F20" w:rsidP="00AA7F20">
            <w:pPr>
              <w:pStyle w:val="08-Tabelageral"/>
              <w:rPr>
                <w:rFonts w:cs="Arial"/>
                <w:b/>
                <w:szCs w:val="14"/>
              </w:rPr>
            </w:pPr>
            <w:r>
              <w:rPr>
                <w:rFonts w:cs="Arial"/>
                <w:b/>
                <w:szCs w:val="14"/>
              </w:rPr>
              <w:t>222,456</w:t>
            </w:r>
          </w:p>
        </w:tc>
      </w:tr>
    </w:tbl>
    <w:p w14:paraId="296C56E8" w14:textId="77777777" w:rsidR="00AA7F20" w:rsidRPr="000C2A9E" w:rsidRDefault="00AA7F20" w:rsidP="00AA7F20">
      <w:pPr>
        <w:pStyle w:val="07-Legenda"/>
        <w:numPr>
          <w:ilvl w:val="0"/>
          <w:numId w:val="10"/>
        </w:numPr>
        <w:ind w:left="284" w:hanging="284"/>
        <w:rPr>
          <w:szCs w:val="14"/>
          <w:lang w:val="en-US"/>
        </w:rPr>
      </w:pPr>
      <w:r w:rsidRPr="000C2A9E">
        <w:rPr>
          <w:szCs w:val="14"/>
          <w:lang w:val="en-US"/>
        </w:rPr>
        <w:t xml:space="preserve">It refers, mainly, to a lawsuit of a fiscal nature, with the purpose of annulling an administrative decision that did not ratify declarations of compensation of negative balances of IRPJ with several taxes of its own. The updated value of the referred judicial deposit is R$ </w:t>
      </w:r>
      <w:r>
        <w:rPr>
          <w:szCs w:val="14"/>
          <w:lang w:val="en-US"/>
        </w:rPr>
        <w:t>168,037</w:t>
      </w:r>
      <w:r w:rsidRPr="000C2A9E">
        <w:rPr>
          <w:szCs w:val="14"/>
          <w:lang w:val="en-US"/>
        </w:rPr>
        <w:t xml:space="preserve"> thousand (R$ 1</w:t>
      </w:r>
      <w:r>
        <w:rPr>
          <w:szCs w:val="14"/>
          <w:lang w:val="en-US"/>
        </w:rPr>
        <w:t>65,385</w:t>
      </w:r>
      <w:r w:rsidRPr="000C2A9E">
        <w:rPr>
          <w:szCs w:val="14"/>
          <w:lang w:val="en-US"/>
        </w:rPr>
        <w:t xml:space="preserve"> thousand on December 31, 202</w:t>
      </w:r>
      <w:r>
        <w:rPr>
          <w:szCs w:val="14"/>
          <w:lang w:val="en-US"/>
        </w:rPr>
        <w:t>2</w:t>
      </w:r>
      <w:r w:rsidRPr="000C2A9E">
        <w:rPr>
          <w:szCs w:val="14"/>
          <w:lang w:val="en-US"/>
        </w:rPr>
        <w:t>), being its update by the SELIC rate.</w:t>
      </w:r>
    </w:p>
    <w:bookmarkEnd w:id="52"/>
    <w:p w14:paraId="3C4EBE13" w14:textId="77777777" w:rsidR="00AA7F20" w:rsidRPr="000C2A9E" w:rsidRDefault="00AA7F20" w:rsidP="00AA7F20">
      <w:pPr>
        <w:pStyle w:val="07-Legenda"/>
        <w:numPr>
          <w:ilvl w:val="0"/>
          <w:numId w:val="10"/>
        </w:numPr>
        <w:ind w:left="284" w:hanging="284"/>
        <w:rPr>
          <w:szCs w:val="14"/>
          <w:lang w:val="en-US"/>
        </w:rPr>
      </w:pPr>
      <w:r w:rsidRPr="000C2A9E">
        <w:rPr>
          <w:szCs w:val="14"/>
          <w:lang w:val="en-US"/>
        </w:rPr>
        <w:t xml:space="preserve">Acquisition of computers and furniture in the amount of R$ </w:t>
      </w:r>
      <w:r>
        <w:rPr>
          <w:szCs w:val="14"/>
          <w:lang w:val="en-US"/>
        </w:rPr>
        <w:t>99</w:t>
      </w:r>
      <w:r w:rsidRPr="000C2A9E">
        <w:rPr>
          <w:szCs w:val="14"/>
          <w:lang w:val="en-US"/>
        </w:rPr>
        <w:t xml:space="preserve"> thousand (depreciation R$ </w:t>
      </w:r>
      <w:r>
        <w:rPr>
          <w:szCs w:val="14"/>
          <w:lang w:val="en-US"/>
        </w:rPr>
        <w:t>58</w:t>
      </w:r>
      <w:r w:rsidRPr="000C2A9E">
        <w:rPr>
          <w:szCs w:val="14"/>
          <w:lang w:val="en-US"/>
        </w:rPr>
        <w:t xml:space="preserve"> thousand) on </w:t>
      </w:r>
      <w:r>
        <w:rPr>
          <w:szCs w:val="14"/>
          <w:lang w:val="en-US"/>
        </w:rPr>
        <w:t>03.31.2023</w:t>
      </w:r>
      <w:r w:rsidRPr="000C2A9E">
        <w:rPr>
          <w:szCs w:val="14"/>
          <w:lang w:val="en-US"/>
        </w:rPr>
        <w:t>.</w:t>
      </w:r>
    </w:p>
    <w:p w14:paraId="33DEB6CB" w14:textId="77777777" w:rsidR="00AA7F20" w:rsidRPr="000C2A9E" w:rsidRDefault="00AA7F20">
      <w:pPr>
        <w:rPr>
          <w:rFonts w:cs="Arial"/>
          <w:b/>
          <w:color w:val="1F4E79" w:themeColor="accent1" w:themeShade="80"/>
          <w:szCs w:val="18"/>
          <w:lang w:val="en-US"/>
        </w:rPr>
      </w:pPr>
    </w:p>
    <w:p w14:paraId="1B9B4547" w14:textId="6747C663" w:rsidR="00AA7F20" w:rsidRPr="00A1371B" w:rsidRDefault="00AA7F20" w:rsidP="00A1371B">
      <w:pPr>
        <w:pStyle w:val="02-TtulodeNota"/>
        <w:rPr>
          <w:color w:val="1F4E79" w:themeColor="accent1" w:themeShade="80"/>
          <w:lang w:val="en-US"/>
        </w:rPr>
      </w:pPr>
      <w:bookmarkStart w:id="54" w:name="_Toc134823585"/>
      <w:r w:rsidRPr="00A1371B">
        <w:rPr>
          <w:color w:val="1F4E79" w:themeColor="accent1" w:themeShade="80"/>
          <w:lang w:val="en-US"/>
        </w:rPr>
        <w:t>21 – CORPORATE AND STATUTORY OBLIGATIONS</w:t>
      </w:r>
      <w:bookmarkEnd w:id="54"/>
    </w:p>
    <w:p w14:paraId="2EBD63D9" w14:textId="77777777" w:rsidR="00AA7F20" w:rsidRPr="00FE52CA" w:rsidRDefault="00AA7F20" w:rsidP="00AA7F20">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0"/>
        <w:tblW w:w="9639" w:type="dxa"/>
        <w:tblInd w:w="108"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AA7F20" w:rsidRPr="00334399" w14:paraId="6B1AFDDE" w14:textId="77777777" w:rsidTr="00AA7F20">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tcPr>
          <w:p w14:paraId="32AC585F" w14:textId="77777777" w:rsidR="00AA7F20" w:rsidRPr="00FE52CA" w:rsidRDefault="00AA7F20" w:rsidP="00AA7F20">
            <w:pPr>
              <w:keepNext/>
              <w:keepLines/>
              <w:spacing w:before="40" w:after="40"/>
              <w:jc w:val="center"/>
              <w:rPr>
                <w:rFonts w:cs="Arial"/>
                <w:b w:val="0"/>
                <w:bCs w:val="0"/>
                <w:spacing w:val="-2"/>
                <w:sz w:val="14"/>
                <w:szCs w:val="14"/>
                <w:lang w:val="en-US"/>
              </w:rPr>
            </w:pPr>
          </w:p>
        </w:tc>
        <w:tc>
          <w:tcPr>
            <w:tcW w:w="2848" w:type="dxa"/>
            <w:gridSpan w:val="2"/>
            <w:tcBorders>
              <w:bottom w:val="nil"/>
            </w:tcBorders>
            <w:shd w:val="clear" w:color="auto" w:fill="auto"/>
          </w:tcPr>
          <w:p w14:paraId="18C6F481" w14:textId="77777777" w:rsidR="00AA7F20" w:rsidRPr="00FE52CA" w:rsidRDefault="00AA7F20" w:rsidP="00AA7F2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val="en-US"/>
              </w:rPr>
            </w:pPr>
          </w:p>
        </w:tc>
        <w:tc>
          <w:tcPr>
            <w:tcW w:w="2823" w:type="dxa"/>
            <w:gridSpan w:val="2"/>
            <w:tcBorders>
              <w:bottom w:val="none" w:sz="0" w:space="0" w:color="auto"/>
            </w:tcBorders>
            <w:shd w:val="clear" w:color="auto" w:fill="auto"/>
          </w:tcPr>
          <w:p w14:paraId="239EB0FD" w14:textId="77777777" w:rsidR="00AA7F20" w:rsidRPr="00334399" w:rsidRDefault="00AA7F20" w:rsidP="00AA7F2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Pr>
                <w:rFonts w:cs="Arial"/>
                <w:spacing w:val="-2"/>
                <w:sz w:val="14"/>
                <w:szCs w:val="14"/>
              </w:rPr>
              <w:t>Parent</w:t>
            </w:r>
          </w:p>
        </w:tc>
        <w:tc>
          <w:tcPr>
            <w:tcW w:w="283" w:type="dxa"/>
            <w:tcBorders>
              <w:bottom w:val="none" w:sz="0" w:space="0" w:color="auto"/>
            </w:tcBorders>
            <w:shd w:val="clear" w:color="auto" w:fill="auto"/>
          </w:tcPr>
          <w:p w14:paraId="19F88F43" w14:textId="77777777" w:rsidR="00AA7F20" w:rsidRPr="00334399" w:rsidRDefault="00AA7F20" w:rsidP="00AA7F2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val="0"/>
                <w:spacing w:val="-2"/>
                <w:sz w:val="14"/>
                <w:szCs w:val="14"/>
              </w:rPr>
            </w:pPr>
          </w:p>
        </w:tc>
        <w:tc>
          <w:tcPr>
            <w:tcW w:w="2835" w:type="dxa"/>
            <w:gridSpan w:val="2"/>
            <w:tcBorders>
              <w:bottom w:val="none" w:sz="0" w:space="0" w:color="auto"/>
            </w:tcBorders>
            <w:shd w:val="clear" w:color="auto" w:fill="auto"/>
          </w:tcPr>
          <w:p w14:paraId="6F9CBD67" w14:textId="77777777" w:rsidR="00AA7F20" w:rsidRPr="00334399" w:rsidRDefault="00AA7F20" w:rsidP="00AA7F2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sidRPr="00334399">
              <w:rPr>
                <w:rFonts w:cs="Arial"/>
                <w:spacing w:val="-2"/>
                <w:sz w:val="14"/>
                <w:szCs w:val="14"/>
              </w:rPr>
              <w:t>Consolida</w:t>
            </w:r>
            <w:r>
              <w:rPr>
                <w:rFonts w:cs="Arial"/>
                <w:spacing w:val="-2"/>
                <w:sz w:val="14"/>
                <w:szCs w:val="14"/>
              </w:rPr>
              <w:t>ted</w:t>
            </w:r>
          </w:p>
        </w:tc>
      </w:tr>
      <w:tr w:rsidR="00AA7F20" w:rsidRPr="00334399" w14:paraId="0ECA0C99" w14:textId="77777777" w:rsidTr="00AA7F2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058A2BC2" w14:textId="77777777" w:rsidR="00AA7F20" w:rsidRPr="00334399" w:rsidRDefault="00AA7F20" w:rsidP="00AA7F20">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20BD5991" w14:textId="77777777" w:rsidR="00AA7F20" w:rsidRPr="00334399" w:rsidRDefault="00AA7F20" w:rsidP="00AA7F20">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1B21C9F9" w14:textId="77777777" w:rsidR="00AA7F20" w:rsidRPr="00334399" w:rsidRDefault="00AA7F20" w:rsidP="00AA7F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Mar 31, 2023</w:t>
            </w:r>
          </w:p>
        </w:tc>
        <w:tc>
          <w:tcPr>
            <w:tcW w:w="1412" w:type="dxa"/>
            <w:tcBorders>
              <w:bottom w:val="single" w:sz="2" w:space="0" w:color="1F4E79" w:themeColor="accent1" w:themeShade="80"/>
            </w:tcBorders>
            <w:shd w:val="clear" w:color="auto" w:fill="auto"/>
            <w:vAlign w:val="center"/>
          </w:tcPr>
          <w:p w14:paraId="7A4E1511" w14:textId="77777777" w:rsidR="00AA7F20" w:rsidRPr="00BF0F19" w:rsidRDefault="00AA7F20" w:rsidP="00AA7F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vertAlign w:val="superscript"/>
              </w:rPr>
            </w:pPr>
            <w:r>
              <w:rPr>
                <w:rFonts w:cs="Arial"/>
                <w:b/>
                <w:spacing w:val="-2"/>
                <w:sz w:val="14"/>
                <w:szCs w:val="14"/>
              </w:rPr>
              <w:t>Dec 31, 2022</w:t>
            </w:r>
          </w:p>
        </w:tc>
        <w:tc>
          <w:tcPr>
            <w:tcW w:w="283" w:type="dxa"/>
            <w:tcBorders>
              <w:bottom w:val="single" w:sz="2" w:space="0" w:color="1F4E79" w:themeColor="accent1" w:themeShade="80"/>
            </w:tcBorders>
            <w:shd w:val="clear" w:color="auto" w:fill="auto"/>
            <w:vAlign w:val="center"/>
          </w:tcPr>
          <w:p w14:paraId="208B358C" w14:textId="77777777" w:rsidR="00AA7F20" w:rsidRPr="00334399" w:rsidRDefault="00AA7F20" w:rsidP="00AA7F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179205D1" w14:textId="77777777" w:rsidR="00AA7F20" w:rsidRPr="00334399" w:rsidRDefault="00AA7F20" w:rsidP="00AA7F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Mar 31, 2023</w:t>
            </w:r>
          </w:p>
        </w:tc>
        <w:tc>
          <w:tcPr>
            <w:tcW w:w="1418" w:type="dxa"/>
            <w:tcBorders>
              <w:bottom w:val="single" w:sz="2" w:space="0" w:color="1F4E79" w:themeColor="accent1" w:themeShade="80"/>
            </w:tcBorders>
            <w:shd w:val="clear" w:color="auto" w:fill="auto"/>
            <w:vAlign w:val="center"/>
          </w:tcPr>
          <w:p w14:paraId="57F5E11D" w14:textId="77777777" w:rsidR="00AA7F20" w:rsidRPr="00334399" w:rsidRDefault="00AA7F20" w:rsidP="00AA7F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2022</w:t>
            </w:r>
          </w:p>
        </w:tc>
      </w:tr>
      <w:tr w:rsidR="00AA7F20" w:rsidRPr="00334399" w14:paraId="3A294D2B" w14:textId="77777777" w:rsidTr="00AA7F2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tcPr>
          <w:p w14:paraId="7852151B" w14:textId="77777777" w:rsidR="00AA7F20" w:rsidRPr="00DA6411" w:rsidRDefault="00AA7F20" w:rsidP="00AA7F20">
            <w:pPr>
              <w:pStyle w:val="08-Tabelageral"/>
              <w:jc w:val="left"/>
              <w:rPr>
                <w:rFonts w:cs="Arial"/>
                <w:b w:val="0"/>
                <w:szCs w:val="14"/>
                <w:vertAlign w:val="superscript"/>
              </w:rPr>
            </w:pPr>
            <w:r w:rsidRPr="00334399">
              <w:rPr>
                <w:rFonts w:cs="Arial"/>
                <w:b w:val="0"/>
                <w:szCs w:val="14"/>
              </w:rPr>
              <w:t>Dividend</w:t>
            </w:r>
            <w:r>
              <w:rPr>
                <w:rFonts w:cs="Arial"/>
                <w:b w:val="0"/>
                <w:szCs w:val="14"/>
              </w:rPr>
              <w:t>s</w:t>
            </w:r>
            <w:r w:rsidRPr="00334399">
              <w:rPr>
                <w:rFonts w:cs="Arial"/>
                <w:b w:val="0"/>
                <w:szCs w:val="14"/>
              </w:rPr>
              <w:t xml:space="preserve"> p</w:t>
            </w:r>
            <w:r>
              <w:rPr>
                <w:rFonts w:cs="Arial"/>
                <w:b w:val="0"/>
                <w:szCs w:val="14"/>
              </w:rPr>
              <w:t xml:space="preserve">ayable </w:t>
            </w:r>
            <w:r>
              <w:rPr>
                <w:rFonts w:cs="Arial"/>
                <w:b w:val="0"/>
                <w:szCs w:val="14"/>
                <w:vertAlign w:val="superscript"/>
              </w:rPr>
              <w:t>(1)</w:t>
            </w:r>
          </w:p>
        </w:tc>
        <w:tc>
          <w:tcPr>
            <w:tcW w:w="604" w:type="dxa"/>
            <w:tcBorders>
              <w:bottom w:val="nil"/>
            </w:tcBorders>
            <w:shd w:val="clear" w:color="auto" w:fill="auto"/>
            <w:vAlign w:val="center"/>
          </w:tcPr>
          <w:p w14:paraId="0000B09D" w14:textId="77777777" w:rsidR="00AA7F20" w:rsidRPr="00334399"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358417A1" w14:textId="77777777" w:rsidR="00AA7F20" w:rsidRPr="00334399"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224</w:t>
            </w:r>
          </w:p>
        </w:tc>
        <w:tc>
          <w:tcPr>
            <w:tcW w:w="1412" w:type="dxa"/>
            <w:tcBorders>
              <w:bottom w:val="nil"/>
            </w:tcBorders>
            <w:shd w:val="clear" w:color="auto" w:fill="auto"/>
          </w:tcPr>
          <w:p w14:paraId="278B55DB" w14:textId="77777777" w:rsidR="00AA7F20" w:rsidRPr="00334399"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3,673,952</w:t>
            </w:r>
          </w:p>
        </w:tc>
        <w:tc>
          <w:tcPr>
            <w:tcW w:w="283" w:type="dxa"/>
            <w:tcBorders>
              <w:bottom w:val="nil"/>
            </w:tcBorders>
            <w:shd w:val="clear" w:color="auto" w:fill="auto"/>
          </w:tcPr>
          <w:p w14:paraId="27697612" w14:textId="77777777" w:rsidR="00AA7F20" w:rsidRPr="00334399"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13E35D45" w14:textId="77777777" w:rsidR="00AA7F20" w:rsidRPr="00334399"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224</w:t>
            </w:r>
          </w:p>
        </w:tc>
        <w:tc>
          <w:tcPr>
            <w:tcW w:w="1418" w:type="dxa"/>
            <w:tcBorders>
              <w:bottom w:val="nil"/>
            </w:tcBorders>
            <w:shd w:val="clear" w:color="auto" w:fill="auto"/>
          </w:tcPr>
          <w:p w14:paraId="147DD38C" w14:textId="77777777" w:rsidR="00AA7F20" w:rsidRPr="00334399"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9B7FDD">
              <w:rPr>
                <w:rFonts w:cs="Arial"/>
                <w:szCs w:val="14"/>
              </w:rPr>
              <w:t>3</w:t>
            </w:r>
            <w:r>
              <w:rPr>
                <w:rFonts w:cs="Arial"/>
                <w:szCs w:val="14"/>
              </w:rPr>
              <w:t>,</w:t>
            </w:r>
            <w:r w:rsidRPr="009B7FDD">
              <w:rPr>
                <w:rFonts w:cs="Arial"/>
                <w:szCs w:val="14"/>
              </w:rPr>
              <w:t>673</w:t>
            </w:r>
            <w:r>
              <w:rPr>
                <w:rFonts w:cs="Arial"/>
                <w:szCs w:val="14"/>
              </w:rPr>
              <w:t>,</w:t>
            </w:r>
            <w:r w:rsidRPr="009B7FDD">
              <w:rPr>
                <w:rFonts w:cs="Arial"/>
                <w:szCs w:val="14"/>
              </w:rPr>
              <w:t>952</w:t>
            </w:r>
          </w:p>
        </w:tc>
      </w:tr>
      <w:tr w:rsidR="00AA7F20" w:rsidRPr="00DA6411" w14:paraId="1762278D" w14:textId="77777777" w:rsidTr="00AA7F2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tcPr>
          <w:p w14:paraId="5D824402" w14:textId="77777777" w:rsidR="00AA7F20" w:rsidRPr="00DA6411" w:rsidRDefault="00AA7F20" w:rsidP="00AA7F20">
            <w:pPr>
              <w:pStyle w:val="08-Tabelageral"/>
              <w:jc w:val="left"/>
              <w:rPr>
                <w:rFonts w:cs="Arial"/>
                <w:b w:val="0"/>
                <w:szCs w:val="14"/>
                <w:vertAlign w:val="superscript"/>
              </w:rPr>
            </w:pPr>
            <w:r>
              <w:rPr>
                <w:rFonts w:cs="Arial"/>
                <w:b w:val="0"/>
                <w:szCs w:val="14"/>
              </w:rPr>
              <w:t xml:space="preserve">Capital reduction payable </w:t>
            </w:r>
          </w:p>
        </w:tc>
        <w:tc>
          <w:tcPr>
            <w:tcW w:w="604" w:type="dxa"/>
            <w:tcBorders>
              <w:top w:val="nil"/>
              <w:bottom w:val="nil"/>
            </w:tcBorders>
            <w:shd w:val="clear" w:color="auto" w:fill="auto"/>
            <w:vAlign w:val="center"/>
          </w:tcPr>
          <w:p w14:paraId="6977F550" w14:textId="77777777" w:rsidR="00AA7F20" w:rsidRPr="00DA6411"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bottom w:val="nil"/>
            </w:tcBorders>
            <w:shd w:val="clear" w:color="auto" w:fill="auto"/>
          </w:tcPr>
          <w:p w14:paraId="3A0AF02E" w14:textId="77777777" w:rsidR="00AA7F20" w:rsidRPr="00DA6411"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c>
          <w:tcPr>
            <w:tcW w:w="1412" w:type="dxa"/>
            <w:tcBorders>
              <w:top w:val="nil"/>
              <w:bottom w:val="nil"/>
            </w:tcBorders>
            <w:shd w:val="clear" w:color="auto" w:fill="auto"/>
          </w:tcPr>
          <w:p w14:paraId="50ACE0B0" w14:textId="77777777" w:rsidR="00AA7F20" w:rsidRPr="00DA6411"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c>
          <w:tcPr>
            <w:tcW w:w="283" w:type="dxa"/>
            <w:tcBorders>
              <w:top w:val="nil"/>
              <w:bottom w:val="nil"/>
            </w:tcBorders>
            <w:shd w:val="clear" w:color="auto" w:fill="auto"/>
          </w:tcPr>
          <w:p w14:paraId="1334A0D3" w14:textId="77777777" w:rsidR="00AA7F20" w:rsidRPr="00DA6411"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tcPr>
          <w:p w14:paraId="650A6CCE" w14:textId="77777777" w:rsidR="00AA7F20" w:rsidRPr="00DA6411"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c>
          <w:tcPr>
            <w:tcW w:w="1418" w:type="dxa"/>
            <w:tcBorders>
              <w:top w:val="nil"/>
              <w:bottom w:val="nil"/>
            </w:tcBorders>
            <w:shd w:val="clear" w:color="auto" w:fill="auto"/>
          </w:tcPr>
          <w:p w14:paraId="5BFD16D7" w14:textId="77777777" w:rsidR="00AA7F20" w:rsidRPr="00DA6411"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75</w:t>
            </w:r>
          </w:p>
        </w:tc>
      </w:tr>
      <w:tr w:rsidR="00AA7F20" w:rsidRPr="00DA6411" w14:paraId="287AC83C" w14:textId="77777777" w:rsidTr="00AA7F20">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tcPr>
          <w:p w14:paraId="2B93FFDA" w14:textId="77777777" w:rsidR="00AA7F20" w:rsidRPr="00DA6411" w:rsidRDefault="00AA7F20" w:rsidP="00AA7F20">
            <w:pPr>
              <w:pStyle w:val="08-Tabelageral"/>
              <w:jc w:val="left"/>
              <w:rPr>
                <w:rFonts w:cs="Arial"/>
                <w:szCs w:val="14"/>
              </w:rPr>
            </w:pPr>
            <w:r w:rsidRPr="00DA6411">
              <w:rPr>
                <w:rFonts w:cs="Arial"/>
                <w:szCs w:val="14"/>
              </w:rPr>
              <w:t>Total</w:t>
            </w:r>
          </w:p>
        </w:tc>
        <w:tc>
          <w:tcPr>
            <w:tcW w:w="604" w:type="dxa"/>
            <w:tcBorders>
              <w:top w:val="nil"/>
            </w:tcBorders>
            <w:shd w:val="clear" w:color="auto" w:fill="auto"/>
            <w:vAlign w:val="center"/>
          </w:tcPr>
          <w:p w14:paraId="67CB0770" w14:textId="77777777" w:rsidR="00AA7F20" w:rsidRPr="00DA6411"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72E94B32" w14:textId="77777777" w:rsidR="00AA7F20" w:rsidRPr="00DA6411"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299</w:t>
            </w:r>
          </w:p>
        </w:tc>
        <w:tc>
          <w:tcPr>
            <w:tcW w:w="1412" w:type="dxa"/>
            <w:tcBorders>
              <w:top w:val="nil"/>
            </w:tcBorders>
            <w:shd w:val="clear" w:color="auto" w:fill="auto"/>
          </w:tcPr>
          <w:p w14:paraId="7AF6B280" w14:textId="77777777" w:rsidR="00AA7F20" w:rsidRPr="00DA6411"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c>
          <w:tcPr>
            <w:tcW w:w="283" w:type="dxa"/>
            <w:tcBorders>
              <w:top w:val="nil"/>
            </w:tcBorders>
            <w:shd w:val="clear" w:color="auto" w:fill="auto"/>
          </w:tcPr>
          <w:p w14:paraId="652AC3B8" w14:textId="77777777" w:rsidR="00AA7F20" w:rsidRPr="00DA6411"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34A3675A" w14:textId="77777777" w:rsidR="00AA7F20" w:rsidRPr="00DA6411"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299</w:t>
            </w:r>
          </w:p>
        </w:tc>
        <w:tc>
          <w:tcPr>
            <w:tcW w:w="1418" w:type="dxa"/>
            <w:tcBorders>
              <w:top w:val="nil"/>
            </w:tcBorders>
            <w:shd w:val="clear" w:color="auto" w:fill="auto"/>
          </w:tcPr>
          <w:p w14:paraId="7BC0A4AF" w14:textId="77777777" w:rsidR="00AA7F20" w:rsidRPr="00DA6411" w:rsidRDefault="00AA7F20" w:rsidP="00AA7F2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9B7FDD">
              <w:rPr>
                <w:rFonts w:cs="Arial"/>
                <w:b/>
                <w:szCs w:val="14"/>
              </w:rPr>
              <w:t>3</w:t>
            </w:r>
            <w:r>
              <w:rPr>
                <w:rFonts w:cs="Arial"/>
                <w:b/>
                <w:szCs w:val="14"/>
              </w:rPr>
              <w:t>,</w:t>
            </w:r>
            <w:r w:rsidRPr="009B7FDD">
              <w:rPr>
                <w:rFonts w:cs="Arial"/>
                <w:b/>
                <w:szCs w:val="14"/>
              </w:rPr>
              <w:t>674</w:t>
            </w:r>
            <w:r>
              <w:rPr>
                <w:rFonts w:cs="Arial"/>
                <w:b/>
                <w:szCs w:val="14"/>
              </w:rPr>
              <w:t>,</w:t>
            </w:r>
            <w:r w:rsidRPr="009B7FDD">
              <w:rPr>
                <w:rFonts w:cs="Arial"/>
                <w:b/>
                <w:szCs w:val="14"/>
              </w:rPr>
              <w:t>027</w:t>
            </w:r>
          </w:p>
        </w:tc>
      </w:tr>
    </w:tbl>
    <w:p w14:paraId="0960669D" w14:textId="77777777" w:rsidR="00AA7F20" w:rsidRPr="0091141A" w:rsidRDefault="00AA7F20" w:rsidP="00AA7F20">
      <w:pPr>
        <w:pStyle w:val="07-Legenda"/>
        <w:keepNext/>
        <w:numPr>
          <w:ilvl w:val="0"/>
          <w:numId w:val="2"/>
        </w:numPr>
        <w:rPr>
          <w:lang w:val="en-US"/>
        </w:rPr>
      </w:pPr>
      <w:r w:rsidRPr="00F445CE">
        <w:rPr>
          <w:lang w:val="en-US"/>
        </w:rPr>
        <w:t xml:space="preserve">The dividends distributed on </w:t>
      </w:r>
      <w:r>
        <w:rPr>
          <w:lang w:val="en-US"/>
        </w:rPr>
        <w:t xml:space="preserve">Dec </w:t>
      </w:r>
      <w:r w:rsidRPr="00F445CE">
        <w:rPr>
          <w:lang w:val="en-US"/>
        </w:rPr>
        <w:t>31.202</w:t>
      </w:r>
      <w:r>
        <w:rPr>
          <w:lang w:val="en-US"/>
        </w:rPr>
        <w:t>2</w:t>
      </w:r>
      <w:r w:rsidRPr="00F445CE">
        <w:rPr>
          <w:lang w:val="en-US"/>
        </w:rPr>
        <w:t xml:space="preserve"> were paid to the shareholders on </w:t>
      </w:r>
      <w:r>
        <w:rPr>
          <w:lang w:val="en-US"/>
        </w:rPr>
        <w:t>Mar 01</w:t>
      </w:r>
      <w:r w:rsidRPr="00F445CE">
        <w:rPr>
          <w:lang w:val="en-US"/>
        </w:rPr>
        <w:t>.202</w:t>
      </w:r>
      <w:r>
        <w:rPr>
          <w:lang w:val="en-US"/>
        </w:rPr>
        <w:t>3</w:t>
      </w:r>
      <w:r w:rsidRPr="00F445CE">
        <w:rPr>
          <w:lang w:val="en-US"/>
        </w:rPr>
        <w:t>.</w:t>
      </w:r>
    </w:p>
    <w:p w14:paraId="524D4D15" w14:textId="77777777" w:rsidR="00AA7F20" w:rsidRDefault="00AA7F20" w:rsidP="00AA7F20">
      <w:pPr>
        <w:pStyle w:val="07-Legenda"/>
        <w:keepNext/>
        <w:rPr>
          <w:lang w:val="en-US"/>
        </w:rPr>
      </w:pPr>
    </w:p>
    <w:p w14:paraId="7A92F35F" w14:textId="77777777" w:rsidR="00AA7F20" w:rsidRDefault="00AA7F20" w:rsidP="00AA7F20">
      <w:pPr>
        <w:pStyle w:val="07-Legenda"/>
        <w:keepNext/>
        <w:rPr>
          <w:lang w:val="en-US"/>
        </w:rPr>
      </w:pPr>
    </w:p>
    <w:p w14:paraId="217232DB" w14:textId="009E217A" w:rsidR="00AA7F20" w:rsidRPr="00220991" w:rsidRDefault="00AA7F20" w:rsidP="002A1B52">
      <w:pPr>
        <w:pStyle w:val="Ttulo1"/>
        <w:rPr>
          <w:b w:val="0"/>
        </w:rPr>
      </w:pPr>
      <w:bookmarkStart w:id="55" w:name="OLE_LINK17"/>
      <w:bookmarkStart w:id="56" w:name="_Toc134823586"/>
      <w:r w:rsidRPr="00220991">
        <w:t>22 – PROVISIONS AND CONTINGENT LIABILITIES</w:t>
      </w:r>
      <w:bookmarkEnd w:id="56"/>
      <w:r w:rsidRPr="00220991">
        <w:t xml:space="preserve"> </w:t>
      </w:r>
    </w:p>
    <w:p w14:paraId="3515B973"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a) Contingent Assets</w:t>
      </w:r>
    </w:p>
    <w:p w14:paraId="1D784BF8" w14:textId="77777777" w:rsidR="00AA7F20" w:rsidRPr="00134726" w:rsidRDefault="00AA7F20" w:rsidP="00AA7F20">
      <w:pPr>
        <w:pStyle w:val="05-Textonormal"/>
        <w:rPr>
          <w:b/>
          <w:lang w:val="en-US"/>
        </w:rPr>
      </w:pPr>
      <w:r w:rsidRPr="00134726">
        <w:rPr>
          <w:lang w:val="en-US"/>
        </w:rPr>
        <w:t xml:space="preserve">In accordance with CPC 25 </w:t>
      </w:r>
      <w:r>
        <w:t xml:space="preserve">[IAS 37] </w:t>
      </w:r>
      <w:r w:rsidRPr="00134726">
        <w:rPr>
          <w:lang w:val="en-US"/>
        </w:rPr>
        <w:t>- Provisions, Contingent Liabilities and Contingent Assets, no contingent assets were recognized in the individual and consolidated financial statements.</w:t>
      </w:r>
    </w:p>
    <w:p w14:paraId="2B071EBE"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b) Contingent Liabilities - Probable</w:t>
      </w:r>
    </w:p>
    <w:p w14:paraId="4B333AF6"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b.1) Tax Lawsuits</w:t>
      </w:r>
    </w:p>
    <w:p w14:paraId="0769C457" w14:textId="77777777" w:rsidR="00AA7F20" w:rsidRPr="00134726" w:rsidRDefault="00AA7F20" w:rsidP="00AA7F20">
      <w:pPr>
        <w:pStyle w:val="05-Textonormal"/>
        <w:rPr>
          <w:b/>
          <w:lang w:val="en-US"/>
        </w:rPr>
      </w:pPr>
      <w:r w:rsidRPr="00134726">
        <w:rPr>
          <w:lang w:val="en-US"/>
        </w:rPr>
        <w:t xml:space="preserve">Tax lawsuits related to BB Corretora,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7F9DF054" w14:textId="77777777" w:rsidR="00AA7F20" w:rsidRPr="00134726" w:rsidRDefault="00AA7F20" w:rsidP="00AA7F20">
      <w:pPr>
        <w:pStyle w:val="05-Textonormal"/>
        <w:rPr>
          <w:b/>
          <w:lang w:val="en-US"/>
        </w:rPr>
      </w:pPr>
      <w:r w:rsidRPr="00134726">
        <w:rPr>
          <w:lang w:val="en-US"/>
        </w:rPr>
        <w:t xml:space="preserve">On </w:t>
      </w:r>
      <w:r>
        <w:rPr>
          <w:lang w:val="en-US"/>
        </w:rPr>
        <w:t>March</w:t>
      </w:r>
      <w:r w:rsidRPr="00134726">
        <w:rPr>
          <w:lang w:val="en-US"/>
        </w:rPr>
        <w:t xml:space="preserve"> 31, 202</w:t>
      </w:r>
      <w:r>
        <w:rPr>
          <w:lang w:val="en-US"/>
        </w:rPr>
        <w:t>3</w:t>
      </w:r>
      <w:r w:rsidRPr="00134726">
        <w:rPr>
          <w:lang w:val="en-US"/>
        </w:rPr>
        <w:t>, BB Corretora had a total of 37 (thirty seven) active tax lawsuits discussing tax matters, classified as remote, possible or probable, depending on the phase of the lawsuit and specific situation related to each case. These lawsuits are distributed as follows: (i) 25 (twenty five) of them in the administrative sphere, exclusively, with the Federal Revenue of Brazil (RFB); and (ii) 12 (twelve) of them filed in the Brazilian courts, 8 (eight) of them in the State courts and 04 (four) in the Federal courts.</w:t>
      </w:r>
    </w:p>
    <w:p w14:paraId="6919C598" w14:textId="77777777" w:rsidR="00AA7F20" w:rsidRPr="00134726" w:rsidRDefault="00AA7F20" w:rsidP="00AA7F20">
      <w:pPr>
        <w:pStyle w:val="05-Textonormal"/>
        <w:rPr>
          <w:b/>
          <w:lang w:val="en-US"/>
        </w:rPr>
      </w:pPr>
      <w:r w:rsidRPr="00134726">
        <w:rPr>
          <w:lang w:val="en-US"/>
        </w:rPr>
        <w:t>Below is a brief summary of the main lawsuit classified as probable:</w:t>
      </w:r>
    </w:p>
    <w:p w14:paraId="1CBE3475" w14:textId="77777777" w:rsidR="00AA7F20" w:rsidRPr="00134726" w:rsidRDefault="00AA7F20" w:rsidP="006A362F">
      <w:pPr>
        <w:pStyle w:val="01-Textonormal"/>
        <w:numPr>
          <w:ilvl w:val="0"/>
          <w:numId w:val="30"/>
        </w:numPr>
        <w:rPr>
          <w:lang w:val="en-US"/>
        </w:rPr>
      </w:pPr>
      <w:r w:rsidRPr="00134726">
        <w:rPr>
          <w:lang w:val="en-US"/>
        </w:rPr>
        <w:t xml:space="preserve">BB Corretora is a party in a lawsuit whose cause of action is related to the collection of ISSQN, in progress with the TJ/MG, to which the initial cause value of R$ 8.3 million was attributed and, filed on 06/29/1998. This action was judged by the competent court, which recognized the right of the Municipality to receive the ISSQN required. During the course of the lawsuit, in the context of discussion of stays of execution, a judicial deposit was made to guarantee the court with Banco do Brasil, whose residual value restated on </w:t>
      </w:r>
      <w:r>
        <w:rPr>
          <w:lang w:val="en-US"/>
        </w:rPr>
        <w:t>03</w:t>
      </w:r>
      <w:r w:rsidRPr="00134726">
        <w:rPr>
          <w:lang w:val="en-US"/>
        </w:rPr>
        <w:t>/31/202</w:t>
      </w:r>
      <w:r>
        <w:rPr>
          <w:lang w:val="en-US"/>
        </w:rPr>
        <w:t>3</w:t>
      </w:r>
      <w:r w:rsidRPr="00134726">
        <w:rPr>
          <w:lang w:val="en-US"/>
        </w:rPr>
        <w:t xml:space="preserve"> is approximately R$ 8</w:t>
      </w:r>
      <w:r>
        <w:rPr>
          <w:lang w:val="en-US"/>
        </w:rPr>
        <w:t>4</w:t>
      </w:r>
      <w:r w:rsidRPr="00134726">
        <w:rPr>
          <w:lang w:val="en-US"/>
        </w:rPr>
        <w:t>.</w:t>
      </w:r>
      <w:r>
        <w:rPr>
          <w:lang w:val="en-US"/>
        </w:rPr>
        <w:t>9</w:t>
      </w:r>
      <w:r w:rsidRPr="00134726">
        <w:rPr>
          <w:lang w:val="en-US"/>
        </w:rPr>
        <w:t xml:space="preserve"> thousand (one since there was a decision favorable to the plaintiff in settlement of the sentence, in which the court determined the withdrawal of R$ 527,842.98, on 08/16/2021 - related to the undisputed case). Furthermore, in said decision, the court determined that after the procedural reorganization measures; a permit is issued in favor of BB Corretora to raise any residual balance available to the court, which on </w:t>
      </w:r>
      <w:r>
        <w:rPr>
          <w:lang w:val="en-US"/>
        </w:rPr>
        <w:t>03</w:t>
      </w:r>
      <w:r w:rsidRPr="00134726">
        <w:rPr>
          <w:lang w:val="en-US"/>
        </w:rPr>
        <w:t>/31/202</w:t>
      </w:r>
      <w:r>
        <w:rPr>
          <w:lang w:val="en-US"/>
        </w:rPr>
        <w:t>3</w:t>
      </w:r>
      <w:r w:rsidRPr="00134726">
        <w:rPr>
          <w:lang w:val="en-US"/>
        </w:rPr>
        <w:t xml:space="preserve"> is still pending analysis and measures by the court.</w:t>
      </w:r>
    </w:p>
    <w:p w14:paraId="47EF36FC" w14:textId="77777777" w:rsidR="00AA7F20" w:rsidRPr="00134726" w:rsidRDefault="00AA7F20" w:rsidP="00AA7F20">
      <w:pPr>
        <w:pStyle w:val="05-Textonormal"/>
        <w:rPr>
          <w:b/>
          <w:lang w:val="en-US"/>
        </w:rPr>
      </w:pPr>
      <w:r w:rsidRPr="00134726">
        <w:rPr>
          <w:lang w:val="en-US"/>
        </w:rPr>
        <w:t>As for BB Seguridade and BB Seguros, they do not have tax lawsuits with significant amounts.</w:t>
      </w:r>
    </w:p>
    <w:p w14:paraId="6291F729" w14:textId="77777777" w:rsidR="00CC37BC" w:rsidRDefault="00CC37BC">
      <w:pPr>
        <w:rPr>
          <w:rFonts w:eastAsia="Times New Roman" w:cs="Times New Roman"/>
          <w:b/>
          <w:color w:val="1F4E79" w:themeColor="accent1" w:themeShade="80"/>
          <w:spacing w:val="-2"/>
          <w:szCs w:val="18"/>
          <w:lang w:val="en-US" w:eastAsia="pt-BR"/>
        </w:rPr>
      </w:pPr>
      <w:r>
        <w:rPr>
          <w:b/>
          <w:color w:val="1F4E79" w:themeColor="accent1" w:themeShade="80"/>
          <w:lang w:val="en-US"/>
        </w:rPr>
        <w:br w:type="page"/>
      </w:r>
    </w:p>
    <w:p w14:paraId="3F1D2A27" w14:textId="3E47C65F"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lastRenderedPageBreak/>
        <w:t>b.2) Civil Lawsuits</w:t>
      </w:r>
    </w:p>
    <w:p w14:paraId="5CE6F461" w14:textId="77777777" w:rsidR="00AA7F20" w:rsidRPr="00134726" w:rsidRDefault="00AA7F20" w:rsidP="00AA7F20">
      <w:pPr>
        <w:pStyle w:val="05-Textonormal"/>
        <w:rPr>
          <w:b/>
          <w:lang w:val="en-US"/>
        </w:rPr>
      </w:pPr>
      <w:r w:rsidRPr="00134726">
        <w:rPr>
          <w:lang w:val="en-US"/>
        </w:rPr>
        <w:t>In civil lawsuits involving BB Seguridade, BB Seguros and BB Corretora, we highlignt the claims for various indemnities (material damages, moral damages, etc., for example), notably resulting from consumer relations involving security products and the like (personal insurance and equity, open private pension, capitalization and dental plans).</w:t>
      </w:r>
    </w:p>
    <w:p w14:paraId="233A21C1"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b.3) Labor Lawsuits</w:t>
      </w:r>
    </w:p>
    <w:p w14:paraId="082DADE7" w14:textId="77777777" w:rsidR="00AA7F20" w:rsidRPr="00134726" w:rsidRDefault="00AA7F20" w:rsidP="00AA7F20">
      <w:pPr>
        <w:pStyle w:val="05-Textonormal"/>
        <w:rPr>
          <w:lang w:val="en-US"/>
        </w:rPr>
        <w:sectPr w:rsidR="00AA7F20" w:rsidRPr="00134726" w:rsidSect="00AA7F20">
          <w:headerReference w:type="even" r:id="rId36"/>
          <w:footerReference w:type="even" r:id="rId37"/>
          <w:footerReference w:type="default" r:id="rId38"/>
          <w:headerReference w:type="first" r:id="rId39"/>
          <w:footerReference w:type="first" r:id="rId40"/>
          <w:pgSz w:w="11906" w:h="16838" w:code="9"/>
          <w:pgMar w:top="1134" w:right="1134" w:bottom="851" w:left="1134" w:header="851" w:footer="284" w:gutter="0"/>
          <w:cols w:space="708"/>
          <w:docGrid w:linePitch="360"/>
        </w:sectPr>
      </w:pPr>
      <w:r w:rsidRPr="00134726">
        <w:rPr>
          <w:rStyle w:val="tlid-translation"/>
          <w:lang w:val="en-US"/>
        </w:rPr>
        <w:t>The labor claims involving BB Seguros and BB Corretora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Seguros and its investees and BB Corretora, as a member of the BB Seguridade Group, especially, requiring any subordinate of the Companies. On the other hand, labor lawsuits involving BB Seguridade are filed by former employees (assigned by Banco do Brasil), discussing rights arising from the 7th and 8th bank overtime and the respective effects on other salary amounts.</w:t>
      </w:r>
    </w:p>
    <w:p w14:paraId="5B7520A7"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b.4) Provisions for civil, tax and labor lawsuits classified as probable</w:t>
      </w:r>
    </w:p>
    <w:p w14:paraId="3772872D" w14:textId="77777777" w:rsidR="00AA7F20" w:rsidRPr="00134726" w:rsidRDefault="00AA7F20" w:rsidP="00AA7F20">
      <w:pPr>
        <w:pStyle w:val="05-Textonormal"/>
        <w:rPr>
          <w:rFonts w:cs="Arial"/>
          <w:lang w:val="en-US"/>
        </w:rPr>
      </w:pPr>
      <w:bookmarkStart w:id="57" w:name="_Hlk54605124"/>
      <w:r>
        <w:rPr>
          <w:rStyle w:val="tlid-translation"/>
          <w:lang w:val="en"/>
        </w:rPr>
        <w:t xml:space="preserve">In accordance with CPC 25 </w:t>
      </w:r>
      <w:r>
        <w:t>[IAS 37]</w:t>
      </w:r>
      <w:r>
        <w:rPr>
          <w:rStyle w:val="tlid-translation"/>
          <w:lang w:val="en"/>
        </w:rPr>
        <w:t>, BB Seguridade constitutes a provision for tax, civil and labor claims with a probable risk of loss</w:t>
      </w:r>
      <w:bookmarkEnd w:id="57"/>
      <w:r w:rsidRPr="00134726">
        <w:rPr>
          <w:rFonts w:cs="Arial"/>
          <w:lang w:val="en-US"/>
        </w:rPr>
        <w:t>.</w:t>
      </w:r>
    </w:p>
    <w:p w14:paraId="3FB8A164" w14:textId="77777777" w:rsidR="00AA7F20" w:rsidRPr="00134726" w:rsidRDefault="00AA7F20" w:rsidP="00AA7F20">
      <w:pPr>
        <w:pStyle w:val="05-Textonormal"/>
        <w:rPr>
          <w:rFonts w:cs="Arial"/>
          <w:lang w:val="en-US"/>
        </w:rPr>
      </w:pPr>
      <w:r w:rsidRPr="00134726">
        <w:rPr>
          <w:rFonts w:cs="Arial"/>
          <w:lang w:val="en-US"/>
        </w:rPr>
        <w:t>These provisions refer, mainly, to the contingencies recorded in BB Corretora.</w:t>
      </w:r>
    </w:p>
    <w:p w14:paraId="29143D37" w14:textId="77777777" w:rsidR="00AA7F20" w:rsidRPr="004C6ED9" w:rsidRDefault="00AA7F20" w:rsidP="00AA7F20">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892"/>
        <w:gridCol w:w="616"/>
        <w:gridCol w:w="1723"/>
        <w:gridCol w:w="1304"/>
        <w:gridCol w:w="289"/>
        <w:gridCol w:w="1398"/>
        <w:gridCol w:w="1417"/>
      </w:tblGrid>
      <w:tr w:rsidR="00AA7F20" w14:paraId="442C02B0" w14:textId="77777777" w:rsidTr="00AA7F20">
        <w:trPr>
          <w:trHeight w:val="238"/>
          <w:jc w:val="center"/>
        </w:trPr>
        <w:tc>
          <w:tcPr>
            <w:tcW w:w="2892" w:type="dxa"/>
            <w:tcBorders>
              <w:top w:val="single" w:sz="2" w:space="0" w:color="1F4E79" w:themeColor="accent1" w:themeShade="80"/>
              <w:left w:val="nil"/>
              <w:bottom w:val="nil"/>
              <w:right w:val="nil"/>
            </w:tcBorders>
            <w:vAlign w:val="center"/>
          </w:tcPr>
          <w:p w14:paraId="087D3030" w14:textId="77777777" w:rsidR="00AA7F20" w:rsidRDefault="00AA7F20" w:rsidP="00AA7F20">
            <w:pPr>
              <w:spacing w:after="0"/>
              <w:rPr>
                <w:rFonts w:cs="Arial"/>
                <w:b/>
                <w:sz w:val="14"/>
                <w:szCs w:val="14"/>
              </w:rPr>
            </w:pPr>
          </w:p>
        </w:tc>
        <w:tc>
          <w:tcPr>
            <w:tcW w:w="616" w:type="dxa"/>
            <w:tcBorders>
              <w:top w:val="single" w:sz="2" w:space="0" w:color="1F4E79" w:themeColor="accent1" w:themeShade="80"/>
              <w:left w:val="nil"/>
              <w:bottom w:val="nil"/>
              <w:right w:val="nil"/>
            </w:tcBorders>
            <w:vAlign w:val="center"/>
          </w:tcPr>
          <w:p w14:paraId="45AE66AC" w14:textId="77777777" w:rsidR="00AA7F20" w:rsidRDefault="00AA7F20" w:rsidP="00AA7F20">
            <w:pPr>
              <w:spacing w:after="0"/>
              <w:rPr>
                <w:rFonts w:cs="Arial"/>
                <w:b/>
                <w:sz w:val="14"/>
                <w:szCs w:val="14"/>
              </w:rPr>
            </w:pPr>
          </w:p>
        </w:tc>
        <w:tc>
          <w:tcPr>
            <w:tcW w:w="6131" w:type="dxa"/>
            <w:gridSpan w:val="5"/>
            <w:tcBorders>
              <w:top w:val="single" w:sz="2" w:space="0" w:color="1F4E79" w:themeColor="accent1" w:themeShade="80"/>
              <w:left w:val="nil"/>
              <w:bottom w:val="single" w:sz="2" w:space="0" w:color="1F4E79" w:themeColor="accent1" w:themeShade="80"/>
              <w:right w:val="nil"/>
            </w:tcBorders>
            <w:vAlign w:val="center"/>
            <w:hideMark/>
          </w:tcPr>
          <w:p w14:paraId="4EA5A807" w14:textId="77777777" w:rsidR="00AA7F20" w:rsidRDefault="00AA7F20" w:rsidP="00AA7F20">
            <w:pPr>
              <w:spacing w:after="0"/>
              <w:jc w:val="center"/>
              <w:rPr>
                <w:rFonts w:cs="Arial"/>
                <w:b/>
                <w:sz w:val="14"/>
                <w:szCs w:val="14"/>
                <w:vertAlign w:val="superscript"/>
              </w:rPr>
            </w:pPr>
            <w:r>
              <w:rPr>
                <w:rFonts w:cs="Arial"/>
                <w:b/>
                <w:sz w:val="14"/>
                <w:szCs w:val="14"/>
              </w:rPr>
              <w:t>Consolidated</w:t>
            </w:r>
          </w:p>
        </w:tc>
      </w:tr>
      <w:tr w:rsidR="00AA7F20" w14:paraId="6737A344" w14:textId="77777777" w:rsidTr="00AA7F20">
        <w:trPr>
          <w:trHeight w:val="238"/>
          <w:jc w:val="center"/>
        </w:trPr>
        <w:tc>
          <w:tcPr>
            <w:tcW w:w="2892" w:type="dxa"/>
            <w:tcBorders>
              <w:top w:val="nil"/>
              <w:left w:val="nil"/>
              <w:bottom w:val="single" w:sz="2" w:space="0" w:color="1F4E79" w:themeColor="accent1" w:themeShade="80"/>
              <w:right w:val="nil"/>
            </w:tcBorders>
            <w:vAlign w:val="center"/>
          </w:tcPr>
          <w:p w14:paraId="676FF439" w14:textId="77777777" w:rsidR="00AA7F20" w:rsidRDefault="00AA7F20" w:rsidP="00AA7F20">
            <w:pPr>
              <w:pStyle w:val="08-Tabelageral"/>
              <w:spacing w:line="256" w:lineRule="auto"/>
              <w:jc w:val="left"/>
              <w:rPr>
                <w:rFonts w:cs="Arial"/>
                <w:b/>
                <w:szCs w:val="14"/>
                <w:lang w:eastAsia="en-US"/>
              </w:rPr>
            </w:pPr>
          </w:p>
        </w:tc>
        <w:tc>
          <w:tcPr>
            <w:tcW w:w="616" w:type="dxa"/>
            <w:tcBorders>
              <w:top w:val="nil"/>
              <w:left w:val="nil"/>
              <w:bottom w:val="single" w:sz="2" w:space="0" w:color="1F4E79" w:themeColor="accent1" w:themeShade="80"/>
              <w:right w:val="nil"/>
            </w:tcBorders>
            <w:vAlign w:val="center"/>
          </w:tcPr>
          <w:p w14:paraId="4CF92A30" w14:textId="77777777" w:rsidR="00AA7F20" w:rsidRDefault="00AA7F20" w:rsidP="00AA7F20">
            <w:pPr>
              <w:pStyle w:val="08-Tabelageral"/>
              <w:spacing w:line="256" w:lineRule="auto"/>
              <w:jc w:val="left"/>
              <w:rPr>
                <w:rFonts w:cs="Arial"/>
                <w:b/>
                <w:szCs w:val="14"/>
                <w:lang w:eastAsia="en-US"/>
              </w:rPr>
            </w:pPr>
          </w:p>
        </w:tc>
        <w:tc>
          <w:tcPr>
            <w:tcW w:w="1723" w:type="dxa"/>
            <w:tcBorders>
              <w:top w:val="single" w:sz="2" w:space="0" w:color="1F4E79" w:themeColor="accent1" w:themeShade="80"/>
              <w:left w:val="nil"/>
              <w:bottom w:val="single" w:sz="2" w:space="0" w:color="1F4E79" w:themeColor="accent1" w:themeShade="80"/>
              <w:right w:val="nil"/>
            </w:tcBorders>
            <w:vAlign w:val="center"/>
          </w:tcPr>
          <w:p w14:paraId="0DD45A78" w14:textId="77777777" w:rsidR="00AA7F20" w:rsidRDefault="00AA7F20" w:rsidP="00AA7F20">
            <w:pPr>
              <w:pStyle w:val="08-Tabelageral"/>
              <w:spacing w:line="256" w:lineRule="auto"/>
              <w:ind w:left="308"/>
              <w:rPr>
                <w:rFonts w:cs="Arial"/>
                <w:b/>
                <w:szCs w:val="14"/>
                <w:lang w:eastAsia="en-US"/>
              </w:rPr>
            </w:pPr>
          </w:p>
        </w:tc>
        <w:tc>
          <w:tcPr>
            <w:tcW w:w="1304" w:type="dxa"/>
            <w:tcBorders>
              <w:top w:val="single" w:sz="2" w:space="0" w:color="1F4E79" w:themeColor="accent1" w:themeShade="80"/>
              <w:left w:val="nil"/>
              <w:bottom w:val="single" w:sz="2" w:space="0" w:color="1F4E79" w:themeColor="accent1" w:themeShade="80"/>
              <w:right w:val="nil"/>
            </w:tcBorders>
            <w:vAlign w:val="center"/>
            <w:hideMark/>
          </w:tcPr>
          <w:p w14:paraId="269F57B5" w14:textId="77777777" w:rsidR="00AA7F20" w:rsidRDefault="00AA7F20" w:rsidP="00AA7F20">
            <w:pPr>
              <w:pStyle w:val="08-Tabelageral"/>
              <w:spacing w:line="256" w:lineRule="auto"/>
              <w:rPr>
                <w:rFonts w:cs="Arial"/>
                <w:b/>
                <w:szCs w:val="14"/>
                <w:lang w:eastAsia="en-US"/>
              </w:rPr>
            </w:pPr>
            <w:r>
              <w:rPr>
                <w:rFonts w:cs="Arial"/>
                <w:b/>
                <w:szCs w:val="14"/>
                <w:lang w:eastAsia="en-US"/>
              </w:rPr>
              <w:t>1</w:t>
            </w:r>
            <w:r w:rsidRPr="00220991">
              <w:rPr>
                <w:rFonts w:cs="Arial"/>
                <w:b/>
                <w:szCs w:val="14"/>
                <w:vertAlign w:val="superscript"/>
                <w:lang w:eastAsia="en-US"/>
              </w:rPr>
              <w:t>st</w:t>
            </w:r>
            <w:r>
              <w:rPr>
                <w:rFonts w:cs="Arial"/>
                <w:b/>
                <w:szCs w:val="14"/>
                <w:lang w:eastAsia="en-US"/>
              </w:rPr>
              <w:t xml:space="preserve"> Quarter/2023</w:t>
            </w:r>
          </w:p>
        </w:tc>
        <w:tc>
          <w:tcPr>
            <w:tcW w:w="289" w:type="dxa"/>
            <w:tcBorders>
              <w:top w:val="single" w:sz="2" w:space="0" w:color="1F4E79" w:themeColor="accent1" w:themeShade="80"/>
              <w:left w:val="nil"/>
              <w:bottom w:val="single" w:sz="2" w:space="0" w:color="1F4E79" w:themeColor="accent1" w:themeShade="80"/>
              <w:right w:val="nil"/>
            </w:tcBorders>
            <w:vAlign w:val="center"/>
          </w:tcPr>
          <w:p w14:paraId="49F47160" w14:textId="77777777" w:rsidR="00AA7F20" w:rsidRDefault="00AA7F20" w:rsidP="00AA7F20">
            <w:pPr>
              <w:pStyle w:val="08-Tabelageral"/>
              <w:spacing w:line="256" w:lineRule="auto"/>
              <w:rPr>
                <w:rFonts w:cs="Arial"/>
                <w:b/>
                <w:szCs w:val="14"/>
                <w:lang w:eastAsia="en-US"/>
              </w:rPr>
            </w:pPr>
          </w:p>
        </w:tc>
        <w:tc>
          <w:tcPr>
            <w:tcW w:w="1398" w:type="dxa"/>
            <w:tcBorders>
              <w:top w:val="single" w:sz="2" w:space="0" w:color="1F4E79" w:themeColor="accent1" w:themeShade="80"/>
              <w:left w:val="nil"/>
              <w:bottom w:val="single" w:sz="2" w:space="0" w:color="1F4E79" w:themeColor="accent1" w:themeShade="80"/>
              <w:right w:val="nil"/>
            </w:tcBorders>
            <w:vAlign w:val="center"/>
          </w:tcPr>
          <w:p w14:paraId="41AE59AD" w14:textId="77777777" w:rsidR="00AA7F20" w:rsidRDefault="00AA7F20" w:rsidP="00AA7F20">
            <w:pPr>
              <w:pStyle w:val="08-Tabelageral"/>
              <w:spacing w:line="256" w:lineRule="auto"/>
              <w:ind w:left="314"/>
              <w:rPr>
                <w:rFonts w:cs="Arial"/>
                <w:b/>
                <w:szCs w:val="14"/>
                <w:lang w:eastAsia="en-US"/>
              </w:rPr>
            </w:pPr>
          </w:p>
        </w:tc>
        <w:tc>
          <w:tcPr>
            <w:tcW w:w="1417" w:type="dxa"/>
            <w:tcBorders>
              <w:top w:val="single" w:sz="2" w:space="0" w:color="1F4E79" w:themeColor="accent1" w:themeShade="80"/>
              <w:left w:val="nil"/>
              <w:bottom w:val="single" w:sz="2" w:space="0" w:color="1F4E79" w:themeColor="accent1" w:themeShade="80"/>
              <w:right w:val="nil"/>
            </w:tcBorders>
            <w:vAlign w:val="center"/>
            <w:hideMark/>
          </w:tcPr>
          <w:p w14:paraId="58B3079B" w14:textId="77777777" w:rsidR="00AA7F20" w:rsidRDefault="00AA7F20" w:rsidP="00AA7F20">
            <w:pPr>
              <w:pStyle w:val="08-Tabelageral"/>
              <w:spacing w:line="256" w:lineRule="auto"/>
              <w:rPr>
                <w:rFonts w:cs="Arial"/>
                <w:b/>
                <w:szCs w:val="14"/>
                <w:lang w:eastAsia="en-US"/>
              </w:rPr>
            </w:pPr>
            <w:r>
              <w:rPr>
                <w:rFonts w:cs="Arial"/>
                <w:b/>
                <w:szCs w:val="14"/>
                <w:lang w:eastAsia="en-US"/>
              </w:rPr>
              <w:t>1</w:t>
            </w:r>
            <w:r w:rsidRPr="00220991">
              <w:rPr>
                <w:rFonts w:cs="Arial"/>
                <w:b/>
                <w:szCs w:val="14"/>
                <w:vertAlign w:val="superscript"/>
                <w:lang w:eastAsia="en-US"/>
              </w:rPr>
              <w:t>st</w:t>
            </w:r>
            <w:r>
              <w:rPr>
                <w:rFonts w:cs="Arial"/>
                <w:b/>
                <w:szCs w:val="14"/>
                <w:lang w:eastAsia="en-US"/>
              </w:rPr>
              <w:t xml:space="preserve"> Quarter/2022</w:t>
            </w:r>
          </w:p>
        </w:tc>
      </w:tr>
      <w:tr w:rsidR="00AA7F20" w14:paraId="7711EA9B" w14:textId="77777777" w:rsidTr="00AA7F20">
        <w:trPr>
          <w:trHeight w:val="238"/>
          <w:jc w:val="center"/>
        </w:trPr>
        <w:tc>
          <w:tcPr>
            <w:tcW w:w="2892" w:type="dxa"/>
            <w:tcBorders>
              <w:top w:val="single" w:sz="2" w:space="0" w:color="1F4E79" w:themeColor="accent1" w:themeShade="80"/>
              <w:left w:val="nil"/>
              <w:bottom w:val="nil"/>
              <w:right w:val="nil"/>
            </w:tcBorders>
            <w:vAlign w:val="center"/>
            <w:hideMark/>
          </w:tcPr>
          <w:p w14:paraId="5C7F5F5D" w14:textId="77777777" w:rsidR="00AA7F20" w:rsidRDefault="00AA7F20" w:rsidP="00AA7F20">
            <w:pPr>
              <w:pStyle w:val="08-Tabelageral"/>
              <w:spacing w:before="0" w:after="0"/>
              <w:jc w:val="left"/>
              <w:rPr>
                <w:rFonts w:cs="Arial"/>
                <w:b/>
                <w:bCs/>
                <w:szCs w:val="14"/>
                <w:lang w:eastAsia="en-US"/>
              </w:rPr>
            </w:pPr>
            <w:r>
              <w:rPr>
                <w:rFonts w:cs="Arial"/>
                <w:b/>
                <w:bCs/>
                <w:szCs w:val="14"/>
              </w:rPr>
              <w:t>Tax Lawsuits</w:t>
            </w:r>
          </w:p>
        </w:tc>
        <w:tc>
          <w:tcPr>
            <w:tcW w:w="616" w:type="dxa"/>
            <w:tcBorders>
              <w:top w:val="single" w:sz="2" w:space="0" w:color="1F4E79" w:themeColor="accent1" w:themeShade="80"/>
              <w:left w:val="nil"/>
              <w:bottom w:val="nil"/>
              <w:right w:val="nil"/>
            </w:tcBorders>
            <w:vAlign w:val="center"/>
          </w:tcPr>
          <w:p w14:paraId="1D7A4FB3" w14:textId="77777777" w:rsidR="00AA7F20" w:rsidRDefault="00AA7F20" w:rsidP="00AA7F20">
            <w:pPr>
              <w:pStyle w:val="08-Tabelageral"/>
              <w:spacing w:before="0" w:after="0"/>
              <w:rPr>
                <w:rFonts w:cs="Arial"/>
                <w:b/>
                <w:bCs/>
                <w:szCs w:val="14"/>
                <w:lang w:eastAsia="en-US"/>
              </w:rPr>
            </w:pPr>
          </w:p>
        </w:tc>
        <w:tc>
          <w:tcPr>
            <w:tcW w:w="1723" w:type="dxa"/>
            <w:tcBorders>
              <w:top w:val="single" w:sz="2" w:space="0" w:color="1F4E79" w:themeColor="accent1" w:themeShade="80"/>
              <w:left w:val="nil"/>
              <w:bottom w:val="nil"/>
              <w:right w:val="nil"/>
            </w:tcBorders>
            <w:vAlign w:val="center"/>
          </w:tcPr>
          <w:p w14:paraId="7850427E" w14:textId="77777777" w:rsidR="00AA7F20" w:rsidRDefault="00AA7F20" w:rsidP="00AA7F20">
            <w:pPr>
              <w:pStyle w:val="08-Tabelageral"/>
              <w:spacing w:before="0" w:after="0"/>
              <w:rPr>
                <w:rFonts w:cs="Arial"/>
                <w:b/>
                <w:bCs/>
                <w:szCs w:val="14"/>
                <w:lang w:eastAsia="en-US"/>
              </w:rPr>
            </w:pPr>
          </w:p>
        </w:tc>
        <w:tc>
          <w:tcPr>
            <w:tcW w:w="1304" w:type="dxa"/>
            <w:tcBorders>
              <w:top w:val="single" w:sz="2" w:space="0" w:color="1F4E79" w:themeColor="accent1" w:themeShade="80"/>
              <w:left w:val="nil"/>
              <w:bottom w:val="nil"/>
              <w:right w:val="nil"/>
            </w:tcBorders>
            <w:vAlign w:val="center"/>
          </w:tcPr>
          <w:p w14:paraId="3A13CC04" w14:textId="77777777" w:rsidR="00AA7F20" w:rsidRDefault="00AA7F20" w:rsidP="00AA7F20">
            <w:pPr>
              <w:pStyle w:val="08-Tabelageral"/>
              <w:spacing w:before="0" w:after="0"/>
              <w:rPr>
                <w:rFonts w:cs="Arial"/>
                <w:b/>
                <w:bCs/>
                <w:szCs w:val="14"/>
                <w:lang w:eastAsia="en-US"/>
              </w:rPr>
            </w:pPr>
          </w:p>
        </w:tc>
        <w:tc>
          <w:tcPr>
            <w:tcW w:w="289" w:type="dxa"/>
            <w:tcBorders>
              <w:top w:val="single" w:sz="2" w:space="0" w:color="1F4E79" w:themeColor="accent1" w:themeShade="80"/>
              <w:left w:val="nil"/>
              <w:bottom w:val="nil"/>
              <w:right w:val="nil"/>
            </w:tcBorders>
            <w:vAlign w:val="center"/>
          </w:tcPr>
          <w:p w14:paraId="24869331" w14:textId="77777777" w:rsidR="00AA7F20" w:rsidRDefault="00AA7F20" w:rsidP="00AA7F20">
            <w:pPr>
              <w:pStyle w:val="08-Tabelageral"/>
              <w:spacing w:before="0" w:after="0"/>
              <w:rPr>
                <w:rFonts w:cs="Arial"/>
                <w:b/>
                <w:bCs/>
                <w:szCs w:val="14"/>
                <w:lang w:eastAsia="en-US"/>
              </w:rPr>
            </w:pPr>
          </w:p>
        </w:tc>
        <w:tc>
          <w:tcPr>
            <w:tcW w:w="1398" w:type="dxa"/>
            <w:tcBorders>
              <w:top w:val="single" w:sz="2" w:space="0" w:color="1F4E79" w:themeColor="accent1" w:themeShade="80"/>
              <w:left w:val="nil"/>
              <w:bottom w:val="nil"/>
              <w:right w:val="nil"/>
            </w:tcBorders>
            <w:vAlign w:val="center"/>
          </w:tcPr>
          <w:p w14:paraId="59C97B31" w14:textId="77777777" w:rsidR="00AA7F20" w:rsidRDefault="00AA7F20" w:rsidP="00AA7F20">
            <w:pPr>
              <w:pStyle w:val="08-Tabelageral"/>
              <w:spacing w:before="0" w:after="0"/>
              <w:rPr>
                <w:rFonts w:cs="Arial"/>
                <w:b/>
                <w:bCs/>
                <w:szCs w:val="14"/>
                <w:lang w:eastAsia="en-US"/>
              </w:rPr>
            </w:pPr>
          </w:p>
        </w:tc>
        <w:tc>
          <w:tcPr>
            <w:tcW w:w="1417" w:type="dxa"/>
            <w:tcBorders>
              <w:top w:val="single" w:sz="2" w:space="0" w:color="1F4E79" w:themeColor="accent1" w:themeShade="80"/>
              <w:left w:val="nil"/>
              <w:bottom w:val="nil"/>
              <w:right w:val="nil"/>
            </w:tcBorders>
            <w:vAlign w:val="center"/>
          </w:tcPr>
          <w:p w14:paraId="2187F014" w14:textId="77777777" w:rsidR="00AA7F20" w:rsidRDefault="00AA7F20" w:rsidP="00AA7F20">
            <w:pPr>
              <w:pStyle w:val="08-Tabelageral"/>
              <w:spacing w:before="0" w:after="0"/>
              <w:rPr>
                <w:rFonts w:cs="Arial"/>
                <w:b/>
                <w:bCs/>
                <w:szCs w:val="14"/>
                <w:lang w:eastAsia="en-US"/>
              </w:rPr>
            </w:pPr>
          </w:p>
        </w:tc>
      </w:tr>
      <w:tr w:rsidR="00AA7F20" w14:paraId="36D7AED8" w14:textId="77777777" w:rsidTr="00AA7F20">
        <w:trPr>
          <w:trHeight w:val="238"/>
          <w:jc w:val="center"/>
        </w:trPr>
        <w:tc>
          <w:tcPr>
            <w:tcW w:w="2892" w:type="dxa"/>
            <w:tcBorders>
              <w:top w:val="nil"/>
              <w:left w:val="nil"/>
              <w:bottom w:val="nil"/>
              <w:right w:val="nil"/>
            </w:tcBorders>
            <w:vAlign w:val="center"/>
            <w:hideMark/>
          </w:tcPr>
          <w:p w14:paraId="0562371F" w14:textId="77777777" w:rsidR="00AA7F20" w:rsidRDefault="00AA7F20" w:rsidP="00AA7F20">
            <w:pPr>
              <w:pStyle w:val="08-Tabelageral"/>
              <w:spacing w:before="0" w:after="0"/>
              <w:jc w:val="left"/>
              <w:rPr>
                <w:rFonts w:cs="Arial"/>
                <w:b/>
                <w:szCs w:val="14"/>
                <w:lang w:eastAsia="en-US"/>
              </w:rPr>
            </w:pPr>
            <w:r>
              <w:rPr>
                <w:rFonts w:cs="Arial"/>
                <w:b/>
                <w:szCs w:val="14"/>
              </w:rPr>
              <w:t>Initial balance</w:t>
            </w:r>
          </w:p>
        </w:tc>
        <w:tc>
          <w:tcPr>
            <w:tcW w:w="616" w:type="dxa"/>
            <w:tcBorders>
              <w:top w:val="nil"/>
              <w:left w:val="nil"/>
              <w:bottom w:val="nil"/>
              <w:right w:val="nil"/>
            </w:tcBorders>
            <w:vAlign w:val="center"/>
          </w:tcPr>
          <w:p w14:paraId="23E948A6"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4794DE79"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35279D74" w14:textId="77777777" w:rsidR="00AA7F20" w:rsidRDefault="00AA7F20" w:rsidP="00AA7F20">
            <w:pPr>
              <w:pStyle w:val="08-Tabelageral"/>
              <w:spacing w:before="0" w:after="0"/>
              <w:rPr>
                <w:rFonts w:cs="Arial"/>
                <w:b/>
                <w:bCs/>
                <w:szCs w:val="14"/>
                <w:lang w:eastAsia="en-US"/>
              </w:rPr>
            </w:pPr>
            <w:r>
              <w:rPr>
                <w:rFonts w:cs="Arial"/>
                <w:b/>
                <w:bCs/>
                <w:szCs w:val="14"/>
                <w:lang w:eastAsia="en-US"/>
              </w:rPr>
              <w:t>7</w:t>
            </w:r>
          </w:p>
        </w:tc>
        <w:tc>
          <w:tcPr>
            <w:tcW w:w="289" w:type="dxa"/>
            <w:tcBorders>
              <w:top w:val="nil"/>
              <w:left w:val="nil"/>
              <w:bottom w:val="nil"/>
              <w:right w:val="nil"/>
            </w:tcBorders>
            <w:vAlign w:val="center"/>
          </w:tcPr>
          <w:p w14:paraId="4BD02848"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0BA63464"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hideMark/>
          </w:tcPr>
          <w:p w14:paraId="023498D4" w14:textId="77777777" w:rsidR="00AA7F20" w:rsidRDefault="00AA7F20" w:rsidP="00AA7F20">
            <w:pPr>
              <w:pStyle w:val="08-Tabelageral"/>
              <w:spacing w:before="0" w:after="0"/>
              <w:rPr>
                <w:rFonts w:cs="Arial"/>
                <w:b/>
                <w:bCs/>
                <w:szCs w:val="14"/>
                <w:lang w:eastAsia="en-US"/>
              </w:rPr>
            </w:pPr>
            <w:r>
              <w:rPr>
                <w:rFonts w:cs="Arial"/>
                <w:b/>
                <w:bCs/>
                <w:szCs w:val="14"/>
                <w:lang w:eastAsia="en-US"/>
              </w:rPr>
              <w:t>1,130</w:t>
            </w:r>
          </w:p>
        </w:tc>
      </w:tr>
      <w:tr w:rsidR="00AA7F20" w14:paraId="76962D6C" w14:textId="77777777" w:rsidTr="00AA7F20">
        <w:trPr>
          <w:trHeight w:val="238"/>
          <w:jc w:val="center"/>
        </w:trPr>
        <w:tc>
          <w:tcPr>
            <w:tcW w:w="2892" w:type="dxa"/>
            <w:tcBorders>
              <w:top w:val="nil"/>
              <w:left w:val="nil"/>
              <w:bottom w:val="nil"/>
              <w:right w:val="nil"/>
            </w:tcBorders>
            <w:vAlign w:val="center"/>
            <w:hideMark/>
          </w:tcPr>
          <w:p w14:paraId="0B5B664C" w14:textId="77777777" w:rsidR="00AA7F20" w:rsidRDefault="00AA7F20" w:rsidP="00AA7F20">
            <w:pPr>
              <w:pStyle w:val="08-Tabelageral"/>
              <w:spacing w:before="0" w:after="0"/>
              <w:jc w:val="left"/>
              <w:rPr>
                <w:rFonts w:cs="Arial"/>
                <w:szCs w:val="14"/>
                <w:lang w:eastAsia="en-US"/>
              </w:rPr>
            </w:pPr>
            <w:r>
              <w:rPr>
                <w:rFonts w:cs="Arial"/>
                <w:szCs w:val="14"/>
              </w:rPr>
              <w:t>Addition</w:t>
            </w:r>
            <w:r w:rsidRPr="00A33E7B">
              <w:rPr>
                <w:rFonts w:cs="Arial"/>
                <w:szCs w:val="14"/>
              </w:rPr>
              <w:t>/</w:t>
            </w:r>
            <w:r>
              <w:rPr>
                <w:rFonts w:cs="Arial"/>
                <w:szCs w:val="14"/>
              </w:rPr>
              <w:t>Update</w:t>
            </w:r>
          </w:p>
        </w:tc>
        <w:tc>
          <w:tcPr>
            <w:tcW w:w="616" w:type="dxa"/>
            <w:tcBorders>
              <w:top w:val="nil"/>
              <w:left w:val="nil"/>
              <w:bottom w:val="nil"/>
              <w:right w:val="nil"/>
            </w:tcBorders>
            <w:vAlign w:val="center"/>
          </w:tcPr>
          <w:p w14:paraId="4C702336" w14:textId="77777777" w:rsidR="00AA7F20" w:rsidRDefault="00AA7F20" w:rsidP="00AA7F20">
            <w:pPr>
              <w:pStyle w:val="08-Tabelageral"/>
              <w:spacing w:before="0" w:after="0"/>
              <w:rPr>
                <w:rFonts w:cs="Arial"/>
                <w:bCs/>
                <w:szCs w:val="14"/>
                <w:lang w:eastAsia="en-US"/>
              </w:rPr>
            </w:pPr>
          </w:p>
        </w:tc>
        <w:tc>
          <w:tcPr>
            <w:tcW w:w="1723" w:type="dxa"/>
            <w:tcBorders>
              <w:top w:val="nil"/>
              <w:left w:val="nil"/>
              <w:bottom w:val="nil"/>
              <w:right w:val="nil"/>
            </w:tcBorders>
            <w:vAlign w:val="center"/>
          </w:tcPr>
          <w:p w14:paraId="0503B1E7" w14:textId="77777777" w:rsidR="00AA7F20" w:rsidRDefault="00AA7F20" w:rsidP="00AA7F20">
            <w:pPr>
              <w:pStyle w:val="08-Tabelageral"/>
              <w:spacing w:before="0" w:after="0"/>
              <w:rPr>
                <w:rFonts w:cs="Arial"/>
                <w:bCs/>
                <w:szCs w:val="14"/>
                <w:lang w:eastAsia="en-US"/>
              </w:rPr>
            </w:pPr>
          </w:p>
        </w:tc>
        <w:tc>
          <w:tcPr>
            <w:tcW w:w="1304" w:type="dxa"/>
            <w:tcBorders>
              <w:top w:val="nil"/>
              <w:left w:val="nil"/>
              <w:bottom w:val="nil"/>
              <w:right w:val="nil"/>
            </w:tcBorders>
            <w:vAlign w:val="center"/>
            <w:hideMark/>
          </w:tcPr>
          <w:p w14:paraId="79CC91E1" w14:textId="77777777" w:rsidR="00AA7F20" w:rsidRDefault="00AA7F20" w:rsidP="00AA7F20">
            <w:pPr>
              <w:pStyle w:val="08-Tabelageral"/>
              <w:spacing w:before="0" w:after="0"/>
              <w:rPr>
                <w:rFonts w:cs="Arial"/>
                <w:bCs/>
                <w:szCs w:val="14"/>
                <w:lang w:eastAsia="en-US"/>
              </w:rPr>
            </w:pPr>
            <w:r>
              <w:rPr>
                <w:rFonts w:cs="Arial"/>
                <w:szCs w:val="14"/>
                <w:lang w:eastAsia="en-US"/>
              </w:rPr>
              <w:t>--</w:t>
            </w:r>
          </w:p>
        </w:tc>
        <w:tc>
          <w:tcPr>
            <w:tcW w:w="289" w:type="dxa"/>
            <w:tcBorders>
              <w:top w:val="nil"/>
              <w:left w:val="nil"/>
              <w:bottom w:val="nil"/>
              <w:right w:val="nil"/>
            </w:tcBorders>
            <w:vAlign w:val="center"/>
          </w:tcPr>
          <w:p w14:paraId="38054FF6" w14:textId="77777777" w:rsidR="00AA7F20" w:rsidRDefault="00AA7F20" w:rsidP="00AA7F20">
            <w:pPr>
              <w:pStyle w:val="08-Tabelageral"/>
              <w:spacing w:before="0" w:after="0"/>
              <w:rPr>
                <w:rFonts w:cs="Arial"/>
                <w:bCs/>
                <w:szCs w:val="14"/>
                <w:lang w:eastAsia="en-US"/>
              </w:rPr>
            </w:pPr>
          </w:p>
        </w:tc>
        <w:tc>
          <w:tcPr>
            <w:tcW w:w="1398" w:type="dxa"/>
            <w:tcBorders>
              <w:top w:val="nil"/>
              <w:left w:val="nil"/>
              <w:bottom w:val="nil"/>
              <w:right w:val="nil"/>
            </w:tcBorders>
            <w:vAlign w:val="center"/>
          </w:tcPr>
          <w:p w14:paraId="3ED96782" w14:textId="77777777" w:rsidR="00AA7F20" w:rsidRDefault="00AA7F20" w:rsidP="00AA7F20">
            <w:pPr>
              <w:pStyle w:val="08-Tabelageral"/>
              <w:spacing w:before="0" w:after="0"/>
              <w:rPr>
                <w:rFonts w:cs="Arial"/>
                <w:bCs/>
                <w:szCs w:val="14"/>
                <w:lang w:eastAsia="en-US"/>
              </w:rPr>
            </w:pPr>
          </w:p>
        </w:tc>
        <w:tc>
          <w:tcPr>
            <w:tcW w:w="1417" w:type="dxa"/>
            <w:tcBorders>
              <w:top w:val="nil"/>
              <w:left w:val="nil"/>
              <w:bottom w:val="nil"/>
              <w:right w:val="nil"/>
            </w:tcBorders>
            <w:vAlign w:val="center"/>
            <w:hideMark/>
          </w:tcPr>
          <w:p w14:paraId="3564C995" w14:textId="77777777" w:rsidR="00AA7F20" w:rsidRDefault="00AA7F20" w:rsidP="00AA7F20">
            <w:pPr>
              <w:pStyle w:val="08-Tabelageral"/>
              <w:spacing w:before="0" w:after="0"/>
              <w:rPr>
                <w:rFonts w:cs="Arial"/>
                <w:bCs/>
                <w:szCs w:val="14"/>
                <w:lang w:eastAsia="en-US"/>
              </w:rPr>
            </w:pPr>
            <w:r>
              <w:rPr>
                <w:rFonts w:cs="Arial"/>
                <w:szCs w:val="14"/>
                <w:lang w:eastAsia="en-US"/>
              </w:rPr>
              <w:t>28</w:t>
            </w:r>
          </w:p>
        </w:tc>
      </w:tr>
      <w:tr w:rsidR="00AA7F20" w14:paraId="3B45E843" w14:textId="77777777" w:rsidTr="00AA7F20">
        <w:trPr>
          <w:trHeight w:val="238"/>
          <w:jc w:val="center"/>
        </w:trPr>
        <w:tc>
          <w:tcPr>
            <w:tcW w:w="2892" w:type="dxa"/>
            <w:tcBorders>
              <w:top w:val="nil"/>
              <w:left w:val="nil"/>
              <w:bottom w:val="nil"/>
              <w:right w:val="nil"/>
            </w:tcBorders>
            <w:vAlign w:val="center"/>
            <w:hideMark/>
          </w:tcPr>
          <w:p w14:paraId="7A596F55" w14:textId="77777777" w:rsidR="00AA7F20" w:rsidRDefault="00AA7F20" w:rsidP="00AA7F20">
            <w:pPr>
              <w:pStyle w:val="08-Tabelageral"/>
              <w:spacing w:before="0" w:after="0"/>
              <w:jc w:val="left"/>
              <w:rPr>
                <w:rFonts w:cs="Arial"/>
                <w:szCs w:val="14"/>
                <w:lang w:eastAsia="en-US"/>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54110DAF" w14:textId="77777777" w:rsidR="00AA7F20" w:rsidRDefault="00AA7F20" w:rsidP="00AA7F20">
            <w:pPr>
              <w:pStyle w:val="08-Tabelageral"/>
              <w:spacing w:before="0" w:after="0"/>
              <w:rPr>
                <w:rFonts w:cs="Arial"/>
                <w:bCs/>
                <w:szCs w:val="14"/>
                <w:lang w:eastAsia="en-US"/>
              </w:rPr>
            </w:pPr>
          </w:p>
        </w:tc>
        <w:tc>
          <w:tcPr>
            <w:tcW w:w="1723" w:type="dxa"/>
            <w:tcBorders>
              <w:top w:val="nil"/>
              <w:left w:val="nil"/>
              <w:bottom w:val="nil"/>
              <w:right w:val="nil"/>
            </w:tcBorders>
            <w:vAlign w:val="center"/>
          </w:tcPr>
          <w:p w14:paraId="2D46CB84" w14:textId="77777777" w:rsidR="00AA7F20" w:rsidRDefault="00AA7F20" w:rsidP="00AA7F20">
            <w:pPr>
              <w:pStyle w:val="08-Tabelageral"/>
              <w:spacing w:before="0" w:after="0"/>
              <w:rPr>
                <w:rFonts w:cs="Arial"/>
                <w:bCs/>
                <w:szCs w:val="14"/>
                <w:lang w:eastAsia="en-US"/>
              </w:rPr>
            </w:pPr>
          </w:p>
        </w:tc>
        <w:tc>
          <w:tcPr>
            <w:tcW w:w="1304" w:type="dxa"/>
            <w:tcBorders>
              <w:top w:val="nil"/>
              <w:left w:val="nil"/>
              <w:bottom w:val="nil"/>
              <w:right w:val="nil"/>
            </w:tcBorders>
            <w:vAlign w:val="center"/>
            <w:hideMark/>
          </w:tcPr>
          <w:p w14:paraId="0FFA51BC" w14:textId="77777777" w:rsidR="00AA7F20" w:rsidRDefault="00AA7F20" w:rsidP="00AA7F20">
            <w:pPr>
              <w:pStyle w:val="08-Tabelageral"/>
              <w:spacing w:before="0" w:after="0"/>
              <w:rPr>
                <w:rFonts w:cs="Arial"/>
                <w:bCs/>
                <w:szCs w:val="14"/>
                <w:lang w:eastAsia="en-US"/>
              </w:rPr>
            </w:pPr>
            <w:r>
              <w:rPr>
                <w:rFonts w:cs="Arial"/>
                <w:szCs w:val="14"/>
                <w:lang w:eastAsia="en-US"/>
              </w:rPr>
              <w:t>--</w:t>
            </w:r>
          </w:p>
        </w:tc>
        <w:tc>
          <w:tcPr>
            <w:tcW w:w="289" w:type="dxa"/>
            <w:tcBorders>
              <w:top w:val="nil"/>
              <w:left w:val="nil"/>
              <w:bottom w:val="nil"/>
              <w:right w:val="nil"/>
            </w:tcBorders>
            <w:vAlign w:val="center"/>
          </w:tcPr>
          <w:p w14:paraId="111E576A" w14:textId="77777777" w:rsidR="00AA7F20" w:rsidRDefault="00AA7F20" w:rsidP="00AA7F20">
            <w:pPr>
              <w:pStyle w:val="08-Tabelageral"/>
              <w:spacing w:before="0" w:after="0"/>
              <w:rPr>
                <w:rFonts w:cs="Arial"/>
                <w:bCs/>
                <w:szCs w:val="14"/>
                <w:lang w:eastAsia="en-US"/>
              </w:rPr>
            </w:pPr>
          </w:p>
        </w:tc>
        <w:tc>
          <w:tcPr>
            <w:tcW w:w="1398" w:type="dxa"/>
            <w:tcBorders>
              <w:top w:val="nil"/>
              <w:left w:val="nil"/>
              <w:bottom w:val="nil"/>
              <w:right w:val="nil"/>
            </w:tcBorders>
            <w:vAlign w:val="center"/>
          </w:tcPr>
          <w:p w14:paraId="540C473D" w14:textId="77777777" w:rsidR="00AA7F20" w:rsidRDefault="00AA7F20" w:rsidP="00AA7F20">
            <w:pPr>
              <w:pStyle w:val="08-Tabelageral"/>
              <w:spacing w:before="0" w:after="0"/>
              <w:rPr>
                <w:rFonts w:cs="Arial"/>
                <w:bCs/>
                <w:szCs w:val="14"/>
                <w:lang w:eastAsia="en-US"/>
              </w:rPr>
            </w:pPr>
          </w:p>
        </w:tc>
        <w:tc>
          <w:tcPr>
            <w:tcW w:w="1417" w:type="dxa"/>
            <w:tcBorders>
              <w:top w:val="nil"/>
              <w:left w:val="nil"/>
              <w:bottom w:val="nil"/>
              <w:right w:val="nil"/>
            </w:tcBorders>
            <w:vAlign w:val="center"/>
            <w:hideMark/>
          </w:tcPr>
          <w:p w14:paraId="7615BECE" w14:textId="77777777" w:rsidR="00AA7F20" w:rsidRDefault="00AA7F20" w:rsidP="00AA7F20">
            <w:pPr>
              <w:pStyle w:val="08-Tabelageral"/>
              <w:spacing w:before="0" w:after="0"/>
              <w:rPr>
                <w:rFonts w:cs="Arial"/>
                <w:bCs/>
                <w:szCs w:val="14"/>
                <w:lang w:eastAsia="en-US"/>
              </w:rPr>
            </w:pPr>
            <w:r>
              <w:rPr>
                <w:rFonts w:cs="Arial"/>
                <w:szCs w:val="14"/>
                <w:lang w:eastAsia="en-US"/>
              </w:rPr>
              <w:t>--</w:t>
            </w:r>
          </w:p>
        </w:tc>
      </w:tr>
      <w:tr w:rsidR="00AA7F20" w14:paraId="3279F2AF" w14:textId="77777777" w:rsidTr="00AA7F20">
        <w:trPr>
          <w:trHeight w:val="238"/>
          <w:jc w:val="center"/>
        </w:trPr>
        <w:tc>
          <w:tcPr>
            <w:tcW w:w="2892" w:type="dxa"/>
            <w:tcBorders>
              <w:top w:val="nil"/>
              <w:left w:val="nil"/>
              <w:bottom w:val="nil"/>
              <w:right w:val="nil"/>
            </w:tcBorders>
            <w:vAlign w:val="center"/>
            <w:hideMark/>
          </w:tcPr>
          <w:p w14:paraId="03EC1CE6" w14:textId="77777777" w:rsidR="00AA7F20" w:rsidRDefault="00AA7F20" w:rsidP="00AA7F20">
            <w:pPr>
              <w:pStyle w:val="08-Tabelageral"/>
              <w:spacing w:before="0" w:after="0"/>
              <w:jc w:val="left"/>
              <w:rPr>
                <w:rFonts w:cs="Arial"/>
                <w:szCs w:val="14"/>
                <w:lang w:eastAsia="en-US"/>
              </w:rPr>
            </w:pPr>
            <w:r>
              <w:rPr>
                <w:rFonts w:cs="Arial"/>
                <w:szCs w:val="14"/>
              </w:rPr>
              <w:t>W</w:t>
            </w:r>
            <w:r w:rsidRPr="00A23DAE">
              <w:rPr>
                <w:rFonts w:cs="Arial"/>
                <w:szCs w:val="14"/>
              </w:rPr>
              <w:t>rite-off by payment</w:t>
            </w:r>
          </w:p>
        </w:tc>
        <w:tc>
          <w:tcPr>
            <w:tcW w:w="616" w:type="dxa"/>
            <w:tcBorders>
              <w:top w:val="nil"/>
              <w:left w:val="nil"/>
              <w:bottom w:val="nil"/>
              <w:right w:val="nil"/>
            </w:tcBorders>
            <w:vAlign w:val="center"/>
          </w:tcPr>
          <w:p w14:paraId="141D4CC5" w14:textId="77777777" w:rsidR="00AA7F20" w:rsidRDefault="00AA7F20" w:rsidP="00AA7F20">
            <w:pPr>
              <w:pStyle w:val="08-Tabelageral"/>
              <w:spacing w:before="0" w:after="0"/>
              <w:rPr>
                <w:rFonts w:cs="Arial"/>
                <w:bCs/>
                <w:szCs w:val="14"/>
                <w:lang w:eastAsia="en-US"/>
              </w:rPr>
            </w:pPr>
          </w:p>
        </w:tc>
        <w:tc>
          <w:tcPr>
            <w:tcW w:w="1723" w:type="dxa"/>
            <w:tcBorders>
              <w:top w:val="nil"/>
              <w:left w:val="nil"/>
              <w:bottom w:val="nil"/>
              <w:right w:val="nil"/>
            </w:tcBorders>
            <w:vAlign w:val="center"/>
          </w:tcPr>
          <w:p w14:paraId="4316D14C" w14:textId="77777777" w:rsidR="00AA7F20" w:rsidRDefault="00AA7F20" w:rsidP="00AA7F20">
            <w:pPr>
              <w:pStyle w:val="08-Tabelageral"/>
              <w:spacing w:before="0" w:after="0"/>
              <w:rPr>
                <w:rFonts w:cs="Arial"/>
                <w:bCs/>
                <w:szCs w:val="14"/>
                <w:lang w:eastAsia="en-US"/>
              </w:rPr>
            </w:pPr>
          </w:p>
        </w:tc>
        <w:tc>
          <w:tcPr>
            <w:tcW w:w="1304" w:type="dxa"/>
            <w:tcBorders>
              <w:top w:val="nil"/>
              <w:left w:val="nil"/>
              <w:bottom w:val="nil"/>
              <w:right w:val="nil"/>
            </w:tcBorders>
            <w:vAlign w:val="center"/>
            <w:hideMark/>
          </w:tcPr>
          <w:p w14:paraId="5D681F22" w14:textId="77777777" w:rsidR="00AA7F20" w:rsidRDefault="00AA7F20" w:rsidP="00AA7F20">
            <w:pPr>
              <w:pStyle w:val="08-Tabelageral"/>
              <w:spacing w:before="0" w:after="0"/>
              <w:rPr>
                <w:rFonts w:cs="Arial"/>
                <w:bCs/>
                <w:szCs w:val="14"/>
                <w:lang w:eastAsia="en-US"/>
              </w:rPr>
            </w:pPr>
            <w:r>
              <w:rPr>
                <w:rFonts w:cs="Arial"/>
                <w:szCs w:val="14"/>
                <w:lang w:eastAsia="en-US"/>
              </w:rPr>
              <w:t>--</w:t>
            </w:r>
          </w:p>
        </w:tc>
        <w:tc>
          <w:tcPr>
            <w:tcW w:w="289" w:type="dxa"/>
            <w:tcBorders>
              <w:top w:val="nil"/>
              <w:left w:val="nil"/>
              <w:bottom w:val="nil"/>
              <w:right w:val="nil"/>
            </w:tcBorders>
            <w:vAlign w:val="center"/>
          </w:tcPr>
          <w:p w14:paraId="7E7F42F9" w14:textId="77777777" w:rsidR="00AA7F20" w:rsidRDefault="00AA7F20" w:rsidP="00AA7F20">
            <w:pPr>
              <w:pStyle w:val="08-Tabelageral"/>
              <w:spacing w:before="0" w:after="0"/>
              <w:rPr>
                <w:rFonts w:cs="Arial"/>
                <w:bCs/>
                <w:szCs w:val="14"/>
                <w:lang w:eastAsia="en-US"/>
              </w:rPr>
            </w:pPr>
          </w:p>
        </w:tc>
        <w:tc>
          <w:tcPr>
            <w:tcW w:w="1398" w:type="dxa"/>
            <w:tcBorders>
              <w:top w:val="nil"/>
              <w:left w:val="nil"/>
              <w:bottom w:val="nil"/>
              <w:right w:val="nil"/>
            </w:tcBorders>
            <w:vAlign w:val="center"/>
          </w:tcPr>
          <w:p w14:paraId="733952AD" w14:textId="77777777" w:rsidR="00AA7F20" w:rsidRDefault="00AA7F20" w:rsidP="00AA7F20">
            <w:pPr>
              <w:pStyle w:val="08-Tabelageral"/>
              <w:spacing w:before="0" w:after="0"/>
              <w:rPr>
                <w:rFonts w:cs="Arial"/>
                <w:bCs/>
                <w:szCs w:val="14"/>
                <w:lang w:eastAsia="en-US"/>
              </w:rPr>
            </w:pPr>
          </w:p>
        </w:tc>
        <w:tc>
          <w:tcPr>
            <w:tcW w:w="1417" w:type="dxa"/>
            <w:tcBorders>
              <w:top w:val="nil"/>
              <w:left w:val="nil"/>
              <w:bottom w:val="nil"/>
              <w:right w:val="nil"/>
            </w:tcBorders>
            <w:vAlign w:val="center"/>
            <w:hideMark/>
          </w:tcPr>
          <w:p w14:paraId="79259960" w14:textId="77777777" w:rsidR="00AA7F20" w:rsidRDefault="00AA7F20" w:rsidP="00AA7F20">
            <w:pPr>
              <w:pStyle w:val="08-Tabelageral"/>
              <w:spacing w:before="0" w:after="0"/>
              <w:rPr>
                <w:rFonts w:cs="Arial"/>
                <w:bCs/>
                <w:szCs w:val="14"/>
                <w:lang w:eastAsia="en-US"/>
              </w:rPr>
            </w:pPr>
            <w:r>
              <w:rPr>
                <w:rFonts w:cs="Arial"/>
                <w:szCs w:val="14"/>
                <w:lang w:eastAsia="en-US"/>
              </w:rPr>
              <w:t>--</w:t>
            </w:r>
          </w:p>
        </w:tc>
      </w:tr>
      <w:tr w:rsidR="00AA7F20" w14:paraId="38948BDA" w14:textId="77777777" w:rsidTr="00AA7F20">
        <w:trPr>
          <w:trHeight w:val="238"/>
          <w:jc w:val="center"/>
        </w:trPr>
        <w:tc>
          <w:tcPr>
            <w:tcW w:w="2892" w:type="dxa"/>
            <w:tcBorders>
              <w:top w:val="nil"/>
              <w:left w:val="nil"/>
              <w:bottom w:val="nil"/>
              <w:right w:val="nil"/>
            </w:tcBorders>
            <w:vAlign w:val="center"/>
            <w:hideMark/>
          </w:tcPr>
          <w:p w14:paraId="0B5FF254" w14:textId="77777777" w:rsidR="00AA7F20" w:rsidRDefault="00AA7F20" w:rsidP="00AA7F20">
            <w:pPr>
              <w:pStyle w:val="08-Tabelageral"/>
              <w:spacing w:before="0" w:after="0"/>
              <w:jc w:val="left"/>
              <w:rPr>
                <w:rFonts w:cs="Arial"/>
                <w:b/>
                <w:szCs w:val="14"/>
                <w:lang w:eastAsia="en-US"/>
              </w:rPr>
            </w:pPr>
            <w:r>
              <w:rPr>
                <w:rFonts w:cs="Arial"/>
                <w:b/>
                <w:szCs w:val="14"/>
              </w:rPr>
              <w:t>Closing balance</w:t>
            </w:r>
          </w:p>
        </w:tc>
        <w:tc>
          <w:tcPr>
            <w:tcW w:w="616" w:type="dxa"/>
            <w:tcBorders>
              <w:top w:val="nil"/>
              <w:left w:val="nil"/>
              <w:bottom w:val="nil"/>
              <w:right w:val="nil"/>
            </w:tcBorders>
            <w:vAlign w:val="center"/>
          </w:tcPr>
          <w:p w14:paraId="7AE03051"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05AA8F49"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7B47A0BC" w14:textId="77777777" w:rsidR="00AA7F20" w:rsidRDefault="00AA7F20" w:rsidP="00AA7F20">
            <w:pPr>
              <w:pStyle w:val="08-Tabelageral"/>
              <w:spacing w:before="0" w:after="0"/>
              <w:rPr>
                <w:rFonts w:cs="Arial"/>
                <w:b/>
                <w:bCs/>
                <w:szCs w:val="14"/>
                <w:lang w:eastAsia="en-US"/>
              </w:rPr>
            </w:pPr>
            <w:r>
              <w:rPr>
                <w:rFonts w:cs="Arial"/>
                <w:b/>
                <w:bCs/>
                <w:szCs w:val="14"/>
                <w:lang w:eastAsia="en-US"/>
              </w:rPr>
              <w:t>7</w:t>
            </w:r>
          </w:p>
        </w:tc>
        <w:tc>
          <w:tcPr>
            <w:tcW w:w="289" w:type="dxa"/>
            <w:tcBorders>
              <w:top w:val="nil"/>
              <w:left w:val="nil"/>
              <w:bottom w:val="nil"/>
              <w:right w:val="nil"/>
            </w:tcBorders>
            <w:vAlign w:val="center"/>
          </w:tcPr>
          <w:p w14:paraId="05EE3580"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1E8723E1"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hideMark/>
          </w:tcPr>
          <w:p w14:paraId="417820F1" w14:textId="77777777" w:rsidR="00AA7F20" w:rsidRDefault="00AA7F20" w:rsidP="00AA7F20">
            <w:pPr>
              <w:pStyle w:val="08-Tabelageral"/>
              <w:spacing w:before="0" w:after="0"/>
              <w:rPr>
                <w:rFonts w:cs="Arial"/>
                <w:b/>
                <w:bCs/>
                <w:szCs w:val="14"/>
                <w:lang w:eastAsia="en-US"/>
              </w:rPr>
            </w:pPr>
            <w:r>
              <w:rPr>
                <w:rFonts w:cs="Arial"/>
                <w:b/>
                <w:bCs/>
                <w:szCs w:val="14"/>
                <w:lang w:eastAsia="en-US"/>
              </w:rPr>
              <w:t>1,158</w:t>
            </w:r>
          </w:p>
        </w:tc>
      </w:tr>
      <w:tr w:rsidR="00AA7F20" w14:paraId="378D19E2" w14:textId="77777777" w:rsidTr="00AA7F20">
        <w:trPr>
          <w:trHeight w:val="238"/>
          <w:jc w:val="center"/>
        </w:trPr>
        <w:tc>
          <w:tcPr>
            <w:tcW w:w="2892" w:type="dxa"/>
            <w:tcBorders>
              <w:top w:val="nil"/>
              <w:left w:val="nil"/>
              <w:bottom w:val="nil"/>
              <w:right w:val="nil"/>
            </w:tcBorders>
            <w:vAlign w:val="center"/>
            <w:hideMark/>
          </w:tcPr>
          <w:p w14:paraId="35C5FCEB" w14:textId="77777777" w:rsidR="00AA7F20" w:rsidRDefault="00AA7F20" w:rsidP="00AA7F20">
            <w:pPr>
              <w:pStyle w:val="08-Tabelageral"/>
              <w:spacing w:before="0" w:after="0"/>
              <w:jc w:val="left"/>
              <w:rPr>
                <w:rFonts w:cs="Arial"/>
                <w:b/>
                <w:szCs w:val="14"/>
                <w:lang w:eastAsia="en-US"/>
              </w:rPr>
            </w:pPr>
            <w:r>
              <w:rPr>
                <w:rFonts w:cs="Arial"/>
                <w:b/>
                <w:szCs w:val="14"/>
              </w:rPr>
              <w:t>Civil Lawsuits</w:t>
            </w:r>
          </w:p>
        </w:tc>
        <w:tc>
          <w:tcPr>
            <w:tcW w:w="616" w:type="dxa"/>
            <w:tcBorders>
              <w:top w:val="nil"/>
              <w:left w:val="nil"/>
              <w:bottom w:val="nil"/>
              <w:right w:val="nil"/>
            </w:tcBorders>
            <w:vAlign w:val="center"/>
          </w:tcPr>
          <w:p w14:paraId="07848B3B"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02DE1155"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tcPr>
          <w:p w14:paraId="1C4B9484" w14:textId="77777777" w:rsidR="00AA7F20" w:rsidRDefault="00AA7F20" w:rsidP="00AA7F20">
            <w:pPr>
              <w:pStyle w:val="08-Tabelageral"/>
              <w:spacing w:before="0" w:after="0"/>
              <w:rPr>
                <w:rFonts w:cs="Arial"/>
                <w:b/>
                <w:bCs/>
                <w:szCs w:val="14"/>
                <w:lang w:eastAsia="en-US"/>
              </w:rPr>
            </w:pPr>
          </w:p>
        </w:tc>
        <w:tc>
          <w:tcPr>
            <w:tcW w:w="289" w:type="dxa"/>
            <w:tcBorders>
              <w:top w:val="nil"/>
              <w:left w:val="nil"/>
              <w:bottom w:val="nil"/>
              <w:right w:val="nil"/>
            </w:tcBorders>
            <w:vAlign w:val="center"/>
          </w:tcPr>
          <w:p w14:paraId="1A8D4CFF"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39CF903A"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tcPr>
          <w:p w14:paraId="6ADCE6BF" w14:textId="77777777" w:rsidR="00AA7F20" w:rsidRDefault="00AA7F20" w:rsidP="00AA7F20">
            <w:pPr>
              <w:pStyle w:val="08-Tabelageral"/>
              <w:spacing w:before="0" w:after="0"/>
              <w:rPr>
                <w:rFonts w:cs="Arial"/>
                <w:b/>
                <w:bCs/>
                <w:szCs w:val="14"/>
                <w:lang w:eastAsia="en-US"/>
              </w:rPr>
            </w:pPr>
          </w:p>
        </w:tc>
      </w:tr>
      <w:tr w:rsidR="00AA7F20" w14:paraId="1760834E" w14:textId="77777777" w:rsidTr="00AA7F20">
        <w:trPr>
          <w:trHeight w:val="238"/>
          <w:jc w:val="center"/>
        </w:trPr>
        <w:tc>
          <w:tcPr>
            <w:tcW w:w="2892" w:type="dxa"/>
            <w:tcBorders>
              <w:top w:val="nil"/>
              <w:left w:val="nil"/>
              <w:bottom w:val="nil"/>
              <w:right w:val="nil"/>
            </w:tcBorders>
            <w:vAlign w:val="center"/>
            <w:hideMark/>
          </w:tcPr>
          <w:p w14:paraId="3B26CD8A" w14:textId="77777777" w:rsidR="00AA7F20" w:rsidRDefault="00AA7F20" w:rsidP="00AA7F20">
            <w:pPr>
              <w:pStyle w:val="08-Tabelageral"/>
              <w:spacing w:before="0" w:after="0"/>
              <w:jc w:val="left"/>
              <w:rPr>
                <w:rFonts w:cs="Arial"/>
                <w:b/>
                <w:szCs w:val="14"/>
                <w:lang w:eastAsia="en-US"/>
              </w:rPr>
            </w:pPr>
            <w:r>
              <w:rPr>
                <w:rFonts w:cs="Arial"/>
                <w:b/>
                <w:szCs w:val="14"/>
              </w:rPr>
              <w:t>Initial balance</w:t>
            </w:r>
          </w:p>
        </w:tc>
        <w:tc>
          <w:tcPr>
            <w:tcW w:w="616" w:type="dxa"/>
            <w:tcBorders>
              <w:top w:val="nil"/>
              <w:left w:val="nil"/>
              <w:bottom w:val="nil"/>
              <w:right w:val="nil"/>
            </w:tcBorders>
            <w:vAlign w:val="center"/>
          </w:tcPr>
          <w:p w14:paraId="5AA80A30"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7B9BB238"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1F1105EE" w14:textId="77777777" w:rsidR="00AA7F20" w:rsidRDefault="00AA7F20" w:rsidP="00AA7F20">
            <w:pPr>
              <w:pStyle w:val="08-Tabelageral"/>
              <w:spacing w:before="0" w:after="0"/>
              <w:rPr>
                <w:rFonts w:cs="Arial"/>
                <w:b/>
                <w:bCs/>
                <w:szCs w:val="14"/>
                <w:lang w:eastAsia="en-US"/>
              </w:rPr>
            </w:pPr>
            <w:r>
              <w:rPr>
                <w:rFonts w:cs="Arial"/>
                <w:b/>
                <w:bCs/>
                <w:szCs w:val="14"/>
              </w:rPr>
              <w:t>13,847</w:t>
            </w:r>
          </w:p>
        </w:tc>
        <w:tc>
          <w:tcPr>
            <w:tcW w:w="289" w:type="dxa"/>
            <w:tcBorders>
              <w:top w:val="nil"/>
              <w:left w:val="nil"/>
              <w:bottom w:val="nil"/>
              <w:right w:val="nil"/>
            </w:tcBorders>
            <w:vAlign w:val="center"/>
          </w:tcPr>
          <w:p w14:paraId="6B1D5167"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5EC8C35E"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hideMark/>
          </w:tcPr>
          <w:p w14:paraId="56FBDD2A" w14:textId="77777777" w:rsidR="00AA7F20" w:rsidRDefault="00AA7F20" w:rsidP="00AA7F20">
            <w:pPr>
              <w:pStyle w:val="08-Tabelageral"/>
              <w:spacing w:before="0" w:after="0"/>
              <w:rPr>
                <w:rFonts w:cs="Arial"/>
                <w:b/>
                <w:bCs/>
                <w:szCs w:val="14"/>
                <w:lang w:eastAsia="en-US"/>
              </w:rPr>
            </w:pPr>
            <w:r>
              <w:rPr>
                <w:rFonts w:cs="Arial"/>
                <w:b/>
                <w:bCs/>
                <w:szCs w:val="14"/>
                <w:lang w:eastAsia="en-US"/>
              </w:rPr>
              <w:t>14,256</w:t>
            </w:r>
          </w:p>
        </w:tc>
      </w:tr>
      <w:tr w:rsidR="00AA7F20" w14:paraId="1E25CE3C" w14:textId="77777777" w:rsidTr="00AA7F20">
        <w:trPr>
          <w:trHeight w:val="238"/>
          <w:jc w:val="center"/>
        </w:trPr>
        <w:tc>
          <w:tcPr>
            <w:tcW w:w="2892" w:type="dxa"/>
            <w:tcBorders>
              <w:top w:val="nil"/>
              <w:left w:val="nil"/>
              <w:bottom w:val="nil"/>
              <w:right w:val="nil"/>
            </w:tcBorders>
            <w:vAlign w:val="center"/>
            <w:hideMark/>
          </w:tcPr>
          <w:p w14:paraId="6C9A0227" w14:textId="77777777" w:rsidR="00AA7F20" w:rsidRDefault="00AA7F20" w:rsidP="00AA7F20">
            <w:pPr>
              <w:pStyle w:val="08-Tabelageral"/>
              <w:spacing w:before="0" w:after="0"/>
              <w:jc w:val="left"/>
              <w:rPr>
                <w:rFonts w:cs="Arial"/>
                <w:bCs/>
                <w:szCs w:val="14"/>
                <w:lang w:eastAsia="en-US"/>
              </w:rPr>
            </w:pPr>
            <w:r>
              <w:rPr>
                <w:rFonts w:cs="Arial"/>
                <w:szCs w:val="14"/>
              </w:rPr>
              <w:t>Addition</w:t>
            </w:r>
            <w:r w:rsidRPr="00A33E7B">
              <w:rPr>
                <w:rFonts w:cs="Arial"/>
                <w:szCs w:val="14"/>
              </w:rPr>
              <w:t>/</w:t>
            </w:r>
            <w:r>
              <w:rPr>
                <w:rFonts w:cs="Arial"/>
                <w:szCs w:val="14"/>
              </w:rPr>
              <w:t>Update</w:t>
            </w:r>
            <w:r w:rsidRPr="00A33E7B">
              <w:rPr>
                <w:rFonts w:cs="Arial"/>
                <w:szCs w:val="14"/>
              </w:rPr>
              <w:t xml:space="preserve"> </w:t>
            </w:r>
            <w:r>
              <w:rPr>
                <w:rFonts w:cs="Arial"/>
                <w:szCs w:val="14"/>
                <w:vertAlign w:val="superscript"/>
              </w:rPr>
              <w:t>(1</w:t>
            </w:r>
            <w:r w:rsidRPr="00A33E7B">
              <w:rPr>
                <w:rFonts w:cs="Arial"/>
                <w:szCs w:val="14"/>
                <w:vertAlign w:val="superscript"/>
              </w:rPr>
              <w:t>)</w:t>
            </w:r>
          </w:p>
        </w:tc>
        <w:tc>
          <w:tcPr>
            <w:tcW w:w="616" w:type="dxa"/>
            <w:tcBorders>
              <w:top w:val="nil"/>
              <w:left w:val="nil"/>
              <w:bottom w:val="nil"/>
              <w:right w:val="nil"/>
            </w:tcBorders>
            <w:vAlign w:val="center"/>
          </w:tcPr>
          <w:p w14:paraId="6B51828F" w14:textId="77777777" w:rsidR="00AA7F20" w:rsidRDefault="00AA7F20" w:rsidP="00AA7F20">
            <w:pPr>
              <w:pStyle w:val="08-Tabelageral"/>
              <w:spacing w:before="0" w:after="0"/>
              <w:rPr>
                <w:rFonts w:cs="Arial"/>
                <w:szCs w:val="14"/>
                <w:lang w:eastAsia="en-US"/>
              </w:rPr>
            </w:pPr>
          </w:p>
        </w:tc>
        <w:tc>
          <w:tcPr>
            <w:tcW w:w="1723" w:type="dxa"/>
            <w:tcBorders>
              <w:top w:val="nil"/>
              <w:left w:val="nil"/>
              <w:bottom w:val="nil"/>
              <w:right w:val="nil"/>
            </w:tcBorders>
            <w:vAlign w:val="center"/>
          </w:tcPr>
          <w:p w14:paraId="310A9379" w14:textId="77777777" w:rsidR="00AA7F20" w:rsidRDefault="00AA7F20" w:rsidP="00AA7F20">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7DC8559B" w14:textId="77777777" w:rsidR="00AA7F20" w:rsidRDefault="00AA7F20" w:rsidP="00AA7F20">
            <w:pPr>
              <w:pStyle w:val="08-Tabelageral"/>
              <w:spacing w:before="0" w:after="0"/>
              <w:rPr>
                <w:rFonts w:cs="Arial"/>
                <w:szCs w:val="14"/>
                <w:lang w:eastAsia="en-US"/>
              </w:rPr>
            </w:pPr>
            <w:r>
              <w:rPr>
                <w:rFonts w:cs="Arial"/>
                <w:szCs w:val="14"/>
              </w:rPr>
              <w:t>2,069</w:t>
            </w:r>
          </w:p>
        </w:tc>
        <w:tc>
          <w:tcPr>
            <w:tcW w:w="289" w:type="dxa"/>
            <w:tcBorders>
              <w:top w:val="nil"/>
              <w:left w:val="nil"/>
              <w:bottom w:val="nil"/>
              <w:right w:val="nil"/>
            </w:tcBorders>
            <w:vAlign w:val="center"/>
          </w:tcPr>
          <w:p w14:paraId="0989148C" w14:textId="77777777" w:rsidR="00AA7F20" w:rsidRDefault="00AA7F20" w:rsidP="00AA7F20">
            <w:pPr>
              <w:pStyle w:val="08-Tabelageral"/>
              <w:spacing w:before="0" w:after="0"/>
              <w:rPr>
                <w:rFonts w:cs="Arial"/>
                <w:szCs w:val="14"/>
                <w:lang w:eastAsia="en-US"/>
              </w:rPr>
            </w:pPr>
          </w:p>
        </w:tc>
        <w:tc>
          <w:tcPr>
            <w:tcW w:w="1398" w:type="dxa"/>
            <w:tcBorders>
              <w:top w:val="nil"/>
              <w:left w:val="nil"/>
              <w:bottom w:val="nil"/>
              <w:right w:val="nil"/>
            </w:tcBorders>
            <w:vAlign w:val="center"/>
          </w:tcPr>
          <w:p w14:paraId="6AE5EE70" w14:textId="77777777" w:rsidR="00AA7F20" w:rsidRDefault="00AA7F20" w:rsidP="00AA7F20">
            <w:pPr>
              <w:pStyle w:val="08-Tabelageral"/>
              <w:spacing w:before="0" w:after="0"/>
              <w:rPr>
                <w:rFonts w:cs="Arial"/>
                <w:szCs w:val="14"/>
                <w:lang w:eastAsia="en-US"/>
              </w:rPr>
            </w:pPr>
          </w:p>
        </w:tc>
        <w:tc>
          <w:tcPr>
            <w:tcW w:w="1417" w:type="dxa"/>
            <w:tcBorders>
              <w:top w:val="nil"/>
              <w:left w:val="nil"/>
              <w:bottom w:val="nil"/>
              <w:right w:val="nil"/>
            </w:tcBorders>
            <w:vAlign w:val="center"/>
            <w:hideMark/>
          </w:tcPr>
          <w:p w14:paraId="11F925A4" w14:textId="77777777" w:rsidR="00AA7F20" w:rsidRDefault="00AA7F20" w:rsidP="00AA7F20">
            <w:pPr>
              <w:pStyle w:val="08-Tabelageral"/>
              <w:spacing w:before="0" w:after="0"/>
              <w:rPr>
                <w:rFonts w:cs="Arial"/>
                <w:szCs w:val="14"/>
                <w:lang w:eastAsia="en-US"/>
              </w:rPr>
            </w:pPr>
            <w:r>
              <w:rPr>
                <w:rFonts w:cs="Arial"/>
                <w:szCs w:val="14"/>
                <w:lang w:eastAsia="en-US"/>
              </w:rPr>
              <w:t>1,105</w:t>
            </w:r>
          </w:p>
        </w:tc>
      </w:tr>
      <w:tr w:rsidR="00AA7F20" w14:paraId="6DE3DD2A" w14:textId="77777777" w:rsidTr="00AA7F20">
        <w:trPr>
          <w:trHeight w:val="238"/>
          <w:jc w:val="center"/>
        </w:trPr>
        <w:tc>
          <w:tcPr>
            <w:tcW w:w="2892" w:type="dxa"/>
            <w:tcBorders>
              <w:top w:val="nil"/>
              <w:left w:val="nil"/>
              <w:bottom w:val="nil"/>
              <w:right w:val="nil"/>
            </w:tcBorders>
            <w:vAlign w:val="center"/>
            <w:hideMark/>
          </w:tcPr>
          <w:p w14:paraId="2B659C7B" w14:textId="77777777" w:rsidR="00AA7F20" w:rsidRDefault="00AA7F20" w:rsidP="00AA7F20">
            <w:pPr>
              <w:pStyle w:val="08-Tabelageral"/>
              <w:spacing w:before="0" w:after="0"/>
              <w:jc w:val="left"/>
              <w:rPr>
                <w:rFonts w:cs="Arial"/>
                <w:bCs/>
                <w:szCs w:val="14"/>
                <w:lang w:eastAsia="en-US"/>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7430D580" w14:textId="77777777" w:rsidR="00AA7F20" w:rsidRDefault="00AA7F20" w:rsidP="00AA7F20">
            <w:pPr>
              <w:pStyle w:val="08-Tabelageral"/>
              <w:spacing w:before="0" w:after="0"/>
              <w:rPr>
                <w:rFonts w:cs="Arial"/>
                <w:szCs w:val="14"/>
                <w:lang w:eastAsia="en-US"/>
              </w:rPr>
            </w:pPr>
          </w:p>
        </w:tc>
        <w:tc>
          <w:tcPr>
            <w:tcW w:w="1723" w:type="dxa"/>
            <w:tcBorders>
              <w:top w:val="nil"/>
              <w:left w:val="nil"/>
              <w:bottom w:val="nil"/>
              <w:right w:val="nil"/>
            </w:tcBorders>
            <w:vAlign w:val="center"/>
          </w:tcPr>
          <w:p w14:paraId="107B7FE5" w14:textId="77777777" w:rsidR="00AA7F20" w:rsidRDefault="00AA7F20" w:rsidP="00AA7F20">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6CE63959" w14:textId="77777777" w:rsidR="00AA7F20" w:rsidRDefault="00AA7F20" w:rsidP="00AA7F20">
            <w:pPr>
              <w:pStyle w:val="08-Tabelageral"/>
              <w:spacing w:before="0" w:after="0"/>
              <w:rPr>
                <w:rFonts w:cs="Arial"/>
                <w:szCs w:val="14"/>
                <w:lang w:eastAsia="en-US"/>
              </w:rPr>
            </w:pPr>
            <w:r>
              <w:rPr>
                <w:rFonts w:cs="Arial"/>
                <w:szCs w:val="14"/>
              </w:rPr>
              <w:t>(613)</w:t>
            </w:r>
          </w:p>
        </w:tc>
        <w:tc>
          <w:tcPr>
            <w:tcW w:w="289" w:type="dxa"/>
            <w:tcBorders>
              <w:top w:val="nil"/>
              <w:left w:val="nil"/>
              <w:bottom w:val="nil"/>
              <w:right w:val="nil"/>
            </w:tcBorders>
            <w:vAlign w:val="center"/>
          </w:tcPr>
          <w:p w14:paraId="5732FE45" w14:textId="77777777" w:rsidR="00AA7F20" w:rsidRDefault="00AA7F20" w:rsidP="00AA7F20">
            <w:pPr>
              <w:pStyle w:val="08-Tabelageral"/>
              <w:spacing w:before="0" w:after="0"/>
              <w:rPr>
                <w:rFonts w:cs="Arial"/>
                <w:szCs w:val="14"/>
                <w:lang w:eastAsia="en-US"/>
              </w:rPr>
            </w:pPr>
          </w:p>
        </w:tc>
        <w:tc>
          <w:tcPr>
            <w:tcW w:w="1398" w:type="dxa"/>
            <w:tcBorders>
              <w:top w:val="nil"/>
              <w:left w:val="nil"/>
              <w:bottom w:val="nil"/>
              <w:right w:val="nil"/>
            </w:tcBorders>
            <w:vAlign w:val="center"/>
          </w:tcPr>
          <w:p w14:paraId="5A518F7B" w14:textId="77777777" w:rsidR="00AA7F20" w:rsidRDefault="00AA7F20" w:rsidP="00AA7F20">
            <w:pPr>
              <w:pStyle w:val="08-Tabelageral"/>
              <w:spacing w:before="0" w:after="0"/>
              <w:rPr>
                <w:rFonts w:cs="Arial"/>
                <w:szCs w:val="14"/>
                <w:lang w:eastAsia="en-US"/>
              </w:rPr>
            </w:pPr>
          </w:p>
        </w:tc>
        <w:tc>
          <w:tcPr>
            <w:tcW w:w="1417" w:type="dxa"/>
            <w:tcBorders>
              <w:top w:val="nil"/>
              <w:left w:val="nil"/>
              <w:bottom w:val="nil"/>
              <w:right w:val="nil"/>
            </w:tcBorders>
            <w:vAlign w:val="center"/>
            <w:hideMark/>
          </w:tcPr>
          <w:p w14:paraId="05FA498A" w14:textId="77777777" w:rsidR="00AA7F20" w:rsidRDefault="00AA7F20" w:rsidP="00AA7F20">
            <w:pPr>
              <w:pStyle w:val="08-Tabelageral"/>
              <w:spacing w:before="0" w:after="0"/>
              <w:rPr>
                <w:rFonts w:cs="Arial"/>
                <w:szCs w:val="14"/>
                <w:lang w:eastAsia="en-US"/>
              </w:rPr>
            </w:pPr>
            <w:r>
              <w:rPr>
                <w:rFonts w:cs="Arial"/>
                <w:szCs w:val="14"/>
                <w:lang w:eastAsia="en-US"/>
              </w:rPr>
              <w:t>(1,025)</w:t>
            </w:r>
          </w:p>
        </w:tc>
      </w:tr>
      <w:tr w:rsidR="00AA7F20" w14:paraId="67755201" w14:textId="77777777" w:rsidTr="00AA7F20">
        <w:trPr>
          <w:trHeight w:val="238"/>
          <w:jc w:val="center"/>
        </w:trPr>
        <w:tc>
          <w:tcPr>
            <w:tcW w:w="2892" w:type="dxa"/>
            <w:tcBorders>
              <w:top w:val="nil"/>
              <w:left w:val="nil"/>
              <w:bottom w:val="nil"/>
              <w:right w:val="nil"/>
            </w:tcBorders>
            <w:vAlign w:val="center"/>
            <w:hideMark/>
          </w:tcPr>
          <w:p w14:paraId="59A890A3" w14:textId="77777777" w:rsidR="00AA7F20" w:rsidRDefault="00AA7F20" w:rsidP="00AA7F20">
            <w:pPr>
              <w:pStyle w:val="08-Tabelageral"/>
              <w:spacing w:before="0" w:after="0"/>
              <w:jc w:val="left"/>
              <w:rPr>
                <w:rFonts w:cs="Arial"/>
                <w:bCs/>
                <w:szCs w:val="14"/>
                <w:lang w:eastAsia="en-US"/>
              </w:rPr>
            </w:pPr>
            <w:r>
              <w:rPr>
                <w:rFonts w:cs="Arial"/>
                <w:szCs w:val="14"/>
              </w:rPr>
              <w:t>W</w:t>
            </w:r>
            <w:r w:rsidRPr="007A6A25">
              <w:rPr>
                <w:rFonts w:cs="Arial"/>
                <w:szCs w:val="14"/>
              </w:rPr>
              <w:t>rite-off by payment</w:t>
            </w:r>
          </w:p>
        </w:tc>
        <w:tc>
          <w:tcPr>
            <w:tcW w:w="616" w:type="dxa"/>
            <w:tcBorders>
              <w:top w:val="nil"/>
              <w:left w:val="nil"/>
              <w:bottom w:val="nil"/>
              <w:right w:val="nil"/>
            </w:tcBorders>
            <w:vAlign w:val="center"/>
          </w:tcPr>
          <w:p w14:paraId="32C1AB23" w14:textId="77777777" w:rsidR="00AA7F20" w:rsidRDefault="00AA7F20" w:rsidP="00AA7F20">
            <w:pPr>
              <w:pStyle w:val="08-Tabelageral"/>
              <w:spacing w:before="0" w:after="0"/>
              <w:rPr>
                <w:rFonts w:cs="Arial"/>
                <w:szCs w:val="14"/>
                <w:lang w:eastAsia="en-US"/>
              </w:rPr>
            </w:pPr>
          </w:p>
        </w:tc>
        <w:tc>
          <w:tcPr>
            <w:tcW w:w="1723" w:type="dxa"/>
            <w:tcBorders>
              <w:top w:val="nil"/>
              <w:left w:val="nil"/>
              <w:bottom w:val="nil"/>
              <w:right w:val="nil"/>
            </w:tcBorders>
            <w:vAlign w:val="center"/>
          </w:tcPr>
          <w:p w14:paraId="4ACF2319" w14:textId="77777777" w:rsidR="00AA7F20" w:rsidRDefault="00AA7F20" w:rsidP="00AA7F20">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07825791" w14:textId="77777777" w:rsidR="00AA7F20" w:rsidRDefault="00AA7F20" w:rsidP="00AA7F20">
            <w:pPr>
              <w:pStyle w:val="08-Tabelageral"/>
              <w:spacing w:before="0" w:after="0"/>
              <w:rPr>
                <w:rFonts w:cs="Arial"/>
                <w:szCs w:val="14"/>
                <w:lang w:eastAsia="en-US"/>
              </w:rPr>
            </w:pPr>
            <w:r>
              <w:rPr>
                <w:rFonts w:cs="Arial"/>
                <w:szCs w:val="14"/>
                <w:lang w:eastAsia="en-US"/>
              </w:rPr>
              <w:t>--</w:t>
            </w:r>
          </w:p>
        </w:tc>
        <w:tc>
          <w:tcPr>
            <w:tcW w:w="289" w:type="dxa"/>
            <w:tcBorders>
              <w:top w:val="nil"/>
              <w:left w:val="nil"/>
              <w:bottom w:val="nil"/>
              <w:right w:val="nil"/>
            </w:tcBorders>
            <w:vAlign w:val="center"/>
          </w:tcPr>
          <w:p w14:paraId="2E661537" w14:textId="77777777" w:rsidR="00AA7F20" w:rsidRDefault="00AA7F20" w:rsidP="00AA7F20">
            <w:pPr>
              <w:pStyle w:val="08-Tabelageral"/>
              <w:spacing w:before="0" w:after="0"/>
              <w:rPr>
                <w:rFonts w:cs="Arial"/>
                <w:szCs w:val="14"/>
                <w:lang w:eastAsia="en-US"/>
              </w:rPr>
            </w:pPr>
          </w:p>
        </w:tc>
        <w:tc>
          <w:tcPr>
            <w:tcW w:w="1398" w:type="dxa"/>
            <w:tcBorders>
              <w:top w:val="nil"/>
              <w:left w:val="nil"/>
              <w:bottom w:val="nil"/>
              <w:right w:val="nil"/>
            </w:tcBorders>
            <w:vAlign w:val="center"/>
          </w:tcPr>
          <w:p w14:paraId="1D48BA05" w14:textId="77777777" w:rsidR="00AA7F20" w:rsidRDefault="00AA7F20" w:rsidP="00AA7F20">
            <w:pPr>
              <w:pStyle w:val="08-Tabelageral"/>
              <w:spacing w:before="0" w:after="0"/>
              <w:rPr>
                <w:rFonts w:cs="Arial"/>
                <w:szCs w:val="14"/>
                <w:lang w:eastAsia="en-US"/>
              </w:rPr>
            </w:pPr>
          </w:p>
        </w:tc>
        <w:tc>
          <w:tcPr>
            <w:tcW w:w="1417" w:type="dxa"/>
            <w:tcBorders>
              <w:top w:val="nil"/>
              <w:left w:val="nil"/>
              <w:bottom w:val="nil"/>
              <w:right w:val="nil"/>
            </w:tcBorders>
            <w:vAlign w:val="center"/>
            <w:hideMark/>
          </w:tcPr>
          <w:p w14:paraId="0A151FE5" w14:textId="77777777" w:rsidR="00AA7F20" w:rsidRDefault="00AA7F20" w:rsidP="00AA7F20">
            <w:pPr>
              <w:pStyle w:val="08-Tabelageral"/>
              <w:spacing w:before="0" w:after="0"/>
              <w:rPr>
                <w:rFonts w:cs="Arial"/>
                <w:szCs w:val="14"/>
                <w:lang w:eastAsia="en-US"/>
              </w:rPr>
            </w:pPr>
            <w:r>
              <w:rPr>
                <w:rFonts w:cs="Arial"/>
                <w:szCs w:val="14"/>
                <w:lang w:eastAsia="en-US"/>
              </w:rPr>
              <w:t>--</w:t>
            </w:r>
          </w:p>
        </w:tc>
      </w:tr>
      <w:tr w:rsidR="00AA7F20" w14:paraId="34CEDEF0" w14:textId="77777777" w:rsidTr="00AA7F20">
        <w:trPr>
          <w:trHeight w:val="238"/>
          <w:jc w:val="center"/>
        </w:trPr>
        <w:tc>
          <w:tcPr>
            <w:tcW w:w="2892" w:type="dxa"/>
            <w:tcBorders>
              <w:top w:val="nil"/>
              <w:left w:val="nil"/>
              <w:bottom w:val="nil"/>
              <w:right w:val="nil"/>
            </w:tcBorders>
            <w:vAlign w:val="center"/>
            <w:hideMark/>
          </w:tcPr>
          <w:p w14:paraId="1AD7EAF3" w14:textId="77777777" w:rsidR="00AA7F20" w:rsidRDefault="00AA7F20" w:rsidP="00AA7F20">
            <w:pPr>
              <w:pStyle w:val="08-Tabelageral"/>
              <w:spacing w:before="0" w:after="0"/>
              <w:jc w:val="left"/>
              <w:rPr>
                <w:rFonts w:cs="Arial"/>
                <w:b/>
                <w:szCs w:val="14"/>
                <w:lang w:eastAsia="en-US"/>
              </w:rPr>
            </w:pPr>
            <w:r>
              <w:rPr>
                <w:rFonts w:cs="Arial"/>
                <w:b/>
                <w:szCs w:val="14"/>
              </w:rPr>
              <w:t>Closing balance</w:t>
            </w:r>
          </w:p>
        </w:tc>
        <w:tc>
          <w:tcPr>
            <w:tcW w:w="616" w:type="dxa"/>
            <w:tcBorders>
              <w:top w:val="nil"/>
              <w:left w:val="nil"/>
              <w:bottom w:val="nil"/>
              <w:right w:val="nil"/>
            </w:tcBorders>
            <w:vAlign w:val="center"/>
          </w:tcPr>
          <w:p w14:paraId="685D260C"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588975EC"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2C7DB73A" w14:textId="77777777" w:rsidR="00AA7F20" w:rsidRDefault="00AA7F20" w:rsidP="00AA7F20">
            <w:pPr>
              <w:pStyle w:val="08-Tabelageral"/>
              <w:spacing w:before="0" w:after="0"/>
              <w:rPr>
                <w:rFonts w:cs="Arial"/>
                <w:b/>
                <w:bCs/>
                <w:szCs w:val="14"/>
                <w:lang w:eastAsia="en-US"/>
              </w:rPr>
            </w:pPr>
            <w:r>
              <w:rPr>
                <w:rFonts w:cs="Arial"/>
                <w:b/>
                <w:bCs/>
                <w:szCs w:val="14"/>
                <w:lang w:eastAsia="en-US"/>
              </w:rPr>
              <w:t>15,303</w:t>
            </w:r>
          </w:p>
        </w:tc>
        <w:tc>
          <w:tcPr>
            <w:tcW w:w="289" w:type="dxa"/>
            <w:tcBorders>
              <w:top w:val="nil"/>
              <w:left w:val="nil"/>
              <w:bottom w:val="nil"/>
              <w:right w:val="nil"/>
            </w:tcBorders>
            <w:vAlign w:val="center"/>
          </w:tcPr>
          <w:p w14:paraId="6DEAF366"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69888D42"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hideMark/>
          </w:tcPr>
          <w:p w14:paraId="36A00AE6" w14:textId="77777777" w:rsidR="00AA7F20" w:rsidRDefault="00AA7F20" w:rsidP="00AA7F20">
            <w:pPr>
              <w:pStyle w:val="08-Tabelageral"/>
              <w:spacing w:before="0" w:after="0"/>
              <w:rPr>
                <w:rFonts w:cs="Arial"/>
                <w:b/>
                <w:bCs/>
                <w:szCs w:val="14"/>
                <w:lang w:eastAsia="en-US"/>
              </w:rPr>
            </w:pPr>
            <w:r>
              <w:rPr>
                <w:rFonts w:cs="Arial"/>
                <w:b/>
                <w:bCs/>
                <w:szCs w:val="14"/>
                <w:lang w:eastAsia="en-US"/>
              </w:rPr>
              <w:t>14,336</w:t>
            </w:r>
          </w:p>
        </w:tc>
      </w:tr>
      <w:tr w:rsidR="00AA7F20" w14:paraId="1F9B0024" w14:textId="77777777" w:rsidTr="00AA7F20">
        <w:trPr>
          <w:trHeight w:val="238"/>
          <w:jc w:val="center"/>
        </w:trPr>
        <w:tc>
          <w:tcPr>
            <w:tcW w:w="2892" w:type="dxa"/>
            <w:tcBorders>
              <w:top w:val="nil"/>
              <w:left w:val="nil"/>
              <w:bottom w:val="nil"/>
              <w:right w:val="nil"/>
            </w:tcBorders>
            <w:vAlign w:val="center"/>
            <w:hideMark/>
          </w:tcPr>
          <w:p w14:paraId="7F4B7EAA" w14:textId="77777777" w:rsidR="00AA7F20" w:rsidRDefault="00AA7F20" w:rsidP="00AA7F20">
            <w:pPr>
              <w:pStyle w:val="08-Tabelageral"/>
              <w:spacing w:before="0" w:after="0"/>
              <w:jc w:val="left"/>
              <w:rPr>
                <w:rFonts w:cs="Arial"/>
                <w:b/>
                <w:szCs w:val="14"/>
                <w:lang w:eastAsia="en-US"/>
              </w:rPr>
            </w:pPr>
            <w:r>
              <w:rPr>
                <w:rFonts w:cs="Arial"/>
                <w:b/>
                <w:szCs w:val="14"/>
              </w:rPr>
              <w:t>Labor Lawsuits</w:t>
            </w:r>
          </w:p>
        </w:tc>
        <w:tc>
          <w:tcPr>
            <w:tcW w:w="616" w:type="dxa"/>
            <w:tcBorders>
              <w:top w:val="nil"/>
              <w:left w:val="nil"/>
              <w:bottom w:val="nil"/>
              <w:right w:val="nil"/>
            </w:tcBorders>
            <w:vAlign w:val="center"/>
          </w:tcPr>
          <w:p w14:paraId="0E474C07"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603C5D37"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tcPr>
          <w:p w14:paraId="06D0FB6C" w14:textId="77777777" w:rsidR="00AA7F20" w:rsidRDefault="00AA7F20" w:rsidP="00AA7F20">
            <w:pPr>
              <w:pStyle w:val="08-Tabelageral"/>
              <w:spacing w:before="0" w:after="0"/>
              <w:rPr>
                <w:rFonts w:cs="Arial"/>
                <w:b/>
                <w:bCs/>
                <w:szCs w:val="14"/>
                <w:lang w:eastAsia="en-US"/>
              </w:rPr>
            </w:pPr>
          </w:p>
        </w:tc>
        <w:tc>
          <w:tcPr>
            <w:tcW w:w="289" w:type="dxa"/>
            <w:tcBorders>
              <w:top w:val="nil"/>
              <w:left w:val="nil"/>
              <w:bottom w:val="nil"/>
              <w:right w:val="nil"/>
            </w:tcBorders>
            <w:vAlign w:val="center"/>
          </w:tcPr>
          <w:p w14:paraId="1A4A1C0E"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2822F2F2"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tcPr>
          <w:p w14:paraId="5FCEE7AF" w14:textId="77777777" w:rsidR="00AA7F20" w:rsidRDefault="00AA7F20" w:rsidP="00AA7F20">
            <w:pPr>
              <w:pStyle w:val="08-Tabelageral"/>
              <w:spacing w:before="0" w:after="0"/>
              <w:rPr>
                <w:rFonts w:cs="Arial"/>
                <w:b/>
                <w:bCs/>
                <w:szCs w:val="14"/>
                <w:lang w:eastAsia="en-US"/>
              </w:rPr>
            </w:pPr>
          </w:p>
        </w:tc>
      </w:tr>
      <w:tr w:rsidR="00AA7F20" w14:paraId="43304572" w14:textId="77777777" w:rsidTr="00AA7F20">
        <w:trPr>
          <w:trHeight w:val="238"/>
          <w:jc w:val="center"/>
        </w:trPr>
        <w:tc>
          <w:tcPr>
            <w:tcW w:w="2892" w:type="dxa"/>
            <w:tcBorders>
              <w:top w:val="nil"/>
              <w:left w:val="nil"/>
              <w:bottom w:val="nil"/>
              <w:right w:val="nil"/>
            </w:tcBorders>
            <w:vAlign w:val="center"/>
            <w:hideMark/>
          </w:tcPr>
          <w:p w14:paraId="18611735" w14:textId="77777777" w:rsidR="00AA7F20" w:rsidRDefault="00AA7F20" w:rsidP="00AA7F20">
            <w:pPr>
              <w:pStyle w:val="08-Tabelageral"/>
              <w:spacing w:before="0" w:after="0"/>
              <w:jc w:val="left"/>
              <w:rPr>
                <w:rFonts w:cs="Arial"/>
                <w:b/>
                <w:szCs w:val="14"/>
                <w:lang w:eastAsia="en-US"/>
              </w:rPr>
            </w:pPr>
            <w:r>
              <w:rPr>
                <w:rFonts w:cs="Arial"/>
                <w:b/>
                <w:szCs w:val="14"/>
              </w:rPr>
              <w:t>Initial balance</w:t>
            </w:r>
          </w:p>
        </w:tc>
        <w:tc>
          <w:tcPr>
            <w:tcW w:w="616" w:type="dxa"/>
            <w:tcBorders>
              <w:top w:val="nil"/>
              <w:left w:val="nil"/>
              <w:bottom w:val="nil"/>
              <w:right w:val="nil"/>
            </w:tcBorders>
            <w:vAlign w:val="center"/>
          </w:tcPr>
          <w:p w14:paraId="5FC41396"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00303857"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54EE02B9" w14:textId="77777777" w:rsidR="00AA7F20" w:rsidRDefault="00AA7F20" w:rsidP="00AA7F20">
            <w:pPr>
              <w:pStyle w:val="08-Tabelageral"/>
              <w:spacing w:before="0" w:after="0"/>
              <w:rPr>
                <w:rFonts w:cs="Arial"/>
                <w:b/>
                <w:bCs/>
                <w:szCs w:val="14"/>
                <w:lang w:eastAsia="en-US"/>
              </w:rPr>
            </w:pPr>
            <w:r>
              <w:rPr>
                <w:rFonts w:cs="Arial"/>
                <w:b/>
                <w:bCs/>
                <w:szCs w:val="14"/>
                <w:lang w:eastAsia="en-US"/>
              </w:rPr>
              <w:t>28</w:t>
            </w:r>
          </w:p>
        </w:tc>
        <w:tc>
          <w:tcPr>
            <w:tcW w:w="289" w:type="dxa"/>
            <w:tcBorders>
              <w:top w:val="nil"/>
              <w:left w:val="nil"/>
              <w:bottom w:val="nil"/>
              <w:right w:val="nil"/>
            </w:tcBorders>
            <w:vAlign w:val="center"/>
          </w:tcPr>
          <w:p w14:paraId="49EB57FD"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649B5289"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hideMark/>
          </w:tcPr>
          <w:p w14:paraId="35BA3281" w14:textId="77777777" w:rsidR="00AA7F20" w:rsidRDefault="00AA7F20" w:rsidP="00AA7F20">
            <w:pPr>
              <w:pStyle w:val="08-Tabelageral"/>
              <w:spacing w:before="0" w:after="0"/>
              <w:rPr>
                <w:rFonts w:cs="Arial"/>
                <w:b/>
                <w:bCs/>
                <w:szCs w:val="14"/>
                <w:lang w:eastAsia="en-US"/>
              </w:rPr>
            </w:pPr>
            <w:r>
              <w:rPr>
                <w:rFonts w:cs="Arial"/>
                <w:b/>
                <w:bCs/>
                <w:szCs w:val="14"/>
                <w:lang w:eastAsia="en-US"/>
              </w:rPr>
              <w:t>28</w:t>
            </w:r>
          </w:p>
        </w:tc>
      </w:tr>
      <w:tr w:rsidR="00AA7F20" w14:paraId="279BBBAA" w14:textId="77777777" w:rsidTr="00AA7F20">
        <w:trPr>
          <w:trHeight w:val="238"/>
          <w:jc w:val="center"/>
        </w:trPr>
        <w:tc>
          <w:tcPr>
            <w:tcW w:w="2892" w:type="dxa"/>
            <w:tcBorders>
              <w:top w:val="nil"/>
              <w:left w:val="nil"/>
              <w:bottom w:val="nil"/>
              <w:right w:val="nil"/>
            </w:tcBorders>
            <w:vAlign w:val="center"/>
            <w:hideMark/>
          </w:tcPr>
          <w:p w14:paraId="2DE5044D" w14:textId="77777777" w:rsidR="00AA7F20" w:rsidRDefault="00AA7F20" w:rsidP="00AA7F20">
            <w:pPr>
              <w:pStyle w:val="08-Tabelageral"/>
              <w:spacing w:before="0" w:after="0"/>
              <w:jc w:val="left"/>
              <w:rPr>
                <w:rFonts w:cs="Arial"/>
                <w:bCs/>
                <w:szCs w:val="14"/>
                <w:lang w:eastAsia="en-US"/>
              </w:rPr>
            </w:pPr>
            <w:r>
              <w:rPr>
                <w:rFonts w:cs="Arial"/>
                <w:szCs w:val="14"/>
              </w:rPr>
              <w:t>Addition</w:t>
            </w:r>
            <w:r w:rsidRPr="00A33E7B">
              <w:rPr>
                <w:rFonts w:cs="Arial"/>
                <w:szCs w:val="14"/>
              </w:rPr>
              <w:t>/</w:t>
            </w:r>
            <w:r>
              <w:rPr>
                <w:rFonts w:cs="Arial"/>
                <w:szCs w:val="14"/>
              </w:rPr>
              <w:t>Update</w:t>
            </w:r>
          </w:p>
        </w:tc>
        <w:tc>
          <w:tcPr>
            <w:tcW w:w="616" w:type="dxa"/>
            <w:tcBorders>
              <w:top w:val="nil"/>
              <w:left w:val="nil"/>
              <w:bottom w:val="nil"/>
              <w:right w:val="nil"/>
            </w:tcBorders>
            <w:vAlign w:val="center"/>
          </w:tcPr>
          <w:p w14:paraId="45E2C84D" w14:textId="77777777" w:rsidR="00AA7F20" w:rsidRDefault="00AA7F20" w:rsidP="00AA7F20">
            <w:pPr>
              <w:pStyle w:val="08-Tabelageral"/>
              <w:spacing w:before="0" w:after="0"/>
              <w:rPr>
                <w:rFonts w:cs="Arial"/>
                <w:szCs w:val="14"/>
                <w:lang w:eastAsia="en-US"/>
              </w:rPr>
            </w:pPr>
          </w:p>
        </w:tc>
        <w:tc>
          <w:tcPr>
            <w:tcW w:w="1723" w:type="dxa"/>
            <w:tcBorders>
              <w:top w:val="nil"/>
              <w:left w:val="nil"/>
              <w:bottom w:val="nil"/>
              <w:right w:val="nil"/>
            </w:tcBorders>
            <w:vAlign w:val="center"/>
          </w:tcPr>
          <w:p w14:paraId="282B1302" w14:textId="77777777" w:rsidR="00AA7F20" w:rsidRDefault="00AA7F20" w:rsidP="00AA7F20">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1784EFD2" w14:textId="77777777" w:rsidR="00AA7F20" w:rsidRDefault="00AA7F20" w:rsidP="00AA7F20">
            <w:pPr>
              <w:pStyle w:val="08-Tabelageral"/>
              <w:spacing w:before="0" w:after="0"/>
              <w:rPr>
                <w:rFonts w:cs="Arial"/>
                <w:szCs w:val="14"/>
                <w:lang w:eastAsia="en-US"/>
              </w:rPr>
            </w:pPr>
            <w:r>
              <w:rPr>
                <w:rFonts w:cs="Arial"/>
                <w:szCs w:val="14"/>
                <w:lang w:eastAsia="en-US"/>
              </w:rPr>
              <w:t>--</w:t>
            </w:r>
          </w:p>
        </w:tc>
        <w:tc>
          <w:tcPr>
            <w:tcW w:w="289" w:type="dxa"/>
            <w:tcBorders>
              <w:top w:val="nil"/>
              <w:left w:val="nil"/>
              <w:bottom w:val="nil"/>
              <w:right w:val="nil"/>
            </w:tcBorders>
            <w:vAlign w:val="center"/>
          </w:tcPr>
          <w:p w14:paraId="61F118B0" w14:textId="77777777" w:rsidR="00AA7F20" w:rsidRDefault="00AA7F20" w:rsidP="00AA7F20">
            <w:pPr>
              <w:pStyle w:val="08-Tabelageral"/>
              <w:spacing w:before="0" w:after="0"/>
              <w:rPr>
                <w:rFonts w:cs="Arial"/>
                <w:szCs w:val="14"/>
                <w:lang w:eastAsia="en-US"/>
              </w:rPr>
            </w:pPr>
          </w:p>
        </w:tc>
        <w:tc>
          <w:tcPr>
            <w:tcW w:w="1398" w:type="dxa"/>
            <w:tcBorders>
              <w:top w:val="nil"/>
              <w:left w:val="nil"/>
              <w:bottom w:val="nil"/>
              <w:right w:val="nil"/>
            </w:tcBorders>
            <w:vAlign w:val="center"/>
          </w:tcPr>
          <w:p w14:paraId="794D0A20" w14:textId="77777777" w:rsidR="00AA7F20" w:rsidRDefault="00AA7F20" w:rsidP="00AA7F20">
            <w:pPr>
              <w:pStyle w:val="08-Tabelageral"/>
              <w:spacing w:before="0" w:after="0"/>
              <w:rPr>
                <w:rFonts w:cs="Arial"/>
                <w:szCs w:val="14"/>
                <w:lang w:eastAsia="en-US"/>
              </w:rPr>
            </w:pPr>
          </w:p>
        </w:tc>
        <w:tc>
          <w:tcPr>
            <w:tcW w:w="1417" w:type="dxa"/>
            <w:tcBorders>
              <w:top w:val="nil"/>
              <w:left w:val="nil"/>
              <w:bottom w:val="nil"/>
              <w:right w:val="nil"/>
            </w:tcBorders>
            <w:vAlign w:val="center"/>
            <w:hideMark/>
          </w:tcPr>
          <w:p w14:paraId="1B8A66F0" w14:textId="77777777" w:rsidR="00AA7F20" w:rsidRDefault="00AA7F20" w:rsidP="00AA7F20">
            <w:pPr>
              <w:pStyle w:val="08-Tabelageral"/>
              <w:spacing w:before="0" w:after="0"/>
              <w:rPr>
                <w:rFonts w:cs="Arial"/>
                <w:szCs w:val="14"/>
                <w:lang w:eastAsia="en-US"/>
              </w:rPr>
            </w:pPr>
            <w:r>
              <w:rPr>
                <w:rFonts w:cs="Arial"/>
                <w:szCs w:val="14"/>
                <w:lang w:eastAsia="en-US"/>
              </w:rPr>
              <w:t>--</w:t>
            </w:r>
          </w:p>
        </w:tc>
      </w:tr>
      <w:tr w:rsidR="00AA7F20" w14:paraId="576B5BAB" w14:textId="77777777" w:rsidTr="00AA7F20">
        <w:trPr>
          <w:trHeight w:val="238"/>
          <w:jc w:val="center"/>
        </w:trPr>
        <w:tc>
          <w:tcPr>
            <w:tcW w:w="2892" w:type="dxa"/>
            <w:tcBorders>
              <w:top w:val="nil"/>
              <w:left w:val="nil"/>
              <w:bottom w:val="nil"/>
              <w:right w:val="nil"/>
            </w:tcBorders>
            <w:vAlign w:val="center"/>
            <w:hideMark/>
          </w:tcPr>
          <w:p w14:paraId="1C7B1E42" w14:textId="77777777" w:rsidR="00AA7F20" w:rsidRDefault="00AA7F20" w:rsidP="00AA7F20">
            <w:pPr>
              <w:pStyle w:val="08-Tabelageral"/>
              <w:spacing w:before="0" w:after="0"/>
              <w:jc w:val="left"/>
              <w:rPr>
                <w:rFonts w:cs="Arial"/>
                <w:bCs/>
                <w:szCs w:val="14"/>
                <w:lang w:eastAsia="en-US"/>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3A4497FA" w14:textId="77777777" w:rsidR="00AA7F20" w:rsidRDefault="00AA7F20" w:rsidP="00AA7F20">
            <w:pPr>
              <w:pStyle w:val="08-Tabelageral"/>
              <w:spacing w:before="0" w:after="0"/>
              <w:rPr>
                <w:rFonts w:cs="Arial"/>
                <w:szCs w:val="14"/>
                <w:lang w:eastAsia="en-US"/>
              </w:rPr>
            </w:pPr>
          </w:p>
        </w:tc>
        <w:tc>
          <w:tcPr>
            <w:tcW w:w="1723" w:type="dxa"/>
            <w:tcBorders>
              <w:top w:val="nil"/>
              <w:left w:val="nil"/>
              <w:bottom w:val="nil"/>
              <w:right w:val="nil"/>
            </w:tcBorders>
            <w:vAlign w:val="center"/>
          </w:tcPr>
          <w:p w14:paraId="74872F07" w14:textId="77777777" w:rsidR="00AA7F20" w:rsidRDefault="00AA7F20" w:rsidP="00AA7F20">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01241E40" w14:textId="77777777" w:rsidR="00AA7F20" w:rsidRDefault="00AA7F20" w:rsidP="00AA7F20">
            <w:pPr>
              <w:pStyle w:val="08-Tabelageral"/>
              <w:spacing w:before="0" w:after="0"/>
              <w:rPr>
                <w:rFonts w:cs="Arial"/>
                <w:szCs w:val="14"/>
                <w:lang w:eastAsia="en-US"/>
              </w:rPr>
            </w:pPr>
            <w:r>
              <w:rPr>
                <w:rFonts w:cs="Arial"/>
                <w:szCs w:val="14"/>
                <w:lang w:eastAsia="en-US"/>
              </w:rPr>
              <w:t>--</w:t>
            </w:r>
          </w:p>
        </w:tc>
        <w:tc>
          <w:tcPr>
            <w:tcW w:w="289" w:type="dxa"/>
            <w:tcBorders>
              <w:top w:val="nil"/>
              <w:left w:val="nil"/>
              <w:bottom w:val="nil"/>
              <w:right w:val="nil"/>
            </w:tcBorders>
            <w:vAlign w:val="center"/>
          </w:tcPr>
          <w:p w14:paraId="61A936B8" w14:textId="77777777" w:rsidR="00AA7F20" w:rsidRDefault="00AA7F20" w:rsidP="00AA7F20">
            <w:pPr>
              <w:pStyle w:val="08-Tabelageral"/>
              <w:spacing w:before="0" w:after="0"/>
              <w:rPr>
                <w:rFonts w:cs="Arial"/>
                <w:szCs w:val="14"/>
                <w:lang w:eastAsia="en-US"/>
              </w:rPr>
            </w:pPr>
          </w:p>
        </w:tc>
        <w:tc>
          <w:tcPr>
            <w:tcW w:w="1398" w:type="dxa"/>
            <w:tcBorders>
              <w:top w:val="nil"/>
              <w:left w:val="nil"/>
              <w:bottom w:val="nil"/>
              <w:right w:val="nil"/>
            </w:tcBorders>
            <w:vAlign w:val="center"/>
          </w:tcPr>
          <w:p w14:paraId="33A516E6" w14:textId="77777777" w:rsidR="00AA7F20" w:rsidRDefault="00AA7F20" w:rsidP="00AA7F20">
            <w:pPr>
              <w:pStyle w:val="08-Tabelageral"/>
              <w:spacing w:before="0" w:after="0"/>
              <w:rPr>
                <w:rFonts w:cs="Arial"/>
                <w:szCs w:val="14"/>
                <w:lang w:eastAsia="en-US"/>
              </w:rPr>
            </w:pPr>
          </w:p>
        </w:tc>
        <w:tc>
          <w:tcPr>
            <w:tcW w:w="1417" w:type="dxa"/>
            <w:tcBorders>
              <w:top w:val="nil"/>
              <w:left w:val="nil"/>
              <w:bottom w:val="nil"/>
              <w:right w:val="nil"/>
            </w:tcBorders>
            <w:vAlign w:val="center"/>
            <w:hideMark/>
          </w:tcPr>
          <w:p w14:paraId="5F6C43A1" w14:textId="77777777" w:rsidR="00AA7F20" w:rsidRDefault="00AA7F20" w:rsidP="00AA7F20">
            <w:pPr>
              <w:pStyle w:val="08-Tabelageral"/>
              <w:spacing w:before="0" w:after="0"/>
              <w:rPr>
                <w:rFonts w:cs="Arial"/>
                <w:szCs w:val="14"/>
                <w:lang w:eastAsia="en-US"/>
              </w:rPr>
            </w:pPr>
            <w:r>
              <w:rPr>
                <w:rFonts w:cs="Arial"/>
                <w:szCs w:val="14"/>
                <w:lang w:eastAsia="en-US"/>
              </w:rPr>
              <w:t>--</w:t>
            </w:r>
          </w:p>
        </w:tc>
      </w:tr>
      <w:tr w:rsidR="00AA7F20" w14:paraId="733E2CDF" w14:textId="77777777" w:rsidTr="00AA7F20">
        <w:trPr>
          <w:trHeight w:val="238"/>
          <w:jc w:val="center"/>
        </w:trPr>
        <w:tc>
          <w:tcPr>
            <w:tcW w:w="2892" w:type="dxa"/>
            <w:tcBorders>
              <w:top w:val="nil"/>
              <w:left w:val="nil"/>
              <w:bottom w:val="nil"/>
              <w:right w:val="nil"/>
            </w:tcBorders>
            <w:vAlign w:val="center"/>
            <w:hideMark/>
          </w:tcPr>
          <w:p w14:paraId="4CA88357" w14:textId="77777777" w:rsidR="00AA7F20" w:rsidRDefault="00AA7F20" w:rsidP="00AA7F20">
            <w:pPr>
              <w:pStyle w:val="08-Tabelageral"/>
              <w:spacing w:before="0" w:after="0"/>
              <w:jc w:val="left"/>
              <w:rPr>
                <w:rFonts w:cs="Arial"/>
                <w:bCs/>
                <w:szCs w:val="14"/>
                <w:lang w:eastAsia="en-US"/>
              </w:rPr>
            </w:pPr>
            <w:r>
              <w:rPr>
                <w:rFonts w:cs="Arial"/>
                <w:szCs w:val="14"/>
              </w:rPr>
              <w:t>W</w:t>
            </w:r>
            <w:r w:rsidRPr="007A6A25">
              <w:rPr>
                <w:rFonts w:cs="Arial"/>
                <w:szCs w:val="14"/>
              </w:rPr>
              <w:t>rite-off by payment</w:t>
            </w:r>
          </w:p>
        </w:tc>
        <w:tc>
          <w:tcPr>
            <w:tcW w:w="616" w:type="dxa"/>
            <w:tcBorders>
              <w:top w:val="nil"/>
              <w:left w:val="nil"/>
              <w:bottom w:val="nil"/>
              <w:right w:val="nil"/>
            </w:tcBorders>
            <w:vAlign w:val="center"/>
          </w:tcPr>
          <w:p w14:paraId="77C380BC" w14:textId="77777777" w:rsidR="00AA7F20" w:rsidRDefault="00AA7F20" w:rsidP="00AA7F20">
            <w:pPr>
              <w:pStyle w:val="08-Tabelageral"/>
              <w:spacing w:before="0" w:after="0"/>
              <w:rPr>
                <w:rFonts w:cs="Arial"/>
                <w:szCs w:val="14"/>
                <w:lang w:eastAsia="en-US"/>
              </w:rPr>
            </w:pPr>
          </w:p>
        </w:tc>
        <w:tc>
          <w:tcPr>
            <w:tcW w:w="1723" w:type="dxa"/>
            <w:tcBorders>
              <w:top w:val="nil"/>
              <w:left w:val="nil"/>
              <w:bottom w:val="nil"/>
              <w:right w:val="nil"/>
            </w:tcBorders>
            <w:vAlign w:val="center"/>
          </w:tcPr>
          <w:p w14:paraId="222EAE3A" w14:textId="77777777" w:rsidR="00AA7F20" w:rsidRDefault="00AA7F20" w:rsidP="00AA7F20">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73DE9958" w14:textId="77777777" w:rsidR="00AA7F20" w:rsidRDefault="00AA7F20" w:rsidP="00AA7F20">
            <w:pPr>
              <w:pStyle w:val="08-Tabelageral"/>
              <w:spacing w:before="0" w:after="0"/>
              <w:rPr>
                <w:rFonts w:cs="Arial"/>
                <w:szCs w:val="14"/>
                <w:lang w:eastAsia="en-US"/>
              </w:rPr>
            </w:pPr>
            <w:r>
              <w:rPr>
                <w:rFonts w:cs="Arial"/>
                <w:szCs w:val="14"/>
                <w:lang w:eastAsia="en-US"/>
              </w:rPr>
              <w:t>--</w:t>
            </w:r>
          </w:p>
        </w:tc>
        <w:tc>
          <w:tcPr>
            <w:tcW w:w="289" w:type="dxa"/>
            <w:tcBorders>
              <w:top w:val="nil"/>
              <w:left w:val="nil"/>
              <w:bottom w:val="nil"/>
              <w:right w:val="nil"/>
            </w:tcBorders>
            <w:vAlign w:val="center"/>
          </w:tcPr>
          <w:p w14:paraId="3DADC09A" w14:textId="77777777" w:rsidR="00AA7F20" w:rsidRDefault="00AA7F20" w:rsidP="00AA7F20">
            <w:pPr>
              <w:pStyle w:val="08-Tabelageral"/>
              <w:spacing w:before="0" w:after="0"/>
              <w:rPr>
                <w:rFonts w:cs="Arial"/>
                <w:szCs w:val="14"/>
                <w:lang w:eastAsia="en-US"/>
              </w:rPr>
            </w:pPr>
          </w:p>
        </w:tc>
        <w:tc>
          <w:tcPr>
            <w:tcW w:w="1398" w:type="dxa"/>
            <w:tcBorders>
              <w:top w:val="nil"/>
              <w:left w:val="nil"/>
              <w:bottom w:val="nil"/>
              <w:right w:val="nil"/>
            </w:tcBorders>
            <w:vAlign w:val="center"/>
          </w:tcPr>
          <w:p w14:paraId="4DC2A2B2" w14:textId="77777777" w:rsidR="00AA7F20" w:rsidRDefault="00AA7F20" w:rsidP="00AA7F20">
            <w:pPr>
              <w:pStyle w:val="08-Tabelageral"/>
              <w:spacing w:before="0" w:after="0"/>
              <w:rPr>
                <w:rFonts w:cs="Arial"/>
                <w:szCs w:val="14"/>
                <w:lang w:eastAsia="en-US"/>
              </w:rPr>
            </w:pPr>
          </w:p>
        </w:tc>
        <w:tc>
          <w:tcPr>
            <w:tcW w:w="1417" w:type="dxa"/>
            <w:tcBorders>
              <w:top w:val="nil"/>
              <w:left w:val="nil"/>
              <w:bottom w:val="nil"/>
              <w:right w:val="nil"/>
            </w:tcBorders>
            <w:vAlign w:val="center"/>
            <w:hideMark/>
          </w:tcPr>
          <w:p w14:paraId="3EE85CD5" w14:textId="77777777" w:rsidR="00AA7F20" w:rsidRDefault="00AA7F20" w:rsidP="00AA7F20">
            <w:pPr>
              <w:pStyle w:val="08-Tabelageral"/>
              <w:spacing w:before="0" w:after="0"/>
              <w:rPr>
                <w:rFonts w:cs="Arial"/>
                <w:szCs w:val="14"/>
                <w:lang w:eastAsia="en-US"/>
              </w:rPr>
            </w:pPr>
            <w:r>
              <w:rPr>
                <w:rFonts w:cs="Arial"/>
                <w:szCs w:val="14"/>
                <w:lang w:eastAsia="en-US"/>
              </w:rPr>
              <w:t>--</w:t>
            </w:r>
          </w:p>
        </w:tc>
      </w:tr>
      <w:tr w:rsidR="00AA7F20" w14:paraId="411DC83D" w14:textId="77777777" w:rsidTr="00AA7F20">
        <w:trPr>
          <w:trHeight w:val="238"/>
          <w:jc w:val="center"/>
        </w:trPr>
        <w:tc>
          <w:tcPr>
            <w:tcW w:w="2892" w:type="dxa"/>
            <w:tcBorders>
              <w:top w:val="nil"/>
              <w:left w:val="nil"/>
              <w:bottom w:val="nil"/>
              <w:right w:val="nil"/>
            </w:tcBorders>
            <w:vAlign w:val="center"/>
            <w:hideMark/>
          </w:tcPr>
          <w:p w14:paraId="334C4A85" w14:textId="77777777" w:rsidR="00AA7F20" w:rsidRDefault="00AA7F20" w:rsidP="00AA7F20">
            <w:pPr>
              <w:pStyle w:val="08-Tabelageral"/>
              <w:spacing w:before="0" w:after="0"/>
              <w:jc w:val="left"/>
              <w:rPr>
                <w:rFonts w:cs="Arial"/>
                <w:b/>
                <w:szCs w:val="14"/>
                <w:lang w:eastAsia="en-US"/>
              </w:rPr>
            </w:pPr>
            <w:r>
              <w:rPr>
                <w:rFonts w:cs="Arial"/>
                <w:b/>
                <w:szCs w:val="14"/>
              </w:rPr>
              <w:t>Closing balance</w:t>
            </w:r>
          </w:p>
        </w:tc>
        <w:tc>
          <w:tcPr>
            <w:tcW w:w="616" w:type="dxa"/>
            <w:tcBorders>
              <w:top w:val="nil"/>
              <w:left w:val="nil"/>
              <w:bottom w:val="nil"/>
              <w:right w:val="nil"/>
            </w:tcBorders>
            <w:vAlign w:val="center"/>
          </w:tcPr>
          <w:p w14:paraId="10D38C30"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1EB5C5F0"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3E773A04" w14:textId="77777777" w:rsidR="00AA7F20" w:rsidRDefault="00AA7F20" w:rsidP="00AA7F20">
            <w:pPr>
              <w:pStyle w:val="08-Tabelageral"/>
              <w:spacing w:before="0" w:after="0"/>
              <w:rPr>
                <w:rFonts w:cs="Arial"/>
                <w:b/>
                <w:bCs/>
                <w:szCs w:val="14"/>
                <w:lang w:eastAsia="en-US"/>
              </w:rPr>
            </w:pPr>
            <w:r>
              <w:rPr>
                <w:rFonts w:cs="Arial"/>
                <w:b/>
                <w:bCs/>
                <w:szCs w:val="14"/>
                <w:lang w:eastAsia="en-US"/>
              </w:rPr>
              <w:t>28</w:t>
            </w:r>
          </w:p>
        </w:tc>
        <w:tc>
          <w:tcPr>
            <w:tcW w:w="289" w:type="dxa"/>
            <w:tcBorders>
              <w:top w:val="nil"/>
              <w:left w:val="nil"/>
              <w:bottom w:val="nil"/>
              <w:right w:val="nil"/>
            </w:tcBorders>
            <w:vAlign w:val="center"/>
          </w:tcPr>
          <w:p w14:paraId="7EF97D45"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nil"/>
              <w:right w:val="nil"/>
            </w:tcBorders>
            <w:vAlign w:val="center"/>
          </w:tcPr>
          <w:p w14:paraId="4447CDC2"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nil"/>
              <w:right w:val="nil"/>
            </w:tcBorders>
            <w:vAlign w:val="center"/>
            <w:hideMark/>
          </w:tcPr>
          <w:p w14:paraId="11AD518A" w14:textId="77777777" w:rsidR="00AA7F20" w:rsidRDefault="00AA7F20" w:rsidP="00AA7F20">
            <w:pPr>
              <w:pStyle w:val="08-Tabelageral"/>
              <w:spacing w:before="0" w:after="0"/>
              <w:rPr>
                <w:rFonts w:cs="Arial"/>
                <w:b/>
                <w:bCs/>
                <w:szCs w:val="14"/>
                <w:lang w:eastAsia="en-US"/>
              </w:rPr>
            </w:pPr>
            <w:r>
              <w:rPr>
                <w:rFonts w:cs="Arial"/>
                <w:b/>
                <w:bCs/>
                <w:szCs w:val="14"/>
                <w:lang w:eastAsia="en-US"/>
              </w:rPr>
              <w:t>28</w:t>
            </w:r>
          </w:p>
        </w:tc>
      </w:tr>
      <w:tr w:rsidR="00AA7F20" w14:paraId="298107B8" w14:textId="77777777" w:rsidTr="00AA7F20">
        <w:trPr>
          <w:trHeight w:val="238"/>
          <w:jc w:val="center"/>
        </w:trPr>
        <w:tc>
          <w:tcPr>
            <w:tcW w:w="2892" w:type="dxa"/>
            <w:tcBorders>
              <w:top w:val="nil"/>
              <w:left w:val="nil"/>
              <w:bottom w:val="single" w:sz="2" w:space="0" w:color="1F4E79" w:themeColor="accent1" w:themeShade="80"/>
              <w:right w:val="nil"/>
            </w:tcBorders>
            <w:vAlign w:val="center"/>
            <w:hideMark/>
          </w:tcPr>
          <w:p w14:paraId="2E97B356" w14:textId="77777777" w:rsidR="00AA7F20" w:rsidRDefault="00AA7F20" w:rsidP="00AA7F20">
            <w:pPr>
              <w:pStyle w:val="08-Tabelageral"/>
              <w:spacing w:before="0" w:after="0"/>
              <w:jc w:val="left"/>
              <w:rPr>
                <w:rFonts w:cs="Arial"/>
                <w:b/>
                <w:szCs w:val="14"/>
                <w:lang w:eastAsia="en-US"/>
              </w:rPr>
            </w:pPr>
            <w:r>
              <w:rPr>
                <w:rFonts w:cs="Arial"/>
                <w:b/>
                <w:bCs/>
                <w:szCs w:val="14"/>
              </w:rPr>
              <w:t>Total</w:t>
            </w:r>
          </w:p>
        </w:tc>
        <w:tc>
          <w:tcPr>
            <w:tcW w:w="616" w:type="dxa"/>
            <w:tcBorders>
              <w:top w:val="nil"/>
              <w:left w:val="nil"/>
              <w:bottom w:val="single" w:sz="2" w:space="0" w:color="1F4E79" w:themeColor="accent1" w:themeShade="80"/>
              <w:right w:val="nil"/>
            </w:tcBorders>
            <w:vAlign w:val="center"/>
          </w:tcPr>
          <w:p w14:paraId="0CC7C8A8" w14:textId="77777777" w:rsidR="00AA7F20" w:rsidRDefault="00AA7F20" w:rsidP="00AA7F20">
            <w:pPr>
              <w:pStyle w:val="08-Tabelageral"/>
              <w:spacing w:before="0" w:after="0"/>
              <w:rPr>
                <w:rFonts w:cs="Arial"/>
                <w:b/>
                <w:bCs/>
                <w:szCs w:val="14"/>
                <w:lang w:eastAsia="en-US"/>
              </w:rPr>
            </w:pPr>
          </w:p>
        </w:tc>
        <w:tc>
          <w:tcPr>
            <w:tcW w:w="1723" w:type="dxa"/>
            <w:tcBorders>
              <w:top w:val="nil"/>
              <w:left w:val="nil"/>
              <w:bottom w:val="single" w:sz="2" w:space="0" w:color="1F4E79" w:themeColor="accent1" w:themeShade="80"/>
              <w:right w:val="nil"/>
            </w:tcBorders>
            <w:vAlign w:val="center"/>
          </w:tcPr>
          <w:p w14:paraId="67698369" w14:textId="77777777" w:rsidR="00AA7F20" w:rsidRDefault="00AA7F20" w:rsidP="00AA7F20">
            <w:pPr>
              <w:pStyle w:val="08-Tabelageral"/>
              <w:spacing w:before="0" w:after="0"/>
              <w:rPr>
                <w:rFonts w:cs="Arial"/>
                <w:b/>
                <w:bCs/>
                <w:szCs w:val="14"/>
                <w:lang w:eastAsia="en-US"/>
              </w:rPr>
            </w:pPr>
          </w:p>
        </w:tc>
        <w:tc>
          <w:tcPr>
            <w:tcW w:w="1304" w:type="dxa"/>
            <w:tcBorders>
              <w:top w:val="nil"/>
              <w:left w:val="nil"/>
              <w:bottom w:val="single" w:sz="2" w:space="0" w:color="1F4E79" w:themeColor="accent1" w:themeShade="80"/>
              <w:right w:val="nil"/>
            </w:tcBorders>
            <w:vAlign w:val="center"/>
            <w:hideMark/>
          </w:tcPr>
          <w:p w14:paraId="55E33DB1" w14:textId="77777777" w:rsidR="00AA7F20" w:rsidRDefault="00AA7F20" w:rsidP="00AA7F20">
            <w:pPr>
              <w:pStyle w:val="08-Tabelageral"/>
              <w:spacing w:before="0" w:after="0"/>
              <w:rPr>
                <w:rFonts w:cs="Arial"/>
                <w:b/>
                <w:bCs/>
                <w:szCs w:val="14"/>
                <w:lang w:eastAsia="en-US"/>
              </w:rPr>
            </w:pPr>
            <w:r>
              <w:rPr>
                <w:rFonts w:cs="Arial"/>
                <w:b/>
                <w:bCs/>
                <w:szCs w:val="14"/>
                <w:lang w:eastAsia="en-US"/>
              </w:rPr>
              <w:t>15,338</w:t>
            </w:r>
          </w:p>
        </w:tc>
        <w:tc>
          <w:tcPr>
            <w:tcW w:w="289" w:type="dxa"/>
            <w:tcBorders>
              <w:top w:val="nil"/>
              <w:left w:val="nil"/>
              <w:bottom w:val="single" w:sz="2" w:space="0" w:color="1F4E79" w:themeColor="accent1" w:themeShade="80"/>
              <w:right w:val="nil"/>
            </w:tcBorders>
            <w:vAlign w:val="center"/>
          </w:tcPr>
          <w:p w14:paraId="09C29462" w14:textId="77777777" w:rsidR="00AA7F20" w:rsidRDefault="00AA7F20" w:rsidP="00AA7F20">
            <w:pPr>
              <w:pStyle w:val="08-Tabelageral"/>
              <w:spacing w:before="0" w:after="0"/>
              <w:rPr>
                <w:rFonts w:cs="Arial"/>
                <w:b/>
                <w:bCs/>
                <w:szCs w:val="14"/>
                <w:lang w:eastAsia="en-US"/>
              </w:rPr>
            </w:pPr>
          </w:p>
        </w:tc>
        <w:tc>
          <w:tcPr>
            <w:tcW w:w="1398" w:type="dxa"/>
            <w:tcBorders>
              <w:top w:val="nil"/>
              <w:left w:val="nil"/>
              <w:bottom w:val="single" w:sz="2" w:space="0" w:color="1F4E79" w:themeColor="accent1" w:themeShade="80"/>
              <w:right w:val="nil"/>
            </w:tcBorders>
            <w:vAlign w:val="center"/>
          </w:tcPr>
          <w:p w14:paraId="08C3285B" w14:textId="77777777" w:rsidR="00AA7F20" w:rsidRDefault="00AA7F20" w:rsidP="00AA7F20">
            <w:pPr>
              <w:pStyle w:val="08-Tabelageral"/>
              <w:spacing w:before="0" w:after="0"/>
              <w:rPr>
                <w:rFonts w:cs="Arial"/>
                <w:b/>
                <w:bCs/>
                <w:szCs w:val="14"/>
                <w:lang w:eastAsia="en-US"/>
              </w:rPr>
            </w:pPr>
          </w:p>
        </w:tc>
        <w:tc>
          <w:tcPr>
            <w:tcW w:w="1417" w:type="dxa"/>
            <w:tcBorders>
              <w:top w:val="nil"/>
              <w:left w:val="nil"/>
              <w:bottom w:val="single" w:sz="2" w:space="0" w:color="1F4E79" w:themeColor="accent1" w:themeShade="80"/>
              <w:right w:val="nil"/>
            </w:tcBorders>
            <w:vAlign w:val="center"/>
            <w:hideMark/>
          </w:tcPr>
          <w:p w14:paraId="41EFD9BD" w14:textId="77777777" w:rsidR="00AA7F20" w:rsidRDefault="00AA7F20" w:rsidP="00AA7F20">
            <w:pPr>
              <w:pStyle w:val="08-Tabelageral"/>
              <w:spacing w:before="0" w:after="0"/>
              <w:rPr>
                <w:rFonts w:cs="Arial"/>
                <w:b/>
                <w:bCs/>
                <w:szCs w:val="14"/>
                <w:lang w:eastAsia="en-US"/>
              </w:rPr>
            </w:pPr>
            <w:r>
              <w:rPr>
                <w:rFonts w:cs="Arial"/>
                <w:b/>
                <w:bCs/>
                <w:szCs w:val="14"/>
                <w:lang w:eastAsia="en-US"/>
              </w:rPr>
              <w:t>15,522</w:t>
            </w:r>
          </w:p>
        </w:tc>
      </w:tr>
    </w:tbl>
    <w:p w14:paraId="5611F270" w14:textId="77777777" w:rsidR="00AA7F20" w:rsidRPr="00134726" w:rsidRDefault="00AA7F20" w:rsidP="00AA7F20">
      <w:pPr>
        <w:pStyle w:val="07-Legenda"/>
        <w:numPr>
          <w:ilvl w:val="0"/>
          <w:numId w:val="3"/>
        </w:numPr>
        <w:ind w:left="284" w:hanging="284"/>
        <w:rPr>
          <w:rFonts w:cs="Arial"/>
          <w:szCs w:val="14"/>
          <w:lang w:val="en-US"/>
        </w:rPr>
      </w:pPr>
      <w:r w:rsidRPr="00134726">
        <w:rPr>
          <w:rFonts w:cs="Arial"/>
          <w:szCs w:val="14"/>
          <w:lang w:val="en-US"/>
        </w:rPr>
        <w:t xml:space="preserve">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Quarter/</w:t>
      </w:r>
      <w:r w:rsidRPr="00134726">
        <w:rPr>
          <w:rFonts w:cs="Arial"/>
          <w:szCs w:val="14"/>
          <w:lang w:val="en-US"/>
        </w:rPr>
        <w:t>202</w:t>
      </w:r>
      <w:r>
        <w:rPr>
          <w:rFonts w:cs="Arial"/>
          <w:szCs w:val="14"/>
          <w:lang w:val="en-US"/>
        </w:rPr>
        <w:t>3</w:t>
      </w:r>
      <w:r w:rsidRPr="00134726">
        <w:rPr>
          <w:rFonts w:cs="Arial"/>
          <w:szCs w:val="14"/>
          <w:lang w:val="en-US"/>
        </w:rPr>
        <w:t xml:space="preserve"> includes the amount of R$ </w:t>
      </w:r>
      <w:r>
        <w:rPr>
          <w:rFonts w:cs="Arial"/>
          <w:szCs w:val="14"/>
          <w:lang w:val="en-US"/>
        </w:rPr>
        <w:t>340</w:t>
      </w:r>
      <w:r w:rsidRPr="00134726">
        <w:rPr>
          <w:rFonts w:cs="Arial"/>
          <w:szCs w:val="14"/>
          <w:lang w:val="en-US"/>
        </w:rPr>
        <w:t xml:space="preserve"> thousand related to monetary restatement (R$ </w:t>
      </w:r>
      <w:r>
        <w:rPr>
          <w:rFonts w:cs="Arial"/>
          <w:szCs w:val="14"/>
          <w:lang w:val="en-US"/>
        </w:rPr>
        <w:t>210</w:t>
      </w:r>
      <w:r w:rsidRPr="00134726">
        <w:rPr>
          <w:rFonts w:cs="Arial"/>
          <w:szCs w:val="14"/>
          <w:lang w:val="en-US"/>
        </w:rPr>
        <w:t xml:space="preserve"> thousand in </w:t>
      </w:r>
      <w:r>
        <w:rPr>
          <w:rFonts w:cs="Arial"/>
          <w:szCs w:val="14"/>
          <w:lang w:val="en-US"/>
        </w:rPr>
        <w:t xml:space="preserve">the </w:t>
      </w:r>
      <w:r w:rsidRPr="001D6AEE">
        <w:rPr>
          <w:rFonts w:cs="Arial"/>
          <w:szCs w:val="14"/>
          <w:lang w:val="en-US"/>
        </w:rPr>
        <w:t>1</w:t>
      </w:r>
      <w:r w:rsidRPr="001D6AEE">
        <w:rPr>
          <w:rFonts w:cs="Arial"/>
          <w:szCs w:val="14"/>
          <w:vertAlign w:val="superscript"/>
          <w:lang w:val="en-US"/>
        </w:rPr>
        <w:t>st</w:t>
      </w:r>
      <w:r w:rsidRPr="001D6AEE">
        <w:rPr>
          <w:rFonts w:cs="Arial"/>
          <w:szCs w:val="14"/>
          <w:lang w:val="en-US"/>
        </w:rPr>
        <w:t xml:space="preserve"> Quarter/</w:t>
      </w:r>
      <w:r w:rsidRPr="00134726">
        <w:rPr>
          <w:rFonts w:cs="Arial"/>
          <w:szCs w:val="14"/>
          <w:lang w:val="en-US"/>
        </w:rPr>
        <w:t>202</w:t>
      </w:r>
      <w:r>
        <w:rPr>
          <w:rFonts w:cs="Arial"/>
          <w:szCs w:val="14"/>
          <w:lang w:val="en-US"/>
        </w:rPr>
        <w:t>2</w:t>
      </w:r>
      <w:r w:rsidRPr="00134726">
        <w:rPr>
          <w:rFonts w:cs="Arial"/>
          <w:szCs w:val="14"/>
          <w:lang w:val="en-US"/>
        </w:rPr>
        <w:t>).</w:t>
      </w:r>
    </w:p>
    <w:p w14:paraId="098E8F4D" w14:textId="77777777" w:rsidR="00AA7F20" w:rsidRPr="00134726" w:rsidRDefault="00AA7F20" w:rsidP="00AA7F20">
      <w:pPr>
        <w:pStyle w:val="05-Textonormal"/>
        <w:rPr>
          <w:lang w:val="en-US"/>
        </w:rPr>
      </w:pPr>
      <w:r>
        <w:rPr>
          <w:rStyle w:val="tlid-translation"/>
          <w:lang w:val="en"/>
        </w:rPr>
        <w:t>In the 1</w:t>
      </w:r>
      <w:r w:rsidRPr="001D6AEE">
        <w:rPr>
          <w:rStyle w:val="tlid-translation"/>
          <w:vertAlign w:val="superscript"/>
          <w:lang w:val="en"/>
        </w:rPr>
        <w:t>st</w:t>
      </w:r>
      <w:r>
        <w:rPr>
          <w:rStyle w:val="tlid-translation"/>
          <w:lang w:val="en"/>
        </w:rPr>
        <w:t xml:space="preserve"> Quarter/</w:t>
      </w:r>
      <w:r w:rsidRPr="001F20F8">
        <w:rPr>
          <w:rStyle w:val="tlid-translation"/>
          <w:lang w:val="en"/>
        </w:rPr>
        <w:t>20</w:t>
      </w:r>
      <w:r>
        <w:rPr>
          <w:rStyle w:val="tlid-translation"/>
          <w:lang w:val="en"/>
        </w:rPr>
        <w:t>23</w:t>
      </w:r>
      <w:r w:rsidRPr="001F20F8">
        <w:rPr>
          <w:rStyle w:val="tlid-translation"/>
          <w:lang w:val="en"/>
        </w:rPr>
        <w:t xml:space="preserve">, </w:t>
      </w:r>
      <w:r w:rsidRPr="00BD4649">
        <w:rPr>
          <w:rStyle w:val="tlid-translation"/>
          <w:lang w:val="en"/>
        </w:rPr>
        <w:t>the amount</w:t>
      </w:r>
      <w:r>
        <w:rPr>
          <w:rStyle w:val="tlid-translation"/>
          <w:lang w:val="en"/>
        </w:rPr>
        <w:t>s of R$ 28 thousand related to L</w:t>
      </w:r>
      <w:r w:rsidRPr="00BD4649">
        <w:rPr>
          <w:rStyle w:val="tlid-translation"/>
          <w:lang w:val="en"/>
        </w:rPr>
        <w:t>abor claims</w:t>
      </w:r>
      <w:r>
        <w:rPr>
          <w:rStyle w:val="tlid-translation"/>
          <w:lang w:val="en"/>
        </w:rPr>
        <w:t xml:space="preserve"> and R$ 54 thousand related to Civil claims </w:t>
      </w:r>
      <w:r w:rsidRPr="00BD4649">
        <w:rPr>
          <w:rStyle w:val="tlid-translation"/>
          <w:lang w:val="en"/>
        </w:rPr>
        <w:t xml:space="preserve">were provisioned in the </w:t>
      </w:r>
      <w:r>
        <w:rPr>
          <w:rStyle w:val="tlid-translation"/>
          <w:lang w:val="en"/>
        </w:rPr>
        <w:t xml:space="preserve">BB Seguridade. To the </w:t>
      </w:r>
      <w:r w:rsidRPr="00A375E3">
        <w:rPr>
          <w:rStyle w:val="tlid-translation"/>
          <w:lang w:val="en"/>
        </w:rPr>
        <w:t>Tax claims there are no provisions</w:t>
      </w:r>
      <w:r w:rsidRPr="00134726">
        <w:rPr>
          <w:lang w:val="en-US"/>
        </w:rPr>
        <w:t>.</w:t>
      </w:r>
    </w:p>
    <w:p w14:paraId="3D1C43EE"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Expected outflows of economic benefits</w:t>
      </w:r>
    </w:p>
    <w:p w14:paraId="0066DBD4" w14:textId="77777777" w:rsidR="00AA7F20" w:rsidRPr="004C6ED9" w:rsidRDefault="00AA7F20" w:rsidP="00AA7F20">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18"/>
        <w:gridCol w:w="595"/>
        <w:gridCol w:w="1611"/>
        <w:gridCol w:w="1404"/>
        <w:gridCol w:w="286"/>
        <w:gridCol w:w="1409"/>
        <w:gridCol w:w="1316"/>
      </w:tblGrid>
      <w:tr w:rsidR="00AA7F20" w:rsidRPr="00225994" w14:paraId="551B3005" w14:textId="77777777" w:rsidTr="00AA7F20">
        <w:trPr>
          <w:trHeight w:val="238"/>
          <w:jc w:val="center"/>
        </w:trPr>
        <w:tc>
          <w:tcPr>
            <w:tcW w:w="3018" w:type="dxa"/>
            <w:tcBorders>
              <w:bottom w:val="single" w:sz="2" w:space="0" w:color="1F4E79" w:themeColor="accent1" w:themeShade="80"/>
            </w:tcBorders>
            <w:shd w:val="clear" w:color="auto" w:fill="auto"/>
            <w:vAlign w:val="center"/>
          </w:tcPr>
          <w:p w14:paraId="050C09BE" w14:textId="77777777" w:rsidR="00AA7F20" w:rsidRPr="00225994" w:rsidRDefault="00AA7F20" w:rsidP="00AA7F20">
            <w:pPr>
              <w:keepNext/>
              <w:keepLines/>
              <w:spacing w:before="40" w:after="40"/>
              <w:rPr>
                <w:rFonts w:cs="Arial"/>
                <w:b/>
                <w:spacing w:val="-2"/>
                <w:sz w:val="14"/>
                <w:szCs w:val="14"/>
              </w:rPr>
            </w:pPr>
          </w:p>
        </w:tc>
        <w:tc>
          <w:tcPr>
            <w:tcW w:w="595" w:type="dxa"/>
            <w:tcBorders>
              <w:bottom w:val="single" w:sz="2" w:space="0" w:color="1F4E79" w:themeColor="accent1" w:themeShade="80"/>
            </w:tcBorders>
            <w:shd w:val="clear" w:color="auto" w:fill="auto"/>
            <w:vAlign w:val="center"/>
          </w:tcPr>
          <w:p w14:paraId="39DE7A91" w14:textId="77777777" w:rsidR="00AA7F20" w:rsidRPr="00225994" w:rsidRDefault="00AA7F20" w:rsidP="00AA7F20">
            <w:pPr>
              <w:keepNext/>
              <w:keepLines/>
              <w:spacing w:before="40" w:after="40"/>
              <w:jc w:val="right"/>
              <w:rPr>
                <w:rFonts w:cs="Arial"/>
                <w:b/>
                <w:spacing w:val="-2"/>
                <w:sz w:val="14"/>
                <w:szCs w:val="14"/>
              </w:rPr>
            </w:pPr>
          </w:p>
        </w:tc>
        <w:tc>
          <w:tcPr>
            <w:tcW w:w="1611" w:type="dxa"/>
            <w:tcBorders>
              <w:bottom w:val="single" w:sz="2" w:space="0" w:color="1F4E79" w:themeColor="accent1" w:themeShade="80"/>
            </w:tcBorders>
            <w:shd w:val="clear" w:color="auto" w:fill="auto"/>
            <w:vAlign w:val="center"/>
          </w:tcPr>
          <w:p w14:paraId="2710EBE6" w14:textId="77777777" w:rsidR="00AA7F20" w:rsidRPr="00225994" w:rsidRDefault="00AA7F20" w:rsidP="00AA7F20">
            <w:pPr>
              <w:keepNext/>
              <w:keepLines/>
              <w:spacing w:before="40" w:after="40"/>
              <w:jc w:val="right"/>
              <w:rPr>
                <w:rFonts w:cs="Arial"/>
                <w:b/>
                <w:spacing w:val="-2"/>
                <w:sz w:val="14"/>
                <w:szCs w:val="14"/>
              </w:rPr>
            </w:pPr>
            <w:r>
              <w:rPr>
                <w:rFonts w:cs="Arial"/>
                <w:b/>
                <w:spacing w:val="-2"/>
                <w:sz w:val="14"/>
                <w:szCs w:val="14"/>
              </w:rPr>
              <w:t>Labor lawsuits</w:t>
            </w:r>
          </w:p>
        </w:tc>
        <w:tc>
          <w:tcPr>
            <w:tcW w:w="1404" w:type="dxa"/>
            <w:tcBorders>
              <w:bottom w:val="single" w:sz="2" w:space="0" w:color="1F4E79" w:themeColor="accent1" w:themeShade="80"/>
            </w:tcBorders>
            <w:shd w:val="clear" w:color="auto" w:fill="auto"/>
            <w:vAlign w:val="center"/>
          </w:tcPr>
          <w:p w14:paraId="4F36945F" w14:textId="77777777" w:rsidR="00AA7F20" w:rsidRPr="00225994" w:rsidRDefault="00AA7F20" w:rsidP="00AA7F20">
            <w:pPr>
              <w:keepNext/>
              <w:keepLines/>
              <w:spacing w:before="40" w:after="40"/>
              <w:jc w:val="right"/>
              <w:rPr>
                <w:rFonts w:cs="Arial"/>
                <w:b/>
                <w:spacing w:val="-2"/>
                <w:sz w:val="14"/>
                <w:szCs w:val="14"/>
              </w:rPr>
            </w:pPr>
            <w:r>
              <w:rPr>
                <w:rFonts w:cs="Arial"/>
                <w:b/>
                <w:spacing w:val="-2"/>
                <w:sz w:val="14"/>
                <w:szCs w:val="14"/>
              </w:rPr>
              <w:t>Tax lawsuits</w:t>
            </w:r>
          </w:p>
        </w:tc>
        <w:tc>
          <w:tcPr>
            <w:tcW w:w="286" w:type="dxa"/>
            <w:tcBorders>
              <w:bottom w:val="single" w:sz="2" w:space="0" w:color="1F4E79" w:themeColor="accent1" w:themeShade="80"/>
            </w:tcBorders>
            <w:shd w:val="clear" w:color="auto" w:fill="auto"/>
            <w:vAlign w:val="center"/>
          </w:tcPr>
          <w:p w14:paraId="7BE6D4BA" w14:textId="77777777" w:rsidR="00AA7F20" w:rsidRPr="00225994" w:rsidRDefault="00AA7F20" w:rsidP="00AA7F20">
            <w:pPr>
              <w:keepNext/>
              <w:keepLines/>
              <w:spacing w:before="40" w:after="40"/>
              <w:jc w:val="right"/>
              <w:rPr>
                <w:rFonts w:cs="Arial"/>
                <w:b/>
                <w:spacing w:val="-2"/>
                <w:sz w:val="14"/>
                <w:szCs w:val="14"/>
              </w:rPr>
            </w:pPr>
          </w:p>
        </w:tc>
        <w:tc>
          <w:tcPr>
            <w:tcW w:w="1409" w:type="dxa"/>
            <w:tcBorders>
              <w:bottom w:val="single" w:sz="2" w:space="0" w:color="1F4E79" w:themeColor="accent1" w:themeShade="80"/>
            </w:tcBorders>
            <w:shd w:val="clear" w:color="auto" w:fill="auto"/>
            <w:vAlign w:val="center"/>
          </w:tcPr>
          <w:p w14:paraId="617BEA11" w14:textId="77777777" w:rsidR="00AA7F20" w:rsidRPr="00225994" w:rsidRDefault="00AA7F20" w:rsidP="00AA7F20">
            <w:pPr>
              <w:keepNext/>
              <w:keepLines/>
              <w:spacing w:before="40" w:after="40"/>
              <w:jc w:val="right"/>
              <w:rPr>
                <w:rFonts w:cs="Arial"/>
                <w:b/>
                <w:spacing w:val="-2"/>
                <w:sz w:val="14"/>
                <w:szCs w:val="14"/>
              </w:rPr>
            </w:pPr>
            <w:r>
              <w:rPr>
                <w:rFonts w:cs="Arial"/>
                <w:b/>
                <w:spacing w:val="-2"/>
                <w:sz w:val="14"/>
                <w:szCs w:val="14"/>
              </w:rPr>
              <w:t>Civil lawsuits</w:t>
            </w:r>
          </w:p>
        </w:tc>
        <w:tc>
          <w:tcPr>
            <w:tcW w:w="1316" w:type="dxa"/>
            <w:tcBorders>
              <w:bottom w:val="single" w:sz="2" w:space="0" w:color="1F4E79" w:themeColor="accent1" w:themeShade="80"/>
            </w:tcBorders>
            <w:shd w:val="clear" w:color="auto" w:fill="auto"/>
            <w:vAlign w:val="center"/>
          </w:tcPr>
          <w:p w14:paraId="69CF69D0" w14:textId="77777777" w:rsidR="00AA7F20" w:rsidRPr="00225994" w:rsidRDefault="00AA7F20" w:rsidP="00AA7F20">
            <w:pPr>
              <w:keepNext/>
              <w:keepLines/>
              <w:spacing w:before="40" w:after="40"/>
              <w:jc w:val="right"/>
              <w:rPr>
                <w:rFonts w:cs="Arial"/>
                <w:b/>
                <w:spacing w:val="-2"/>
                <w:sz w:val="14"/>
                <w:szCs w:val="14"/>
              </w:rPr>
            </w:pPr>
            <w:r w:rsidRPr="00225994">
              <w:rPr>
                <w:rFonts w:cs="Arial"/>
                <w:b/>
                <w:spacing w:val="-2"/>
                <w:sz w:val="14"/>
                <w:szCs w:val="14"/>
              </w:rPr>
              <w:t>Total</w:t>
            </w:r>
          </w:p>
        </w:tc>
      </w:tr>
      <w:tr w:rsidR="00AA7F20" w:rsidRPr="00552C1B" w14:paraId="40864A72" w14:textId="77777777" w:rsidTr="00AA7F20">
        <w:trPr>
          <w:trHeight w:val="238"/>
          <w:jc w:val="center"/>
        </w:trPr>
        <w:tc>
          <w:tcPr>
            <w:tcW w:w="3018" w:type="dxa"/>
            <w:tcBorders>
              <w:bottom w:val="nil"/>
            </w:tcBorders>
            <w:shd w:val="clear" w:color="auto" w:fill="auto"/>
            <w:vAlign w:val="center"/>
          </w:tcPr>
          <w:p w14:paraId="0F0E1965" w14:textId="77777777" w:rsidR="00AA7F20" w:rsidRPr="0065135B" w:rsidRDefault="00AA7F20" w:rsidP="00AA7F20">
            <w:pPr>
              <w:pStyle w:val="08-Tabelageral"/>
              <w:jc w:val="left"/>
              <w:rPr>
                <w:rFonts w:cs="Arial"/>
                <w:szCs w:val="14"/>
              </w:rPr>
            </w:pPr>
            <w:r>
              <w:rPr>
                <w:rFonts w:cs="Arial"/>
                <w:szCs w:val="14"/>
              </w:rPr>
              <w:t>Up to 5</w:t>
            </w:r>
            <w:r w:rsidRPr="00552C1B">
              <w:rPr>
                <w:rFonts w:cs="Arial"/>
                <w:szCs w:val="14"/>
              </w:rPr>
              <w:t xml:space="preserve"> </w:t>
            </w:r>
            <w:r>
              <w:rPr>
                <w:rFonts w:cs="Arial"/>
                <w:szCs w:val="14"/>
              </w:rPr>
              <w:t>years</w:t>
            </w:r>
          </w:p>
        </w:tc>
        <w:tc>
          <w:tcPr>
            <w:tcW w:w="595" w:type="dxa"/>
            <w:tcBorders>
              <w:bottom w:val="nil"/>
            </w:tcBorders>
            <w:shd w:val="clear" w:color="auto" w:fill="auto"/>
            <w:vAlign w:val="center"/>
          </w:tcPr>
          <w:p w14:paraId="2AF0E88C" w14:textId="77777777" w:rsidR="00AA7F20" w:rsidRPr="00552C1B" w:rsidRDefault="00AA7F20" w:rsidP="00AA7F20">
            <w:pPr>
              <w:pStyle w:val="08-Tabelageral"/>
              <w:rPr>
                <w:rFonts w:cs="Arial"/>
                <w:szCs w:val="14"/>
              </w:rPr>
            </w:pPr>
          </w:p>
        </w:tc>
        <w:tc>
          <w:tcPr>
            <w:tcW w:w="1611" w:type="dxa"/>
            <w:tcBorders>
              <w:top w:val="single" w:sz="2" w:space="0" w:color="1F4E79" w:themeColor="accent1" w:themeShade="80"/>
              <w:left w:val="nil"/>
              <w:bottom w:val="nil"/>
              <w:right w:val="nil"/>
            </w:tcBorders>
          </w:tcPr>
          <w:p w14:paraId="771606D1" w14:textId="77777777" w:rsidR="00AA7F20" w:rsidRPr="00552C1B" w:rsidRDefault="00AA7F20" w:rsidP="00AA7F20">
            <w:pPr>
              <w:pStyle w:val="08-Tabelageral"/>
              <w:rPr>
                <w:rFonts w:cs="Arial"/>
                <w:szCs w:val="14"/>
              </w:rPr>
            </w:pPr>
            <w:r>
              <w:rPr>
                <w:rFonts w:cs="Arial"/>
                <w:szCs w:val="14"/>
                <w:lang w:eastAsia="en-US"/>
              </w:rPr>
              <w:t>28</w:t>
            </w:r>
          </w:p>
        </w:tc>
        <w:tc>
          <w:tcPr>
            <w:tcW w:w="1404" w:type="dxa"/>
            <w:tcBorders>
              <w:top w:val="single" w:sz="2" w:space="0" w:color="1F4E79" w:themeColor="accent1" w:themeShade="80"/>
              <w:left w:val="nil"/>
              <w:bottom w:val="nil"/>
              <w:right w:val="nil"/>
            </w:tcBorders>
          </w:tcPr>
          <w:p w14:paraId="23107677" w14:textId="77777777" w:rsidR="00AA7F20" w:rsidRPr="00552C1B" w:rsidRDefault="00AA7F20" w:rsidP="00AA7F20">
            <w:pPr>
              <w:pStyle w:val="08-Tabelageral"/>
              <w:rPr>
                <w:rFonts w:cs="Arial"/>
                <w:szCs w:val="14"/>
              </w:rPr>
            </w:pPr>
            <w:r>
              <w:rPr>
                <w:rFonts w:cs="Arial"/>
                <w:szCs w:val="14"/>
                <w:lang w:eastAsia="en-US"/>
              </w:rPr>
              <w:t>6</w:t>
            </w:r>
          </w:p>
        </w:tc>
        <w:tc>
          <w:tcPr>
            <w:tcW w:w="286" w:type="dxa"/>
            <w:tcBorders>
              <w:top w:val="single" w:sz="2" w:space="0" w:color="1F4E79" w:themeColor="accent1" w:themeShade="80"/>
              <w:left w:val="nil"/>
              <w:bottom w:val="nil"/>
              <w:right w:val="nil"/>
            </w:tcBorders>
          </w:tcPr>
          <w:p w14:paraId="499D747E" w14:textId="77777777" w:rsidR="00AA7F20" w:rsidRPr="00552C1B" w:rsidRDefault="00AA7F20" w:rsidP="00AA7F20">
            <w:pPr>
              <w:pStyle w:val="08-Tabelageral"/>
              <w:rPr>
                <w:rFonts w:cs="Arial"/>
                <w:szCs w:val="14"/>
              </w:rPr>
            </w:pPr>
          </w:p>
        </w:tc>
        <w:tc>
          <w:tcPr>
            <w:tcW w:w="1409" w:type="dxa"/>
            <w:tcBorders>
              <w:top w:val="single" w:sz="2" w:space="0" w:color="1F4E79" w:themeColor="accent1" w:themeShade="80"/>
              <w:left w:val="nil"/>
              <w:bottom w:val="nil"/>
              <w:right w:val="nil"/>
            </w:tcBorders>
          </w:tcPr>
          <w:p w14:paraId="388AE7A1" w14:textId="77777777" w:rsidR="00AA7F20" w:rsidRPr="00552C1B" w:rsidRDefault="00AA7F20" w:rsidP="00AA7F20">
            <w:pPr>
              <w:pStyle w:val="08-Tabelageral"/>
              <w:rPr>
                <w:rFonts w:cs="Arial"/>
                <w:szCs w:val="14"/>
              </w:rPr>
            </w:pPr>
            <w:r>
              <w:rPr>
                <w:rFonts w:cs="Arial"/>
                <w:szCs w:val="14"/>
                <w:lang w:eastAsia="en-US"/>
              </w:rPr>
              <w:t>13,748</w:t>
            </w:r>
          </w:p>
        </w:tc>
        <w:tc>
          <w:tcPr>
            <w:tcW w:w="1316" w:type="dxa"/>
            <w:tcBorders>
              <w:top w:val="single" w:sz="2" w:space="0" w:color="1F4E79" w:themeColor="accent1" w:themeShade="80"/>
              <w:left w:val="nil"/>
              <w:bottom w:val="nil"/>
              <w:right w:val="nil"/>
            </w:tcBorders>
            <w:vAlign w:val="center"/>
          </w:tcPr>
          <w:p w14:paraId="43E4EDDF" w14:textId="77777777" w:rsidR="00AA7F20" w:rsidRPr="00552C1B" w:rsidRDefault="00AA7F20" w:rsidP="00AA7F20">
            <w:pPr>
              <w:pStyle w:val="08-Tabelageral"/>
              <w:ind w:left="613"/>
              <w:rPr>
                <w:rFonts w:cs="Arial"/>
                <w:b/>
                <w:szCs w:val="14"/>
              </w:rPr>
            </w:pPr>
            <w:r>
              <w:rPr>
                <w:rFonts w:cs="Arial"/>
                <w:b/>
                <w:szCs w:val="14"/>
                <w:lang w:eastAsia="en-US"/>
              </w:rPr>
              <w:t>13,782</w:t>
            </w:r>
          </w:p>
        </w:tc>
      </w:tr>
      <w:tr w:rsidR="00AA7F20" w:rsidRPr="00552C1B" w14:paraId="5355C2B3" w14:textId="77777777" w:rsidTr="00AA7F20">
        <w:trPr>
          <w:trHeight w:val="238"/>
          <w:jc w:val="center"/>
        </w:trPr>
        <w:tc>
          <w:tcPr>
            <w:tcW w:w="3018" w:type="dxa"/>
            <w:tcBorders>
              <w:top w:val="nil"/>
              <w:bottom w:val="nil"/>
            </w:tcBorders>
            <w:shd w:val="clear" w:color="auto" w:fill="auto"/>
            <w:vAlign w:val="center"/>
          </w:tcPr>
          <w:p w14:paraId="7AE2C75C" w14:textId="77777777" w:rsidR="00AA7F20" w:rsidRPr="00134726" w:rsidRDefault="00AA7F20" w:rsidP="00AA7F20">
            <w:pPr>
              <w:pStyle w:val="08-Tabelageral"/>
              <w:jc w:val="left"/>
              <w:rPr>
                <w:rFonts w:cs="Arial"/>
                <w:szCs w:val="14"/>
                <w:lang w:val="en-US"/>
              </w:rPr>
            </w:pPr>
            <w:r w:rsidRPr="00134726">
              <w:rPr>
                <w:rFonts w:cs="Arial"/>
                <w:szCs w:val="14"/>
                <w:lang w:val="en-US"/>
              </w:rPr>
              <w:t>More than 5 years and up to 10 years</w:t>
            </w:r>
          </w:p>
        </w:tc>
        <w:tc>
          <w:tcPr>
            <w:tcW w:w="595" w:type="dxa"/>
            <w:tcBorders>
              <w:top w:val="nil"/>
              <w:bottom w:val="nil"/>
            </w:tcBorders>
            <w:shd w:val="clear" w:color="auto" w:fill="auto"/>
            <w:vAlign w:val="center"/>
          </w:tcPr>
          <w:p w14:paraId="69070D5B" w14:textId="77777777" w:rsidR="00AA7F20" w:rsidRPr="00134726" w:rsidRDefault="00AA7F20" w:rsidP="00AA7F20">
            <w:pPr>
              <w:pStyle w:val="08-Tabelageral"/>
              <w:rPr>
                <w:rFonts w:cs="Arial"/>
                <w:szCs w:val="14"/>
                <w:lang w:val="en-US"/>
              </w:rPr>
            </w:pPr>
          </w:p>
        </w:tc>
        <w:tc>
          <w:tcPr>
            <w:tcW w:w="1611" w:type="dxa"/>
            <w:tcBorders>
              <w:top w:val="nil"/>
              <w:left w:val="nil"/>
              <w:bottom w:val="nil"/>
              <w:right w:val="nil"/>
            </w:tcBorders>
          </w:tcPr>
          <w:p w14:paraId="4E983C7E" w14:textId="77777777" w:rsidR="00AA7F20" w:rsidRPr="00552C1B" w:rsidRDefault="00AA7F20" w:rsidP="00AA7F20">
            <w:pPr>
              <w:pStyle w:val="08-Tabelageral"/>
              <w:rPr>
                <w:rFonts w:cs="Arial"/>
                <w:szCs w:val="14"/>
              </w:rPr>
            </w:pPr>
            <w:r>
              <w:rPr>
                <w:rFonts w:cs="Arial"/>
                <w:szCs w:val="14"/>
                <w:lang w:eastAsia="en-US"/>
              </w:rPr>
              <w:t>--</w:t>
            </w:r>
          </w:p>
        </w:tc>
        <w:tc>
          <w:tcPr>
            <w:tcW w:w="1404" w:type="dxa"/>
            <w:tcBorders>
              <w:top w:val="nil"/>
              <w:left w:val="nil"/>
              <w:bottom w:val="nil"/>
              <w:right w:val="nil"/>
            </w:tcBorders>
          </w:tcPr>
          <w:p w14:paraId="41557ED9" w14:textId="77777777" w:rsidR="00AA7F20" w:rsidRPr="00552C1B" w:rsidRDefault="00AA7F20" w:rsidP="00AA7F20">
            <w:pPr>
              <w:pStyle w:val="08-Tabelageral"/>
              <w:rPr>
                <w:rFonts w:cs="Arial"/>
                <w:szCs w:val="14"/>
              </w:rPr>
            </w:pPr>
            <w:r>
              <w:rPr>
                <w:rFonts w:cs="Arial"/>
                <w:szCs w:val="14"/>
                <w:lang w:eastAsia="en-US"/>
              </w:rPr>
              <w:t>--</w:t>
            </w:r>
          </w:p>
        </w:tc>
        <w:tc>
          <w:tcPr>
            <w:tcW w:w="286" w:type="dxa"/>
            <w:tcBorders>
              <w:top w:val="nil"/>
              <w:left w:val="nil"/>
              <w:bottom w:val="nil"/>
              <w:right w:val="nil"/>
            </w:tcBorders>
          </w:tcPr>
          <w:p w14:paraId="07F012D8" w14:textId="77777777" w:rsidR="00AA7F20" w:rsidRPr="00552C1B" w:rsidRDefault="00AA7F20" w:rsidP="00AA7F20">
            <w:pPr>
              <w:pStyle w:val="08-Tabelageral"/>
              <w:rPr>
                <w:rFonts w:cs="Arial"/>
                <w:szCs w:val="14"/>
              </w:rPr>
            </w:pPr>
          </w:p>
        </w:tc>
        <w:tc>
          <w:tcPr>
            <w:tcW w:w="1409" w:type="dxa"/>
            <w:tcBorders>
              <w:top w:val="nil"/>
              <w:left w:val="nil"/>
              <w:bottom w:val="nil"/>
              <w:right w:val="nil"/>
            </w:tcBorders>
          </w:tcPr>
          <w:p w14:paraId="200F8AF0" w14:textId="77777777" w:rsidR="00AA7F20" w:rsidRPr="00552C1B" w:rsidRDefault="00AA7F20" w:rsidP="00AA7F20">
            <w:pPr>
              <w:pStyle w:val="08-Tabelageral"/>
              <w:rPr>
                <w:rFonts w:cs="Arial"/>
                <w:szCs w:val="14"/>
              </w:rPr>
            </w:pPr>
            <w:r>
              <w:rPr>
                <w:rFonts w:cs="Arial"/>
                <w:szCs w:val="14"/>
                <w:lang w:eastAsia="en-US"/>
              </w:rPr>
              <w:t>1,396</w:t>
            </w:r>
          </w:p>
        </w:tc>
        <w:tc>
          <w:tcPr>
            <w:tcW w:w="1316" w:type="dxa"/>
            <w:tcBorders>
              <w:top w:val="nil"/>
              <w:left w:val="nil"/>
              <w:bottom w:val="nil"/>
              <w:right w:val="nil"/>
            </w:tcBorders>
          </w:tcPr>
          <w:p w14:paraId="0F51E1F2" w14:textId="77777777" w:rsidR="00AA7F20" w:rsidRPr="00552C1B" w:rsidRDefault="00AA7F20" w:rsidP="00AA7F20">
            <w:pPr>
              <w:pStyle w:val="08-Tabelageral"/>
              <w:rPr>
                <w:rFonts w:cs="Arial"/>
                <w:b/>
                <w:szCs w:val="14"/>
              </w:rPr>
            </w:pPr>
            <w:r>
              <w:rPr>
                <w:rFonts w:cs="Arial"/>
                <w:b/>
                <w:szCs w:val="14"/>
                <w:lang w:eastAsia="en-US"/>
              </w:rPr>
              <w:t>1,396</w:t>
            </w:r>
          </w:p>
        </w:tc>
      </w:tr>
      <w:tr w:rsidR="00AA7F20" w:rsidRPr="00552C1B" w14:paraId="27390AB4" w14:textId="77777777" w:rsidTr="00AA7F20">
        <w:trPr>
          <w:trHeight w:val="238"/>
          <w:jc w:val="center"/>
        </w:trPr>
        <w:tc>
          <w:tcPr>
            <w:tcW w:w="3018" w:type="dxa"/>
            <w:tcBorders>
              <w:top w:val="nil"/>
              <w:bottom w:val="nil"/>
            </w:tcBorders>
            <w:shd w:val="clear" w:color="auto" w:fill="auto"/>
            <w:vAlign w:val="center"/>
          </w:tcPr>
          <w:p w14:paraId="1C1B394D" w14:textId="77777777" w:rsidR="00AA7F20" w:rsidRPr="0065135B" w:rsidRDefault="00AA7F20" w:rsidP="00AA7F20">
            <w:pPr>
              <w:pStyle w:val="08-Tabelageral"/>
              <w:jc w:val="left"/>
              <w:rPr>
                <w:rFonts w:cs="Arial"/>
                <w:szCs w:val="14"/>
              </w:rPr>
            </w:pPr>
            <w:r>
              <w:rPr>
                <w:rFonts w:cs="Arial"/>
                <w:szCs w:val="14"/>
              </w:rPr>
              <w:t xml:space="preserve">Over </w:t>
            </w:r>
            <w:r w:rsidRPr="00552C1B">
              <w:rPr>
                <w:rFonts w:cs="Arial"/>
                <w:szCs w:val="14"/>
              </w:rPr>
              <w:t xml:space="preserve">10 </w:t>
            </w:r>
            <w:r>
              <w:rPr>
                <w:rFonts w:cs="Arial"/>
                <w:szCs w:val="14"/>
              </w:rPr>
              <w:t>years</w:t>
            </w:r>
          </w:p>
        </w:tc>
        <w:tc>
          <w:tcPr>
            <w:tcW w:w="595" w:type="dxa"/>
            <w:tcBorders>
              <w:top w:val="nil"/>
              <w:bottom w:val="nil"/>
            </w:tcBorders>
            <w:shd w:val="clear" w:color="auto" w:fill="auto"/>
            <w:vAlign w:val="center"/>
          </w:tcPr>
          <w:p w14:paraId="5B720481" w14:textId="77777777" w:rsidR="00AA7F20" w:rsidRPr="00552C1B" w:rsidRDefault="00AA7F20" w:rsidP="00AA7F20">
            <w:pPr>
              <w:pStyle w:val="08-Tabelageral"/>
              <w:rPr>
                <w:rFonts w:cs="Arial"/>
                <w:szCs w:val="14"/>
              </w:rPr>
            </w:pPr>
          </w:p>
        </w:tc>
        <w:tc>
          <w:tcPr>
            <w:tcW w:w="1611" w:type="dxa"/>
            <w:tcBorders>
              <w:top w:val="nil"/>
              <w:left w:val="nil"/>
              <w:bottom w:val="nil"/>
              <w:right w:val="nil"/>
            </w:tcBorders>
          </w:tcPr>
          <w:p w14:paraId="4023B848" w14:textId="77777777" w:rsidR="00AA7F20" w:rsidRPr="00552C1B" w:rsidRDefault="00AA7F20" w:rsidP="00AA7F20">
            <w:pPr>
              <w:pStyle w:val="08-Tabelageral"/>
              <w:rPr>
                <w:rFonts w:cs="Arial"/>
                <w:szCs w:val="14"/>
              </w:rPr>
            </w:pPr>
            <w:r>
              <w:rPr>
                <w:rFonts w:cs="Arial"/>
                <w:szCs w:val="14"/>
                <w:lang w:eastAsia="en-US"/>
              </w:rPr>
              <w:t>--</w:t>
            </w:r>
          </w:p>
        </w:tc>
        <w:tc>
          <w:tcPr>
            <w:tcW w:w="1404" w:type="dxa"/>
            <w:tcBorders>
              <w:top w:val="nil"/>
              <w:left w:val="nil"/>
              <w:bottom w:val="nil"/>
              <w:right w:val="nil"/>
            </w:tcBorders>
          </w:tcPr>
          <w:p w14:paraId="35617FD1" w14:textId="77777777" w:rsidR="00AA7F20" w:rsidRPr="00552C1B" w:rsidRDefault="00AA7F20" w:rsidP="00AA7F20">
            <w:pPr>
              <w:pStyle w:val="08-Tabelageral"/>
              <w:rPr>
                <w:rFonts w:cs="Arial"/>
                <w:szCs w:val="14"/>
              </w:rPr>
            </w:pPr>
            <w:r>
              <w:rPr>
                <w:rFonts w:cs="Arial"/>
                <w:szCs w:val="14"/>
                <w:lang w:eastAsia="en-US"/>
              </w:rPr>
              <w:t>1</w:t>
            </w:r>
          </w:p>
        </w:tc>
        <w:tc>
          <w:tcPr>
            <w:tcW w:w="286" w:type="dxa"/>
            <w:tcBorders>
              <w:top w:val="nil"/>
              <w:left w:val="nil"/>
              <w:bottom w:val="nil"/>
              <w:right w:val="nil"/>
            </w:tcBorders>
          </w:tcPr>
          <w:p w14:paraId="787150B6" w14:textId="77777777" w:rsidR="00AA7F20" w:rsidRPr="00552C1B" w:rsidRDefault="00AA7F20" w:rsidP="00AA7F20">
            <w:pPr>
              <w:pStyle w:val="08-Tabelageral"/>
              <w:rPr>
                <w:rFonts w:cs="Arial"/>
                <w:szCs w:val="14"/>
              </w:rPr>
            </w:pPr>
          </w:p>
        </w:tc>
        <w:tc>
          <w:tcPr>
            <w:tcW w:w="1409" w:type="dxa"/>
            <w:tcBorders>
              <w:top w:val="nil"/>
              <w:left w:val="nil"/>
              <w:bottom w:val="nil"/>
              <w:right w:val="nil"/>
            </w:tcBorders>
          </w:tcPr>
          <w:p w14:paraId="2E324384" w14:textId="77777777" w:rsidR="00AA7F20" w:rsidRPr="00552C1B" w:rsidRDefault="00AA7F20" w:rsidP="00AA7F20">
            <w:pPr>
              <w:pStyle w:val="08-Tabelageral"/>
              <w:rPr>
                <w:rFonts w:cs="Arial"/>
                <w:szCs w:val="14"/>
              </w:rPr>
            </w:pPr>
            <w:r>
              <w:rPr>
                <w:rFonts w:cs="Arial"/>
                <w:szCs w:val="14"/>
                <w:lang w:eastAsia="en-US"/>
              </w:rPr>
              <w:t>159</w:t>
            </w:r>
          </w:p>
        </w:tc>
        <w:tc>
          <w:tcPr>
            <w:tcW w:w="1316" w:type="dxa"/>
            <w:tcBorders>
              <w:top w:val="nil"/>
              <w:left w:val="nil"/>
              <w:bottom w:val="nil"/>
              <w:right w:val="nil"/>
            </w:tcBorders>
          </w:tcPr>
          <w:p w14:paraId="5954D9EC" w14:textId="77777777" w:rsidR="00AA7F20" w:rsidRPr="00552C1B" w:rsidRDefault="00AA7F20" w:rsidP="00AA7F20">
            <w:pPr>
              <w:pStyle w:val="08-Tabelageral"/>
              <w:rPr>
                <w:rFonts w:cs="Arial"/>
                <w:b/>
                <w:szCs w:val="14"/>
              </w:rPr>
            </w:pPr>
            <w:r>
              <w:rPr>
                <w:rFonts w:cs="Arial"/>
                <w:b/>
                <w:szCs w:val="14"/>
                <w:lang w:eastAsia="en-US"/>
              </w:rPr>
              <w:t>160</w:t>
            </w:r>
          </w:p>
        </w:tc>
      </w:tr>
      <w:tr w:rsidR="00AA7F20" w:rsidRPr="00225994" w14:paraId="069043EF" w14:textId="77777777" w:rsidTr="00AA7F20">
        <w:trPr>
          <w:trHeight w:val="238"/>
          <w:jc w:val="center"/>
        </w:trPr>
        <w:tc>
          <w:tcPr>
            <w:tcW w:w="3018" w:type="dxa"/>
            <w:tcBorders>
              <w:top w:val="nil"/>
            </w:tcBorders>
            <w:shd w:val="clear" w:color="auto" w:fill="auto"/>
            <w:vAlign w:val="center"/>
          </w:tcPr>
          <w:p w14:paraId="525C584E" w14:textId="77777777" w:rsidR="00AA7F20" w:rsidRPr="00552C1B" w:rsidRDefault="00AA7F20" w:rsidP="00AA7F20">
            <w:pPr>
              <w:keepNext/>
              <w:keepLines/>
              <w:spacing w:before="40" w:after="40" w:line="240" w:lineRule="auto"/>
              <w:rPr>
                <w:rFonts w:cs="Arial"/>
                <w:b/>
                <w:bCs/>
                <w:spacing w:val="-2"/>
                <w:sz w:val="14"/>
                <w:szCs w:val="14"/>
              </w:rPr>
            </w:pPr>
            <w:r w:rsidRPr="00552C1B">
              <w:rPr>
                <w:rFonts w:cs="Arial"/>
                <w:b/>
                <w:spacing w:val="-2"/>
                <w:sz w:val="14"/>
                <w:szCs w:val="14"/>
              </w:rPr>
              <w:t>Total</w:t>
            </w:r>
          </w:p>
        </w:tc>
        <w:tc>
          <w:tcPr>
            <w:tcW w:w="595" w:type="dxa"/>
            <w:tcBorders>
              <w:top w:val="nil"/>
            </w:tcBorders>
            <w:shd w:val="clear" w:color="auto" w:fill="auto"/>
            <w:vAlign w:val="center"/>
          </w:tcPr>
          <w:p w14:paraId="3BB49C07" w14:textId="77777777" w:rsidR="00AA7F20" w:rsidRPr="00552C1B" w:rsidRDefault="00AA7F20" w:rsidP="00AA7F20">
            <w:pPr>
              <w:pStyle w:val="08-Tabelageral"/>
              <w:rPr>
                <w:rFonts w:cs="Arial"/>
                <w:b/>
                <w:szCs w:val="14"/>
              </w:rPr>
            </w:pPr>
          </w:p>
        </w:tc>
        <w:tc>
          <w:tcPr>
            <w:tcW w:w="1611" w:type="dxa"/>
            <w:tcBorders>
              <w:top w:val="nil"/>
              <w:left w:val="nil"/>
              <w:bottom w:val="single" w:sz="4" w:space="0" w:color="auto"/>
              <w:right w:val="nil"/>
            </w:tcBorders>
          </w:tcPr>
          <w:p w14:paraId="1AD27D68" w14:textId="77777777" w:rsidR="00AA7F20" w:rsidRPr="00552C1B" w:rsidRDefault="00AA7F20" w:rsidP="00AA7F20">
            <w:pPr>
              <w:pStyle w:val="08-Tabelageral"/>
              <w:rPr>
                <w:rFonts w:cs="Arial"/>
                <w:b/>
                <w:szCs w:val="14"/>
              </w:rPr>
            </w:pPr>
            <w:r>
              <w:rPr>
                <w:rFonts w:cs="Arial"/>
                <w:b/>
                <w:szCs w:val="14"/>
                <w:lang w:eastAsia="en-US"/>
              </w:rPr>
              <w:t>28</w:t>
            </w:r>
          </w:p>
        </w:tc>
        <w:tc>
          <w:tcPr>
            <w:tcW w:w="1404" w:type="dxa"/>
            <w:tcBorders>
              <w:top w:val="nil"/>
              <w:left w:val="nil"/>
              <w:bottom w:val="single" w:sz="4" w:space="0" w:color="auto"/>
              <w:right w:val="nil"/>
            </w:tcBorders>
          </w:tcPr>
          <w:p w14:paraId="1821AF7D" w14:textId="77777777" w:rsidR="00AA7F20" w:rsidRPr="00552C1B" w:rsidRDefault="00AA7F20" w:rsidP="00AA7F20">
            <w:pPr>
              <w:pStyle w:val="08-Tabelageral"/>
              <w:rPr>
                <w:rFonts w:cs="Arial"/>
                <w:b/>
                <w:szCs w:val="14"/>
              </w:rPr>
            </w:pPr>
            <w:r>
              <w:rPr>
                <w:rFonts w:cs="Arial"/>
                <w:b/>
                <w:szCs w:val="14"/>
                <w:lang w:eastAsia="en-US"/>
              </w:rPr>
              <w:t>7</w:t>
            </w:r>
          </w:p>
        </w:tc>
        <w:tc>
          <w:tcPr>
            <w:tcW w:w="286" w:type="dxa"/>
            <w:tcBorders>
              <w:top w:val="nil"/>
              <w:left w:val="nil"/>
              <w:bottom w:val="single" w:sz="4" w:space="0" w:color="auto"/>
              <w:right w:val="nil"/>
            </w:tcBorders>
          </w:tcPr>
          <w:p w14:paraId="5F56046F" w14:textId="77777777" w:rsidR="00AA7F20" w:rsidRPr="00552C1B" w:rsidRDefault="00AA7F20" w:rsidP="00AA7F20">
            <w:pPr>
              <w:pStyle w:val="08-Tabelageral"/>
              <w:rPr>
                <w:rFonts w:cs="Arial"/>
                <w:b/>
                <w:szCs w:val="14"/>
              </w:rPr>
            </w:pPr>
          </w:p>
        </w:tc>
        <w:tc>
          <w:tcPr>
            <w:tcW w:w="1409" w:type="dxa"/>
            <w:tcBorders>
              <w:top w:val="nil"/>
              <w:left w:val="nil"/>
              <w:bottom w:val="single" w:sz="4" w:space="0" w:color="auto"/>
              <w:right w:val="nil"/>
            </w:tcBorders>
          </w:tcPr>
          <w:p w14:paraId="01F4EEBE" w14:textId="77777777" w:rsidR="00AA7F20" w:rsidRPr="00552C1B" w:rsidRDefault="00AA7F20" w:rsidP="00AA7F20">
            <w:pPr>
              <w:pStyle w:val="08-Tabelageral"/>
              <w:spacing w:line="256" w:lineRule="auto"/>
              <w:rPr>
                <w:rFonts w:cs="Arial"/>
                <w:b/>
                <w:szCs w:val="14"/>
                <w:lang w:eastAsia="en-US"/>
              </w:rPr>
            </w:pPr>
            <w:r>
              <w:rPr>
                <w:rFonts w:cs="Arial"/>
                <w:b/>
                <w:szCs w:val="14"/>
                <w:lang w:eastAsia="en-US"/>
              </w:rPr>
              <w:t>15,303</w:t>
            </w:r>
          </w:p>
        </w:tc>
        <w:tc>
          <w:tcPr>
            <w:tcW w:w="1316" w:type="dxa"/>
            <w:tcBorders>
              <w:top w:val="nil"/>
              <w:left w:val="nil"/>
              <w:bottom w:val="single" w:sz="4" w:space="0" w:color="auto"/>
              <w:right w:val="nil"/>
            </w:tcBorders>
            <w:vAlign w:val="center"/>
          </w:tcPr>
          <w:p w14:paraId="2C77AF63" w14:textId="77777777" w:rsidR="00AA7F20" w:rsidRPr="00225994" w:rsidRDefault="00AA7F20" w:rsidP="00AA7F20">
            <w:pPr>
              <w:pStyle w:val="08-Tabelageral"/>
              <w:rPr>
                <w:rFonts w:cs="Arial"/>
                <w:b/>
                <w:szCs w:val="14"/>
              </w:rPr>
            </w:pPr>
            <w:r>
              <w:rPr>
                <w:rFonts w:cs="Arial"/>
                <w:b/>
                <w:szCs w:val="14"/>
                <w:lang w:eastAsia="en-US"/>
              </w:rPr>
              <w:t>15,338</w:t>
            </w:r>
          </w:p>
        </w:tc>
      </w:tr>
    </w:tbl>
    <w:p w14:paraId="678ADF92" w14:textId="77777777" w:rsidR="00AA7F20" w:rsidRPr="00134726" w:rsidRDefault="00AA7F20" w:rsidP="00AA7F20">
      <w:pPr>
        <w:pStyle w:val="05-Textonormal"/>
        <w:rPr>
          <w:lang w:val="en-US"/>
        </w:rPr>
      </w:pPr>
      <w:r>
        <w:rPr>
          <w:rStyle w:val="tlid-translation"/>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55AFC346"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c) Contingent Liabilities – Possible</w:t>
      </w:r>
    </w:p>
    <w:p w14:paraId="52E32919" w14:textId="77777777" w:rsidR="00AA7F20" w:rsidRPr="00134726" w:rsidRDefault="00AA7F20" w:rsidP="00AA7F20">
      <w:pPr>
        <w:pStyle w:val="05-Textonormal"/>
        <w:rPr>
          <w:b/>
          <w:color w:val="1F4E79" w:themeColor="accent1" w:themeShade="80"/>
          <w:lang w:val="en-US"/>
        </w:rPr>
      </w:pPr>
      <w:r w:rsidRPr="00134726">
        <w:rPr>
          <w:rFonts w:cs="Arial"/>
          <w:lang w:val="en-US"/>
        </w:rPr>
        <w:t xml:space="preserve">Tax and civil demands classified as possible risk are exempt from provisioning, in accordance with CPC 25 </w:t>
      </w:r>
      <w:r>
        <w:t>[IAS 37].</w:t>
      </w:r>
    </w:p>
    <w:p w14:paraId="386D9CC8" w14:textId="77777777" w:rsidR="00CC37BC" w:rsidRDefault="00CC37BC">
      <w:pPr>
        <w:rPr>
          <w:rFonts w:eastAsia="Times New Roman" w:cs="Times New Roman"/>
          <w:b/>
          <w:color w:val="1F4E79" w:themeColor="accent1" w:themeShade="80"/>
          <w:spacing w:val="-2"/>
          <w:szCs w:val="18"/>
          <w:lang w:val="en-US" w:eastAsia="pt-BR"/>
        </w:rPr>
      </w:pPr>
      <w:r>
        <w:rPr>
          <w:b/>
          <w:color w:val="1F4E79" w:themeColor="accent1" w:themeShade="80"/>
          <w:lang w:val="en-US"/>
        </w:rPr>
        <w:br w:type="page"/>
      </w:r>
    </w:p>
    <w:p w14:paraId="6FAC87A9" w14:textId="14C3D922"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lastRenderedPageBreak/>
        <w:t>c.1) Tax Lawsuits</w:t>
      </w:r>
    </w:p>
    <w:p w14:paraId="48DD4798" w14:textId="77777777" w:rsidR="00AA7F20" w:rsidRPr="00134726" w:rsidRDefault="00AA7F20" w:rsidP="00AA7F20">
      <w:pPr>
        <w:pStyle w:val="05-Textonormal"/>
        <w:rPr>
          <w:b/>
          <w:lang w:val="en-US"/>
        </w:rPr>
      </w:pPr>
      <w:r w:rsidRPr="00134726">
        <w:rPr>
          <w:lang w:val="en-US"/>
        </w:rPr>
        <w:t>In the tax lawsuits, classified as possible, we have those referring to BB Corretora, which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6C106CF4" w14:textId="77777777" w:rsidR="00AA7F20" w:rsidRPr="00134726" w:rsidRDefault="00AA7F20" w:rsidP="00AA7F20">
      <w:pPr>
        <w:pStyle w:val="05-Textonormal"/>
        <w:rPr>
          <w:b/>
          <w:lang w:val="en-US"/>
        </w:rPr>
      </w:pPr>
      <w:r w:rsidRPr="00134726">
        <w:rPr>
          <w:lang w:val="en-US"/>
        </w:rPr>
        <w:t>In accordance with applicable legislation, notably CPC 25 - Provisions, Contingent Liabilities and Contingent Assets: actions with remote or possible risk classification are exempt from the constitution of a provision. However, the following is a brief summary of the main lawsuits filed against BB Corretora:</w:t>
      </w:r>
    </w:p>
    <w:p w14:paraId="4D30CB92" w14:textId="77777777" w:rsidR="00AA7F20" w:rsidRPr="00134726" w:rsidRDefault="00AA7F20" w:rsidP="006A362F">
      <w:pPr>
        <w:pStyle w:val="01-Textonormal"/>
        <w:numPr>
          <w:ilvl w:val="0"/>
          <w:numId w:val="30"/>
        </w:numPr>
        <w:rPr>
          <w:rFonts w:cs="Arial"/>
          <w:lang w:val="en-US"/>
        </w:rPr>
      </w:pPr>
      <w:r w:rsidRPr="00134726">
        <w:rPr>
          <w:rFonts w:cs="Arial"/>
          <w:lang w:val="en-US"/>
        </w:rPr>
        <w:t>BB Corretora has a legal dispute related to "DCOMP - IRPJ Negative Balance", with TRF1 / Court of Brasília/DF, whose initial value of the cause was R$ 82.3 million, filed on 04/18/2011. The process is in the initial knowledge phase (no judgment has been issued yet). It should also be mentioned that this process has a judicial deposit (coming from the administrative phase of the discussion) in the amount of approximately R$ 16</w:t>
      </w:r>
      <w:r>
        <w:rPr>
          <w:rFonts w:cs="Arial"/>
          <w:lang w:val="en-US"/>
        </w:rPr>
        <w:t>8</w:t>
      </w:r>
      <w:r w:rsidRPr="00134726">
        <w:rPr>
          <w:rFonts w:cs="Arial"/>
          <w:lang w:val="en-US"/>
        </w:rPr>
        <w:t xml:space="preserve"> million (base date: </w:t>
      </w:r>
      <w:r>
        <w:rPr>
          <w:rFonts w:cs="Arial"/>
          <w:lang w:val="en-US"/>
        </w:rPr>
        <w:t>03</w:t>
      </w:r>
      <w:r w:rsidRPr="00134726">
        <w:rPr>
          <w:rFonts w:cs="Arial"/>
          <w:lang w:val="en-US"/>
        </w:rPr>
        <w:t>/31/202</w:t>
      </w:r>
      <w:r>
        <w:rPr>
          <w:rFonts w:cs="Arial"/>
          <w:lang w:val="en-US"/>
        </w:rPr>
        <w:t>3</w:t>
      </w:r>
      <w:r w:rsidRPr="00134726">
        <w:rPr>
          <w:rFonts w:cs="Arial"/>
          <w:lang w:val="en-US"/>
        </w:rPr>
        <w:t>) deposited in a judicial account at Caixa Econômica Federal.</w:t>
      </w:r>
    </w:p>
    <w:p w14:paraId="63FE6E7D" w14:textId="77777777" w:rsidR="00AA7F20" w:rsidRPr="00134726" w:rsidRDefault="00AA7F20" w:rsidP="00AA7F20">
      <w:pPr>
        <w:pStyle w:val="05-Textonormal"/>
        <w:rPr>
          <w:lang w:val="en-US"/>
        </w:rPr>
      </w:pPr>
      <w:r w:rsidRPr="00134726">
        <w:rPr>
          <w:lang w:val="en-US"/>
        </w:rPr>
        <w:t>BB Seguridade and BB Seguros do not have tax claims with significant amounts.</w:t>
      </w:r>
    </w:p>
    <w:p w14:paraId="32E19212"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c.2) Civil Lawsuits</w:t>
      </w:r>
    </w:p>
    <w:p w14:paraId="12AD7C28" w14:textId="77777777" w:rsidR="00AA7F20" w:rsidRPr="00134726" w:rsidRDefault="00AA7F20" w:rsidP="00AA7F20">
      <w:pPr>
        <w:pStyle w:val="05-Textonormal"/>
        <w:rPr>
          <w:b/>
          <w:lang w:val="en-US"/>
        </w:rPr>
      </w:pPr>
      <w:r w:rsidRPr="00134726">
        <w:rPr>
          <w:lang w:val="en-US"/>
        </w:rPr>
        <w:t>In civil lawsuits involving BB Seguridade, BB Seguros and BB Corretora, we highlignt the claims for various indemnities (material damages, moral damages, etc., for example), notably resulting from consumer relations involving security products and the like (personal insurance and equity, open private pension, capitalization and dental plans).</w:t>
      </w:r>
    </w:p>
    <w:p w14:paraId="2480C62D"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Balances of contingent liabilities classified as possible</w:t>
      </w:r>
    </w:p>
    <w:p w14:paraId="7B3F764C" w14:textId="77777777" w:rsidR="00AA7F20" w:rsidRPr="004C6ED9" w:rsidRDefault="00AA7F20" w:rsidP="00AA7F20">
      <w:pPr>
        <w:pStyle w:val="01-TtulodeNota"/>
        <w:spacing w:before="0" w:after="0"/>
        <w:jc w:val="right"/>
        <w:rPr>
          <w:sz w:val="14"/>
          <w:szCs w:val="14"/>
        </w:rPr>
      </w:pPr>
      <w:r>
        <w:rPr>
          <w:sz w:val="14"/>
          <w:szCs w:val="14"/>
        </w:rPr>
        <w:t>R$ thousand</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AA7F20" w:rsidRPr="00E71174" w14:paraId="2EA6BB5A" w14:textId="77777777" w:rsidTr="00AA7F20">
        <w:trPr>
          <w:trHeight w:val="238"/>
          <w:jc w:val="center"/>
        </w:trPr>
        <w:tc>
          <w:tcPr>
            <w:tcW w:w="850" w:type="dxa"/>
            <w:tcBorders>
              <w:bottom w:val="nil"/>
            </w:tcBorders>
            <w:shd w:val="clear" w:color="auto" w:fill="auto"/>
            <w:vAlign w:val="center"/>
          </w:tcPr>
          <w:p w14:paraId="4CAA4C87" w14:textId="77777777" w:rsidR="00AA7F20" w:rsidRPr="00C72808" w:rsidRDefault="00AA7F20" w:rsidP="00AA7F20">
            <w:pPr>
              <w:keepNext/>
              <w:keepLines/>
              <w:spacing w:before="40" w:after="40"/>
              <w:rPr>
                <w:rFonts w:cs="Arial"/>
                <w:bCs/>
                <w:spacing w:val="-2"/>
                <w:sz w:val="14"/>
                <w:szCs w:val="14"/>
              </w:rPr>
            </w:pPr>
          </w:p>
        </w:tc>
        <w:tc>
          <w:tcPr>
            <w:tcW w:w="2552" w:type="dxa"/>
            <w:gridSpan w:val="2"/>
            <w:tcBorders>
              <w:bottom w:val="nil"/>
            </w:tcBorders>
            <w:shd w:val="clear" w:color="auto" w:fill="auto"/>
            <w:vAlign w:val="center"/>
          </w:tcPr>
          <w:p w14:paraId="3C46A7E4" w14:textId="77777777" w:rsidR="00AA7F20" w:rsidRPr="00E71174" w:rsidRDefault="00AA7F20" w:rsidP="00AA7F20">
            <w:pPr>
              <w:keepNext/>
              <w:keepLines/>
              <w:spacing w:before="40" w:after="40"/>
              <w:rPr>
                <w:rFonts w:cs="Arial"/>
                <w:bCs/>
                <w:spacing w:val="-2"/>
                <w:sz w:val="14"/>
                <w:szCs w:val="14"/>
              </w:rPr>
            </w:pPr>
          </w:p>
        </w:tc>
        <w:tc>
          <w:tcPr>
            <w:tcW w:w="2823" w:type="dxa"/>
            <w:gridSpan w:val="2"/>
            <w:shd w:val="clear" w:color="auto" w:fill="auto"/>
            <w:vAlign w:val="center"/>
          </w:tcPr>
          <w:p w14:paraId="7DA3AF4A" w14:textId="77777777" w:rsidR="00AA7F20" w:rsidRPr="00E71174" w:rsidRDefault="00AA7F20" w:rsidP="00AA7F20">
            <w:pPr>
              <w:keepNext/>
              <w:keepLines/>
              <w:spacing w:before="40" w:after="40"/>
              <w:jc w:val="center"/>
              <w:rPr>
                <w:rFonts w:cs="Arial"/>
                <w:b/>
                <w:bCs/>
                <w:spacing w:val="-2"/>
                <w:sz w:val="14"/>
                <w:szCs w:val="14"/>
              </w:rPr>
            </w:pPr>
            <w:r w:rsidRPr="00E71174">
              <w:rPr>
                <w:rFonts w:cs="Arial"/>
                <w:b/>
                <w:bCs/>
                <w:spacing w:val="-2"/>
                <w:sz w:val="14"/>
                <w:szCs w:val="14"/>
              </w:rPr>
              <w:t>Parent</w:t>
            </w:r>
          </w:p>
        </w:tc>
        <w:tc>
          <w:tcPr>
            <w:tcW w:w="283" w:type="dxa"/>
            <w:shd w:val="clear" w:color="auto" w:fill="auto"/>
            <w:vAlign w:val="center"/>
          </w:tcPr>
          <w:p w14:paraId="0B88A571" w14:textId="77777777" w:rsidR="00AA7F20" w:rsidRPr="00E71174" w:rsidRDefault="00AA7F20" w:rsidP="00AA7F20">
            <w:pPr>
              <w:keepNext/>
              <w:keepLines/>
              <w:spacing w:before="40" w:after="40"/>
              <w:jc w:val="center"/>
              <w:rPr>
                <w:rFonts w:cs="Arial"/>
                <w:b/>
                <w:bCs/>
                <w:spacing w:val="-2"/>
                <w:sz w:val="14"/>
                <w:szCs w:val="14"/>
              </w:rPr>
            </w:pPr>
          </w:p>
        </w:tc>
        <w:tc>
          <w:tcPr>
            <w:tcW w:w="284" w:type="dxa"/>
            <w:shd w:val="clear" w:color="auto" w:fill="auto"/>
            <w:vAlign w:val="center"/>
          </w:tcPr>
          <w:p w14:paraId="143FA7C3" w14:textId="77777777" w:rsidR="00AA7F20" w:rsidRPr="00E71174" w:rsidRDefault="00AA7F20" w:rsidP="00AA7F20">
            <w:pPr>
              <w:keepNext/>
              <w:keepLines/>
              <w:spacing w:before="40" w:after="40"/>
              <w:jc w:val="center"/>
              <w:rPr>
                <w:rFonts w:cs="Arial"/>
                <w:b/>
                <w:bCs/>
                <w:spacing w:val="-2"/>
                <w:sz w:val="14"/>
                <w:szCs w:val="14"/>
              </w:rPr>
            </w:pPr>
          </w:p>
        </w:tc>
        <w:tc>
          <w:tcPr>
            <w:tcW w:w="2835" w:type="dxa"/>
            <w:gridSpan w:val="2"/>
            <w:shd w:val="clear" w:color="auto" w:fill="auto"/>
            <w:vAlign w:val="center"/>
          </w:tcPr>
          <w:p w14:paraId="691390CB" w14:textId="77777777" w:rsidR="00AA7F20" w:rsidRPr="00E71174" w:rsidRDefault="00AA7F20" w:rsidP="00AA7F20">
            <w:pPr>
              <w:keepNext/>
              <w:keepLines/>
              <w:spacing w:before="40" w:after="40"/>
              <w:jc w:val="center"/>
              <w:rPr>
                <w:rFonts w:cs="Arial"/>
                <w:b/>
                <w:bCs/>
                <w:spacing w:val="-2"/>
                <w:sz w:val="14"/>
                <w:szCs w:val="14"/>
              </w:rPr>
            </w:pPr>
            <w:r w:rsidRPr="00E71174">
              <w:rPr>
                <w:rFonts w:cs="Arial"/>
                <w:b/>
                <w:bCs/>
                <w:spacing w:val="-2"/>
                <w:sz w:val="14"/>
                <w:szCs w:val="14"/>
              </w:rPr>
              <w:t>Consolidated</w:t>
            </w:r>
          </w:p>
        </w:tc>
      </w:tr>
      <w:tr w:rsidR="00AA7F20" w:rsidRPr="00E71174" w14:paraId="7AF2FE86" w14:textId="77777777" w:rsidTr="00AA7F20">
        <w:trPr>
          <w:trHeight w:val="238"/>
          <w:jc w:val="center"/>
        </w:trPr>
        <w:tc>
          <w:tcPr>
            <w:tcW w:w="3094" w:type="dxa"/>
            <w:gridSpan w:val="2"/>
            <w:tcBorders>
              <w:top w:val="nil"/>
              <w:bottom w:val="single" w:sz="2" w:space="0" w:color="1F4E79" w:themeColor="accent1" w:themeShade="80"/>
            </w:tcBorders>
            <w:shd w:val="clear" w:color="auto" w:fill="auto"/>
            <w:vAlign w:val="center"/>
          </w:tcPr>
          <w:p w14:paraId="4D6E2BFC" w14:textId="77777777" w:rsidR="00AA7F20" w:rsidRPr="0004479C" w:rsidRDefault="00AA7F20" w:rsidP="00AA7F20">
            <w:pPr>
              <w:pStyle w:val="08-Tabelageral"/>
              <w:jc w:val="left"/>
              <w:rPr>
                <w:rFonts w:cs="Arial"/>
                <w:b/>
                <w:szCs w:val="14"/>
                <w:lang w:eastAsia="en-US"/>
              </w:rPr>
            </w:pPr>
          </w:p>
        </w:tc>
        <w:tc>
          <w:tcPr>
            <w:tcW w:w="308" w:type="dxa"/>
            <w:tcBorders>
              <w:top w:val="nil"/>
              <w:bottom w:val="single" w:sz="2" w:space="0" w:color="1F4E79" w:themeColor="accent1" w:themeShade="80"/>
            </w:tcBorders>
            <w:shd w:val="clear" w:color="auto" w:fill="auto"/>
            <w:vAlign w:val="center"/>
          </w:tcPr>
          <w:p w14:paraId="169A368B" w14:textId="77777777" w:rsidR="00AA7F20" w:rsidRPr="0004479C" w:rsidRDefault="00AA7F20" w:rsidP="00AA7F20">
            <w:pPr>
              <w:pStyle w:val="08-Tabelageral"/>
              <w:rPr>
                <w:rFonts w:cs="Arial"/>
                <w:b/>
                <w:szCs w:val="14"/>
                <w:lang w:eastAsia="en-US"/>
              </w:rPr>
            </w:pPr>
          </w:p>
        </w:tc>
        <w:tc>
          <w:tcPr>
            <w:tcW w:w="1411" w:type="dxa"/>
            <w:tcBorders>
              <w:bottom w:val="single" w:sz="2" w:space="0" w:color="1F4E79" w:themeColor="accent1" w:themeShade="80"/>
            </w:tcBorders>
            <w:shd w:val="clear" w:color="auto" w:fill="auto"/>
            <w:vAlign w:val="center"/>
          </w:tcPr>
          <w:p w14:paraId="352B3DBA" w14:textId="77777777" w:rsidR="00AA7F20" w:rsidRPr="00E71174" w:rsidRDefault="00AA7F20" w:rsidP="00AA7F20">
            <w:pPr>
              <w:pStyle w:val="08-Tabelageral"/>
              <w:rPr>
                <w:rFonts w:cs="Arial"/>
                <w:b/>
                <w:szCs w:val="14"/>
                <w:lang w:eastAsia="en-US"/>
              </w:rPr>
            </w:pPr>
            <w:r>
              <w:rPr>
                <w:rFonts w:cs="Arial"/>
                <w:b/>
                <w:szCs w:val="14"/>
                <w:lang w:eastAsia="en-US"/>
              </w:rPr>
              <w:t>Mar</w:t>
            </w:r>
            <w:r w:rsidRPr="00E71174">
              <w:rPr>
                <w:rFonts w:cs="Arial"/>
                <w:b/>
                <w:szCs w:val="14"/>
                <w:lang w:eastAsia="en-US"/>
              </w:rPr>
              <w:t xml:space="preserve"> 31, 202</w:t>
            </w:r>
            <w:r>
              <w:rPr>
                <w:rFonts w:cs="Arial"/>
                <w:b/>
                <w:szCs w:val="14"/>
                <w:lang w:eastAsia="en-US"/>
              </w:rPr>
              <w:t>3</w:t>
            </w:r>
          </w:p>
        </w:tc>
        <w:tc>
          <w:tcPr>
            <w:tcW w:w="1412" w:type="dxa"/>
            <w:tcBorders>
              <w:bottom w:val="single" w:sz="2" w:space="0" w:color="1F4E79" w:themeColor="accent1" w:themeShade="80"/>
            </w:tcBorders>
            <w:shd w:val="clear" w:color="auto" w:fill="auto"/>
            <w:vAlign w:val="center"/>
          </w:tcPr>
          <w:p w14:paraId="56EBCA22" w14:textId="77777777" w:rsidR="00AA7F20" w:rsidRPr="00E71174" w:rsidRDefault="00AA7F20" w:rsidP="00AA7F20">
            <w:pPr>
              <w:pStyle w:val="08-Tabelageral"/>
              <w:rPr>
                <w:rFonts w:cs="Arial"/>
                <w:b/>
                <w:szCs w:val="14"/>
                <w:lang w:eastAsia="en-US"/>
              </w:rPr>
            </w:pPr>
            <w:r>
              <w:rPr>
                <w:rFonts w:cs="Arial"/>
                <w:b/>
                <w:szCs w:val="14"/>
                <w:lang w:eastAsia="en-US"/>
              </w:rPr>
              <w:t>Dec</w:t>
            </w:r>
            <w:r w:rsidRPr="00E71174">
              <w:rPr>
                <w:rFonts w:cs="Arial"/>
                <w:b/>
                <w:szCs w:val="14"/>
                <w:lang w:eastAsia="en-US"/>
              </w:rPr>
              <w:t xml:space="preserve"> 31, 2022</w:t>
            </w:r>
          </w:p>
        </w:tc>
        <w:tc>
          <w:tcPr>
            <w:tcW w:w="283" w:type="dxa"/>
            <w:tcBorders>
              <w:bottom w:val="single" w:sz="2" w:space="0" w:color="1F4E79" w:themeColor="accent1" w:themeShade="80"/>
            </w:tcBorders>
            <w:shd w:val="clear" w:color="auto" w:fill="auto"/>
            <w:vAlign w:val="center"/>
          </w:tcPr>
          <w:p w14:paraId="2EB651B8" w14:textId="77777777" w:rsidR="00AA7F20" w:rsidRPr="00E71174" w:rsidRDefault="00AA7F20" w:rsidP="00AA7F20">
            <w:pPr>
              <w:pStyle w:val="08-Tabelageral"/>
              <w:rPr>
                <w:rFonts w:cs="Arial"/>
                <w:b/>
                <w:szCs w:val="14"/>
                <w:lang w:eastAsia="en-US"/>
              </w:rPr>
            </w:pPr>
          </w:p>
        </w:tc>
        <w:tc>
          <w:tcPr>
            <w:tcW w:w="284" w:type="dxa"/>
            <w:tcBorders>
              <w:bottom w:val="single" w:sz="2" w:space="0" w:color="1F4E79" w:themeColor="accent1" w:themeShade="80"/>
            </w:tcBorders>
            <w:shd w:val="clear" w:color="auto" w:fill="auto"/>
            <w:vAlign w:val="center"/>
          </w:tcPr>
          <w:p w14:paraId="2369D1BE" w14:textId="77777777" w:rsidR="00AA7F20" w:rsidRPr="00E71174" w:rsidRDefault="00AA7F20" w:rsidP="00AA7F20">
            <w:pPr>
              <w:pStyle w:val="08-Tabelageral"/>
              <w:rPr>
                <w:rFonts w:cs="Arial"/>
                <w:b/>
                <w:szCs w:val="14"/>
                <w:lang w:eastAsia="en-US"/>
              </w:rPr>
            </w:pPr>
          </w:p>
        </w:tc>
        <w:tc>
          <w:tcPr>
            <w:tcW w:w="1417" w:type="dxa"/>
            <w:tcBorders>
              <w:bottom w:val="single" w:sz="2" w:space="0" w:color="1F4E79" w:themeColor="accent1" w:themeShade="80"/>
            </w:tcBorders>
            <w:shd w:val="clear" w:color="auto" w:fill="auto"/>
            <w:vAlign w:val="center"/>
          </w:tcPr>
          <w:p w14:paraId="2DA02DF5" w14:textId="77777777" w:rsidR="00AA7F20" w:rsidRPr="00E71174" w:rsidRDefault="00AA7F20" w:rsidP="00AA7F20">
            <w:pPr>
              <w:pStyle w:val="08-Tabelageral"/>
              <w:rPr>
                <w:rFonts w:cs="Arial"/>
                <w:b/>
                <w:szCs w:val="14"/>
                <w:lang w:eastAsia="en-US"/>
              </w:rPr>
            </w:pPr>
            <w:r>
              <w:rPr>
                <w:rFonts w:cs="Arial"/>
                <w:b/>
                <w:szCs w:val="14"/>
                <w:lang w:eastAsia="en-US"/>
              </w:rPr>
              <w:t>Mar</w:t>
            </w:r>
            <w:r w:rsidRPr="00E71174">
              <w:rPr>
                <w:rFonts w:cs="Arial"/>
                <w:b/>
                <w:szCs w:val="14"/>
                <w:lang w:eastAsia="en-US"/>
              </w:rPr>
              <w:t xml:space="preserve"> 31, 202</w:t>
            </w:r>
            <w:r>
              <w:rPr>
                <w:rFonts w:cs="Arial"/>
                <w:b/>
                <w:szCs w:val="14"/>
                <w:lang w:eastAsia="en-US"/>
              </w:rPr>
              <w:t>3</w:t>
            </w:r>
          </w:p>
        </w:tc>
        <w:tc>
          <w:tcPr>
            <w:tcW w:w="1418" w:type="dxa"/>
            <w:tcBorders>
              <w:bottom w:val="single" w:sz="2" w:space="0" w:color="1F4E79" w:themeColor="accent1" w:themeShade="80"/>
            </w:tcBorders>
            <w:shd w:val="clear" w:color="auto" w:fill="auto"/>
            <w:vAlign w:val="center"/>
          </w:tcPr>
          <w:p w14:paraId="750FD1DD" w14:textId="77777777" w:rsidR="00AA7F20" w:rsidRPr="00E71174" w:rsidRDefault="00AA7F20" w:rsidP="00AA7F20">
            <w:pPr>
              <w:pStyle w:val="08-Tabelageral"/>
              <w:rPr>
                <w:rFonts w:cs="Arial"/>
                <w:b/>
                <w:szCs w:val="14"/>
                <w:lang w:eastAsia="en-US"/>
              </w:rPr>
            </w:pPr>
            <w:r>
              <w:rPr>
                <w:rFonts w:cs="Arial"/>
                <w:b/>
                <w:szCs w:val="14"/>
                <w:lang w:eastAsia="en-US"/>
              </w:rPr>
              <w:t>Dec</w:t>
            </w:r>
            <w:r w:rsidRPr="00E71174">
              <w:rPr>
                <w:rFonts w:cs="Arial"/>
                <w:b/>
                <w:szCs w:val="14"/>
                <w:lang w:eastAsia="en-US"/>
              </w:rPr>
              <w:t xml:space="preserve"> 31, 2022</w:t>
            </w:r>
          </w:p>
        </w:tc>
      </w:tr>
      <w:tr w:rsidR="00AA7F20" w:rsidRPr="004C6ED9" w14:paraId="36FC72FC" w14:textId="77777777" w:rsidTr="00AA7F20">
        <w:trPr>
          <w:trHeight w:val="238"/>
          <w:jc w:val="center"/>
        </w:trPr>
        <w:tc>
          <w:tcPr>
            <w:tcW w:w="3094" w:type="dxa"/>
            <w:gridSpan w:val="2"/>
            <w:tcBorders>
              <w:bottom w:val="nil"/>
            </w:tcBorders>
            <w:shd w:val="clear" w:color="auto" w:fill="auto"/>
            <w:vAlign w:val="center"/>
          </w:tcPr>
          <w:p w14:paraId="571B429B" w14:textId="77777777" w:rsidR="00AA7F20" w:rsidRPr="00A50A7C" w:rsidRDefault="00AA7F20" w:rsidP="00AA7F20">
            <w:pPr>
              <w:pStyle w:val="08-Tabelageral"/>
              <w:jc w:val="left"/>
              <w:rPr>
                <w:rFonts w:cs="Arial"/>
                <w:b/>
                <w:szCs w:val="14"/>
                <w:vertAlign w:val="superscript"/>
              </w:rPr>
            </w:pPr>
            <w:r>
              <w:rPr>
                <w:rFonts w:cs="Arial"/>
                <w:szCs w:val="14"/>
              </w:rPr>
              <w:t xml:space="preserve">Tax lawsuits </w:t>
            </w:r>
            <w:r>
              <w:rPr>
                <w:rFonts w:cs="Arial"/>
                <w:szCs w:val="14"/>
                <w:vertAlign w:val="superscript"/>
              </w:rPr>
              <w:t>(1)</w:t>
            </w:r>
          </w:p>
        </w:tc>
        <w:tc>
          <w:tcPr>
            <w:tcW w:w="308" w:type="dxa"/>
            <w:tcBorders>
              <w:bottom w:val="nil"/>
            </w:tcBorders>
            <w:shd w:val="clear" w:color="auto" w:fill="auto"/>
            <w:vAlign w:val="center"/>
          </w:tcPr>
          <w:p w14:paraId="4BD70BC0" w14:textId="77777777" w:rsidR="00AA7F20" w:rsidRPr="004C6ED9" w:rsidRDefault="00AA7F20" w:rsidP="00AA7F20">
            <w:pPr>
              <w:pStyle w:val="08-Tabelageral"/>
              <w:rPr>
                <w:rFonts w:cs="Arial"/>
                <w:szCs w:val="14"/>
              </w:rPr>
            </w:pPr>
          </w:p>
        </w:tc>
        <w:tc>
          <w:tcPr>
            <w:tcW w:w="1411" w:type="dxa"/>
            <w:tcBorders>
              <w:bottom w:val="nil"/>
            </w:tcBorders>
            <w:shd w:val="clear" w:color="auto" w:fill="auto"/>
            <w:vAlign w:val="center"/>
          </w:tcPr>
          <w:p w14:paraId="13EA9D9E" w14:textId="77777777" w:rsidR="00AA7F20" w:rsidRPr="004C6ED9" w:rsidRDefault="00AA7F20" w:rsidP="00AA7F20">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2AAD7A36" w14:textId="77777777" w:rsidR="00AA7F20" w:rsidRPr="004C6ED9" w:rsidRDefault="00AA7F20" w:rsidP="00AA7F20">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5C362BDA" w14:textId="77777777" w:rsidR="00AA7F20" w:rsidRPr="004C6ED9" w:rsidRDefault="00AA7F20" w:rsidP="00AA7F20">
            <w:pPr>
              <w:pStyle w:val="08-Tabelageral"/>
              <w:rPr>
                <w:rFonts w:cs="Arial"/>
                <w:szCs w:val="14"/>
              </w:rPr>
            </w:pPr>
          </w:p>
        </w:tc>
        <w:tc>
          <w:tcPr>
            <w:tcW w:w="284" w:type="dxa"/>
            <w:tcBorders>
              <w:bottom w:val="nil"/>
            </w:tcBorders>
            <w:shd w:val="clear" w:color="auto" w:fill="auto"/>
            <w:vAlign w:val="center"/>
          </w:tcPr>
          <w:p w14:paraId="253D39EA" w14:textId="77777777" w:rsidR="00AA7F20" w:rsidRDefault="00AA7F20" w:rsidP="00AA7F20">
            <w:pPr>
              <w:pStyle w:val="08-Tabelageral"/>
              <w:rPr>
                <w:rFonts w:cs="Arial"/>
                <w:szCs w:val="14"/>
              </w:rPr>
            </w:pPr>
          </w:p>
        </w:tc>
        <w:tc>
          <w:tcPr>
            <w:tcW w:w="1417" w:type="dxa"/>
            <w:tcBorders>
              <w:top w:val="single" w:sz="2" w:space="0" w:color="1F4E79" w:themeColor="accent1" w:themeShade="80"/>
              <w:left w:val="nil"/>
              <w:bottom w:val="nil"/>
              <w:right w:val="nil"/>
            </w:tcBorders>
            <w:vAlign w:val="center"/>
          </w:tcPr>
          <w:p w14:paraId="38E3992E" w14:textId="77777777" w:rsidR="00AA7F20" w:rsidRPr="004C6ED9" w:rsidRDefault="00AA7F20" w:rsidP="00AA7F20">
            <w:pPr>
              <w:pStyle w:val="08-Tabelageral"/>
              <w:rPr>
                <w:rFonts w:cs="Arial"/>
                <w:szCs w:val="14"/>
              </w:rPr>
            </w:pPr>
            <w:r>
              <w:rPr>
                <w:rFonts w:cs="Arial"/>
                <w:bCs/>
                <w:szCs w:val="14"/>
                <w:lang w:eastAsia="en-US"/>
              </w:rPr>
              <w:t>278,697</w:t>
            </w:r>
          </w:p>
        </w:tc>
        <w:tc>
          <w:tcPr>
            <w:tcW w:w="1418" w:type="dxa"/>
            <w:tcBorders>
              <w:bottom w:val="nil"/>
            </w:tcBorders>
            <w:shd w:val="clear" w:color="auto" w:fill="auto"/>
          </w:tcPr>
          <w:p w14:paraId="0E784504" w14:textId="77777777" w:rsidR="00AA7F20" w:rsidRPr="004C6ED9" w:rsidRDefault="00AA7F20" w:rsidP="00AA7F20">
            <w:pPr>
              <w:pStyle w:val="08-Tabelageral"/>
              <w:rPr>
                <w:rFonts w:cs="Arial"/>
                <w:szCs w:val="14"/>
              </w:rPr>
            </w:pPr>
            <w:r>
              <w:rPr>
                <w:rFonts w:cs="Arial"/>
                <w:szCs w:val="14"/>
                <w:lang w:eastAsia="en-US"/>
              </w:rPr>
              <w:t>270,060</w:t>
            </w:r>
          </w:p>
        </w:tc>
      </w:tr>
      <w:tr w:rsidR="00AA7F20" w:rsidRPr="004C6ED9" w14:paraId="351AF37A" w14:textId="77777777" w:rsidTr="00AA7F20">
        <w:trPr>
          <w:trHeight w:val="238"/>
          <w:jc w:val="center"/>
        </w:trPr>
        <w:tc>
          <w:tcPr>
            <w:tcW w:w="3094" w:type="dxa"/>
            <w:gridSpan w:val="2"/>
            <w:tcBorders>
              <w:top w:val="nil"/>
              <w:bottom w:val="nil"/>
            </w:tcBorders>
            <w:shd w:val="clear" w:color="auto" w:fill="auto"/>
            <w:vAlign w:val="center"/>
          </w:tcPr>
          <w:p w14:paraId="0DD400CC" w14:textId="77777777" w:rsidR="00AA7F20" w:rsidRDefault="00AA7F20" w:rsidP="00AA7F20">
            <w:pPr>
              <w:pStyle w:val="08-Tabelageral"/>
              <w:jc w:val="left"/>
              <w:rPr>
                <w:rFonts w:cs="Arial"/>
                <w:b/>
                <w:szCs w:val="14"/>
              </w:rPr>
            </w:pPr>
            <w:r>
              <w:rPr>
                <w:rFonts w:cs="Arial"/>
                <w:szCs w:val="14"/>
              </w:rPr>
              <w:t>Civil lawsuits</w:t>
            </w:r>
          </w:p>
        </w:tc>
        <w:tc>
          <w:tcPr>
            <w:tcW w:w="308" w:type="dxa"/>
            <w:tcBorders>
              <w:top w:val="nil"/>
              <w:bottom w:val="nil"/>
            </w:tcBorders>
            <w:shd w:val="clear" w:color="auto" w:fill="auto"/>
            <w:vAlign w:val="center"/>
          </w:tcPr>
          <w:p w14:paraId="192F3E05" w14:textId="77777777" w:rsidR="00AA7F20" w:rsidRPr="004C6ED9" w:rsidRDefault="00AA7F20" w:rsidP="00AA7F20">
            <w:pPr>
              <w:pStyle w:val="08-Tabelageral"/>
              <w:rPr>
                <w:rFonts w:cs="Arial"/>
                <w:szCs w:val="14"/>
              </w:rPr>
            </w:pPr>
          </w:p>
        </w:tc>
        <w:tc>
          <w:tcPr>
            <w:tcW w:w="1411" w:type="dxa"/>
            <w:tcBorders>
              <w:top w:val="nil"/>
              <w:bottom w:val="nil"/>
            </w:tcBorders>
            <w:shd w:val="clear" w:color="auto" w:fill="auto"/>
            <w:vAlign w:val="center"/>
          </w:tcPr>
          <w:p w14:paraId="446B0A3A" w14:textId="77777777" w:rsidR="00AA7F20" w:rsidRPr="004C6ED9" w:rsidRDefault="00AA7F20" w:rsidP="00AA7F20">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597426B0" w14:textId="77777777" w:rsidR="00AA7F20" w:rsidRPr="004C6ED9" w:rsidRDefault="00AA7F20" w:rsidP="00AA7F20">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57FD230D" w14:textId="77777777" w:rsidR="00AA7F20" w:rsidRPr="004C6ED9" w:rsidRDefault="00AA7F20" w:rsidP="00AA7F20">
            <w:pPr>
              <w:pStyle w:val="08-Tabelageral"/>
              <w:rPr>
                <w:rFonts w:cs="Arial"/>
                <w:szCs w:val="14"/>
              </w:rPr>
            </w:pPr>
          </w:p>
        </w:tc>
        <w:tc>
          <w:tcPr>
            <w:tcW w:w="284" w:type="dxa"/>
            <w:tcBorders>
              <w:top w:val="nil"/>
              <w:bottom w:val="nil"/>
            </w:tcBorders>
            <w:shd w:val="clear" w:color="auto" w:fill="auto"/>
            <w:vAlign w:val="center"/>
          </w:tcPr>
          <w:p w14:paraId="25367FE4" w14:textId="77777777" w:rsidR="00AA7F20" w:rsidRDefault="00AA7F20" w:rsidP="00AA7F20">
            <w:pPr>
              <w:pStyle w:val="08-Tabelageral"/>
              <w:rPr>
                <w:rFonts w:cs="Arial"/>
                <w:szCs w:val="14"/>
              </w:rPr>
            </w:pPr>
          </w:p>
        </w:tc>
        <w:tc>
          <w:tcPr>
            <w:tcW w:w="1417" w:type="dxa"/>
            <w:tcBorders>
              <w:top w:val="nil"/>
              <w:left w:val="nil"/>
              <w:bottom w:val="nil"/>
              <w:right w:val="nil"/>
            </w:tcBorders>
            <w:vAlign w:val="center"/>
          </w:tcPr>
          <w:p w14:paraId="36D52352" w14:textId="77777777" w:rsidR="00AA7F20" w:rsidRPr="004C6ED9" w:rsidRDefault="00AA7F20" w:rsidP="00AA7F20">
            <w:pPr>
              <w:pStyle w:val="08-Tabelageral"/>
              <w:rPr>
                <w:rFonts w:cs="Arial"/>
                <w:szCs w:val="14"/>
              </w:rPr>
            </w:pPr>
            <w:r>
              <w:rPr>
                <w:rFonts w:cs="Arial"/>
                <w:bCs/>
                <w:szCs w:val="14"/>
                <w:lang w:eastAsia="en-US"/>
              </w:rPr>
              <w:t>2,345</w:t>
            </w:r>
          </w:p>
        </w:tc>
        <w:tc>
          <w:tcPr>
            <w:tcW w:w="1418" w:type="dxa"/>
            <w:tcBorders>
              <w:top w:val="nil"/>
              <w:bottom w:val="nil"/>
            </w:tcBorders>
            <w:shd w:val="clear" w:color="auto" w:fill="auto"/>
          </w:tcPr>
          <w:p w14:paraId="29B8E44C" w14:textId="77777777" w:rsidR="00AA7F20" w:rsidRPr="004C6ED9" w:rsidRDefault="00AA7F20" w:rsidP="00AA7F20">
            <w:pPr>
              <w:pStyle w:val="08-Tabelageral"/>
              <w:rPr>
                <w:rFonts w:cs="Arial"/>
                <w:szCs w:val="14"/>
              </w:rPr>
            </w:pPr>
            <w:r>
              <w:rPr>
                <w:rFonts w:cs="Arial"/>
                <w:szCs w:val="14"/>
                <w:lang w:eastAsia="en-US"/>
              </w:rPr>
              <w:t>2,215</w:t>
            </w:r>
          </w:p>
        </w:tc>
      </w:tr>
      <w:tr w:rsidR="00AA7F20" w:rsidRPr="00225994" w14:paraId="1873A3BE" w14:textId="77777777" w:rsidTr="00AA7F20">
        <w:trPr>
          <w:trHeight w:val="238"/>
          <w:jc w:val="center"/>
        </w:trPr>
        <w:tc>
          <w:tcPr>
            <w:tcW w:w="3094" w:type="dxa"/>
            <w:gridSpan w:val="2"/>
            <w:tcBorders>
              <w:top w:val="nil"/>
            </w:tcBorders>
            <w:shd w:val="clear" w:color="auto" w:fill="auto"/>
            <w:vAlign w:val="center"/>
          </w:tcPr>
          <w:p w14:paraId="65FB6E2D" w14:textId="77777777" w:rsidR="00AA7F20" w:rsidRPr="00225994" w:rsidRDefault="00AA7F20" w:rsidP="00AA7F20">
            <w:pPr>
              <w:keepNext/>
              <w:keepLines/>
              <w:spacing w:before="40" w:after="40" w:line="240" w:lineRule="auto"/>
              <w:rPr>
                <w:rFonts w:cs="Arial"/>
                <w:b/>
                <w:bCs/>
                <w:spacing w:val="-2"/>
                <w:sz w:val="14"/>
                <w:szCs w:val="14"/>
              </w:rPr>
            </w:pPr>
            <w:r w:rsidRPr="00225994">
              <w:rPr>
                <w:rFonts w:cs="Arial"/>
                <w:b/>
                <w:spacing w:val="-2"/>
                <w:sz w:val="14"/>
                <w:szCs w:val="14"/>
              </w:rPr>
              <w:t>Total</w:t>
            </w:r>
          </w:p>
        </w:tc>
        <w:tc>
          <w:tcPr>
            <w:tcW w:w="308" w:type="dxa"/>
            <w:tcBorders>
              <w:top w:val="nil"/>
            </w:tcBorders>
            <w:shd w:val="clear" w:color="auto" w:fill="auto"/>
            <w:vAlign w:val="center"/>
          </w:tcPr>
          <w:p w14:paraId="79BEB2E6" w14:textId="77777777" w:rsidR="00AA7F20" w:rsidRPr="00225994" w:rsidRDefault="00AA7F20" w:rsidP="00AA7F20">
            <w:pPr>
              <w:pStyle w:val="08-Tabelageral"/>
              <w:rPr>
                <w:rFonts w:cs="Arial"/>
                <w:b/>
                <w:szCs w:val="14"/>
              </w:rPr>
            </w:pPr>
          </w:p>
        </w:tc>
        <w:tc>
          <w:tcPr>
            <w:tcW w:w="1411" w:type="dxa"/>
            <w:tcBorders>
              <w:top w:val="nil"/>
            </w:tcBorders>
            <w:shd w:val="clear" w:color="auto" w:fill="auto"/>
            <w:vAlign w:val="center"/>
          </w:tcPr>
          <w:p w14:paraId="23E219BE" w14:textId="77777777" w:rsidR="00AA7F20" w:rsidRPr="00225994" w:rsidRDefault="00AA7F20" w:rsidP="00AA7F20">
            <w:pPr>
              <w:pStyle w:val="08-Tabelageral"/>
              <w:rPr>
                <w:rFonts w:cs="Arial"/>
                <w:b/>
                <w:szCs w:val="14"/>
              </w:rPr>
            </w:pPr>
            <w:r>
              <w:rPr>
                <w:rFonts w:cs="Arial"/>
                <w:b/>
                <w:szCs w:val="14"/>
                <w:lang w:eastAsia="en-US"/>
              </w:rPr>
              <w:t>--</w:t>
            </w:r>
          </w:p>
        </w:tc>
        <w:tc>
          <w:tcPr>
            <w:tcW w:w="1412" w:type="dxa"/>
            <w:tcBorders>
              <w:top w:val="nil"/>
            </w:tcBorders>
            <w:shd w:val="clear" w:color="auto" w:fill="auto"/>
            <w:vAlign w:val="center"/>
          </w:tcPr>
          <w:p w14:paraId="34024EFD" w14:textId="77777777" w:rsidR="00AA7F20" w:rsidRPr="00225994" w:rsidRDefault="00AA7F20" w:rsidP="00AA7F20">
            <w:pPr>
              <w:pStyle w:val="08-Tabelageral"/>
              <w:rPr>
                <w:rFonts w:cs="Arial"/>
                <w:b/>
                <w:szCs w:val="14"/>
              </w:rPr>
            </w:pPr>
            <w:r>
              <w:rPr>
                <w:rFonts w:cs="Arial"/>
                <w:b/>
                <w:szCs w:val="14"/>
                <w:lang w:eastAsia="en-US"/>
              </w:rPr>
              <w:t>--</w:t>
            </w:r>
          </w:p>
        </w:tc>
        <w:tc>
          <w:tcPr>
            <w:tcW w:w="283" w:type="dxa"/>
            <w:tcBorders>
              <w:top w:val="nil"/>
            </w:tcBorders>
            <w:shd w:val="clear" w:color="auto" w:fill="auto"/>
            <w:vAlign w:val="center"/>
          </w:tcPr>
          <w:p w14:paraId="579D05E4" w14:textId="77777777" w:rsidR="00AA7F20" w:rsidRPr="00225994" w:rsidRDefault="00AA7F20" w:rsidP="00AA7F20">
            <w:pPr>
              <w:pStyle w:val="08-Tabelageral"/>
              <w:rPr>
                <w:rFonts w:cs="Arial"/>
                <w:b/>
                <w:szCs w:val="14"/>
              </w:rPr>
            </w:pPr>
          </w:p>
        </w:tc>
        <w:tc>
          <w:tcPr>
            <w:tcW w:w="284" w:type="dxa"/>
            <w:tcBorders>
              <w:top w:val="nil"/>
            </w:tcBorders>
            <w:shd w:val="clear" w:color="auto" w:fill="auto"/>
            <w:vAlign w:val="center"/>
          </w:tcPr>
          <w:p w14:paraId="3DF7EEB2" w14:textId="77777777" w:rsidR="00AA7F20" w:rsidRPr="00225994" w:rsidRDefault="00AA7F20" w:rsidP="00AA7F20">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6B8CE799" w14:textId="77777777" w:rsidR="00AA7F20" w:rsidRPr="00225994" w:rsidRDefault="00AA7F20" w:rsidP="00AA7F20">
            <w:pPr>
              <w:pStyle w:val="08-Tabelageral"/>
              <w:rPr>
                <w:rFonts w:cs="Arial"/>
                <w:b/>
                <w:szCs w:val="14"/>
              </w:rPr>
            </w:pPr>
            <w:r>
              <w:rPr>
                <w:rFonts w:cs="Arial"/>
                <w:b/>
                <w:szCs w:val="14"/>
                <w:lang w:eastAsia="en-US"/>
              </w:rPr>
              <w:t>281,042</w:t>
            </w:r>
          </w:p>
        </w:tc>
        <w:tc>
          <w:tcPr>
            <w:tcW w:w="1418" w:type="dxa"/>
            <w:tcBorders>
              <w:top w:val="nil"/>
            </w:tcBorders>
            <w:shd w:val="clear" w:color="auto" w:fill="auto"/>
          </w:tcPr>
          <w:p w14:paraId="179DB69F" w14:textId="77777777" w:rsidR="00AA7F20" w:rsidRPr="00225994" w:rsidRDefault="00AA7F20" w:rsidP="00AA7F20">
            <w:pPr>
              <w:pStyle w:val="08-Tabelageral"/>
              <w:rPr>
                <w:rFonts w:cs="Arial"/>
                <w:b/>
                <w:szCs w:val="14"/>
              </w:rPr>
            </w:pPr>
            <w:r>
              <w:rPr>
                <w:rFonts w:cs="Arial"/>
                <w:b/>
                <w:szCs w:val="14"/>
                <w:lang w:eastAsia="en-US"/>
              </w:rPr>
              <w:t>272,275</w:t>
            </w:r>
          </w:p>
        </w:tc>
      </w:tr>
    </w:tbl>
    <w:p w14:paraId="275D696C" w14:textId="77777777" w:rsidR="00AA7F20" w:rsidRPr="00134726" w:rsidRDefault="00AA7F20" w:rsidP="00AA7F20">
      <w:pPr>
        <w:pStyle w:val="07-Legenda"/>
        <w:rPr>
          <w:rFonts w:cs="Arial"/>
          <w:color w:val="00000A"/>
          <w:lang w:val="en-US"/>
        </w:rPr>
      </w:pPr>
      <w:r w:rsidRPr="00134726">
        <w:rPr>
          <w:rFonts w:cs="Arial"/>
          <w:lang w:val="en-US"/>
        </w:rPr>
        <w:t>(1)</w:t>
      </w:r>
      <w:r w:rsidRPr="00134726">
        <w:rPr>
          <w:rFonts w:cs="Arial"/>
          <w:lang w:val="en-US"/>
        </w:rPr>
        <w:tab/>
      </w:r>
      <w:r w:rsidRPr="000C10D4">
        <w:rPr>
          <w:rStyle w:val="tlid-translation"/>
          <w:szCs w:val="14"/>
          <w:lang w:val="en"/>
        </w:rPr>
        <w:t>Refers mainly to the tax lawsuit filed by BB Corretora with the objective of annulling an administrative decision that did not ratify declarations of offsetting negative IRPJ balances with different taxes. There is a guarantee deposit for the mentioned action as shown in item d) Deposits in Guarantee of Funds</w:t>
      </w:r>
      <w:r w:rsidRPr="00134726">
        <w:rPr>
          <w:rFonts w:cs="Arial"/>
          <w:color w:val="00000A"/>
          <w:lang w:val="en-US"/>
        </w:rPr>
        <w:t>.</w:t>
      </w:r>
    </w:p>
    <w:p w14:paraId="45A20CF4" w14:textId="77777777" w:rsidR="00AA7F20" w:rsidRPr="00134726" w:rsidRDefault="00AA7F20" w:rsidP="00AA7F20">
      <w:pPr>
        <w:pStyle w:val="05-Textonormal"/>
        <w:rPr>
          <w:lang w:val="en-US"/>
        </w:rPr>
      </w:pPr>
      <w:r w:rsidRPr="00134726">
        <w:rPr>
          <w:rStyle w:val="tlid-translation"/>
          <w:lang w:val="en-US"/>
        </w:rPr>
        <w:t>BB Seguridade does not have contingent liabilities of its investees shared with other shareholders of the investees and is not jointly and severally liable for all or part of the liabilities of its investees</w:t>
      </w:r>
      <w:r w:rsidRPr="00134726">
        <w:rPr>
          <w:lang w:val="en-US"/>
        </w:rPr>
        <w:t>.</w:t>
      </w:r>
    </w:p>
    <w:p w14:paraId="74D7D9BC"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d) Deposits in Guarantee of Funds</w:t>
      </w:r>
    </w:p>
    <w:p w14:paraId="17C8ED1F" w14:textId="77777777" w:rsidR="00AA7F20" w:rsidRPr="00134726" w:rsidRDefault="00AA7F20" w:rsidP="00AA7F20">
      <w:pPr>
        <w:pStyle w:val="05-Textonormal"/>
        <w:rPr>
          <w:lang w:val="en-US"/>
        </w:rPr>
      </w:pPr>
      <w:r w:rsidRPr="00134726">
        <w:rPr>
          <w:rStyle w:val="tlid-translation"/>
          <w:lang w:val="en-US"/>
        </w:rPr>
        <w:t>Guarantee deposits are cash deposits and are made with Banco do Brasil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123D806D" w14:textId="77777777" w:rsidR="00AA7F20" w:rsidRPr="00134726" w:rsidRDefault="00AA7F20" w:rsidP="00AA7F20">
      <w:pPr>
        <w:pStyle w:val="05-Textonormal"/>
        <w:rPr>
          <w:b/>
          <w:color w:val="1F4E79" w:themeColor="accent1" w:themeShade="80"/>
          <w:lang w:val="en-US"/>
        </w:rPr>
      </w:pPr>
      <w:r w:rsidRPr="00134726">
        <w:rPr>
          <w:b/>
          <w:color w:val="1F4E79" w:themeColor="accent1" w:themeShade="80"/>
          <w:lang w:val="en-US"/>
        </w:rPr>
        <w:t>Balances of escrow deposits formed for provisions and contingent liabilities</w:t>
      </w:r>
    </w:p>
    <w:p w14:paraId="5C7497FC" w14:textId="77777777" w:rsidR="00AA7F20" w:rsidRPr="004C6ED9" w:rsidRDefault="00AA7F20" w:rsidP="00AA7F20">
      <w:pPr>
        <w:pStyle w:val="01-TtulodeNota"/>
        <w:spacing w:before="0" w:after="0"/>
        <w:jc w:val="right"/>
        <w:rPr>
          <w:sz w:val="14"/>
          <w:szCs w:val="14"/>
        </w:rPr>
      </w:pPr>
      <w:r>
        <w:rPr>
          <w:sz w:val="14"/>
          <w:szCs w:val="14"/>
        </w:rPr>
        <w:t>R$ thousand</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AA7F20" w:rsidRPr="00AA26A4" w14:paraId="6A9439D6" w14:textId="77777777" w:rsidTr="00AA7F20">
        <w:trPr>
          <w:trHeight w:hRule="exact" w:val="238"/>
        </w:trPr>
        <w:tc>
          <w:tcPr>
            <w:tcW w:w="850" w:type="dxa"/>
            <w:tcBorders>
              <w:bottom w:val="nil"/>
            </w:tcBorders>
            <w:shd w:val="clear" w:color="auto" w:fill="auto"/>
            <w:vAlign w:val="center"/>
          </w:tcPr>
          <w:p w14:paraId="7FF775D6" w14:textId="77777777" w:rsidR="00AA7F20" w:rsidRPr="00AA26A4" w:rsidRDefault="00AA7F20" w:rsidP="00AA7F20">
            <w:pPr>
              <w:keepNext/>
              <w:keepLines/>
              <w:spacing w:before="40" w:after="40"/>
              <w:rPr>
                <w:rFonts w:cs="Arial"/>
                <w:bCs/>
                <w:spacing w:val="-2"/>
                <w:sz w:val="14"/>
                <w:szCs w:val="14"/>
              </w:rPr>
            </w:pPr>
          </w:p>
        </w:tc>
        <w:tc>
          <w:tcPr>
            <w:tcW w:w="2848" w:type="dxa"/>
            <w:gridSpan w:val="2"/>
            <w:tcBorders>
              <w:bottom w:val="nil"/>
            </w:tcBorders>
            <w:shd w:val="clear" w:color="auto" w:fill="auto"/>
            <w:vAlign w:val="center"/>
          </w:tcPr>
          <w:p w14:paraId="53708408" w14:textId="77777777" w:rsidR="00AA7F20" w:rsidRPr="00AA26A4" w:rsidRDefault="00AA7F20" w:rsidP="00AA7F20">
            <w:pPr>
              <w:keepNext/>
              <w:keepLines/>
              <w:spacing w:before="40" w:after="40"/>
              <w:rPr>
                <w:rFonts w:cs="Arial"/>
                <w:b/>
                <w:spacing w:val="-2"/>
                <w:sz w:val="14"/>
                <w:szCs w:val="14"/>
              </w:rPr>
            </w:pPr>
          </w:p>
        </w:tc>
        <w:tc>
          <w:tcPr>
            <w:tcW w:w="2823" w:type="dxa"/>
            <w:gridSpan w:val="2"/>
            <w:shd w:val="clear" w:color="auto" w:fill="auto"/>
            <w:vAlign w:val="center"/>
          </w:tcPr>
          <w:p w14:paraId="1E861953" w14:textId="77777777" w:rsidR="00AA7F20" w:rsidRPr="00E048D7" w:rsidRDefault="00AA7F20" w:rsidP="00AA7F20">
            <w:pPr>
              <w:keepNext/>
              <w:keepLines/>
              <w:spacing w:before="40" w:after="40"/>
              <w:jc w:val="center"/>
              <w:rPr>
                <w:rFonts w:cs="Arial"/>
                <w:b/>
                <w:bCs/>
                <w:spacing w:val="-2"/>
                <w:sz w:val="14"/>
                <w:szCs w:val="14"/>
              </w:rPr>
            </w:pPr>
            <w:r w:rsidRPr="00E048D7">
              <w:rPr>
                <w:rFonts w:cs="Arial"/>
                <w:b/>
                <w:bCs/>
                <w:spacing w:val="-2"/>
                <w:sz w:val="14"/>
                <w:szCs w:val="14"/>
              </w:rPr>
              <w:t>Parent</w:t>
            </w:r>
          </w:p>
        </w:tc>
        <w:tc>
          <w:tcPr>
            <w:tcW w:w="283" w:type="dxa"/>
            <w:shd w:val="clear" w:color="auto" w:fill="auto"/>
            <w:vAlign w:val="center"/>
          </w:tcPr>
          <w:p w14:paraId="198646A4" w14:textId="77777777" w:rsidR="00AA7F20" w:rsidRPr="00AA26A4" w:rsidRDefault="00AA7F20" w:rsidP="00AA7F20">
            <w:pPr>
              <w:keepNext/>
              <w:keepLines/>
              <w:spacing w:before="40" w:after="40"/>
              <w:jc w:val="center"/>
              <w:rPr>
                <w:rFonts w:cs="Arial"/>
                <w:b/>
                <w:bCs/>
                <w:spacing w:val="-2"/>
                <w:sz w:val="14"/>
                <w:szCs w:val="14"/>
              </w:rPr>
            </w:pPr>
          </w:p>
        </w:tc>
        <w:tc>
          <w:tcPr>
            <w:tcW w:w="2835" w:type="dxa"/>
            <w:gridSpan w:val="2"/>
            <w:shd w:val="clear" w:color="auto" w:fill="auto"/>
            <w:vAlign w:val="center"/>
          </w:tcPr>
          <w:p w14:paraId="4F50D1FA" w14:textId="77777777" w:rsidR="00AA7F20" w:rsidRPr="00E048D7" w:rsidRDefault="00AA7F20" w:rsidP="00AA7F20">
            <w:pPr>
              <w:keepNext/>
              <w:keepLines/>
              <w:spacing w:before="40" w:after="40"/>
              <w:jc w:val="center"/>
              <w:rPr>
                <w:rFonts w:cs="Arial"/>
                <w:b/>
                <w:bCs/>
                <w:spacing w:val="-2"/>
                <w:sz w:val="14"/>
                <w:szCs w:val="14"/>
              </w:rPr>
            </w:pPr>
            <w:r w:rsidRPr="00E048D7">
              <w:rPr>
                <w:rFonts w:cs="Arial"/>
                <w:b/>
                <w:bCs/>
                <w:spacing w:val="-2"/>
                <w:sz w:val="14"/>
                <w:szCs w:val="14"/>
              </w:rPr>
              <w:t>Consolidated</w:t>
            </w:r>
          </w:p>
        </w:tc>
      </w:tr>
      <w:tr w:rsidR="00AA7F20" w:rsidRPr="004C6ED9" w14:paraId="158B5C06" w14:textId="77777777" w:rsidTr="00AA7F20">
        <w:trPr>
          <w:trHeight w:hRule="exact" w:val="238"/>
        </w:trPr>
        <w:tc>
          <w:tcPr>
            <w:tcW w:w="3094" w:type="dxa"/>
            <w:gridSpan w:val="2"/>
            <w:tcBorders>
              <w:top w:val="nil"/>
              <w:bottom w:val="single" w:sz="2" w:space="0" w:color="1F4E79" w:themeColor="accent1" w:themeShade="80"/>
            </w:tcBorders>
            <w:shd w:val="clear" w:color="auto" w:fill="auto"/>
            <w:vAlign w:val="center"/>
          </w:tcPr>
          <w:p w14:paraId="537BB4A9" w14:textId="77777777" w:rsidR="00AA7F20" w:rsidRPr="004C6ED9" w:rsidRDefault="00AA7F20" w:rsidP="00AA7F20">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vAlign w:val="center"/>
          </w:tcPr>
          <w:p w14:paraId="4BCEA324" w14:textId="77777777" w:rsidR="00AA7F20" w:rsidRPr="004C6ED9" w:rsidRDefault="00AA7F20" w:rsidP="00AA7F20">
            <w:pPr>
              <w:keepNext/>
              <w:keepLines/>
              <w:spacing w:before="40" w:after="40"/>
              <w:jc w:val="right"/>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51557D8F" w14:textId="77777777" w:rsidR="00AA7F20" w:rsidRPr="004C6ED9" w:rsidRDefault="00AA7F20" w:rsidP="00AA7F20">
            <w:pPr>
              <w:pStyle w:val="08-Tabelageral"/>
              <w:rPr>
                <w:rFonts w:cs="Arial"/>
                <w:b/>
                <w:szCs w:val="14"/>
                <w:lang w:eastAsia="en-US"/>
              </w:rPr>
            </w:pPr>
            <w:r>
              <w:rPr>
                <w:rFonts w:cs="Arial"/>
                <w:b/>
                <w:szCs w:val="14"/>
                <w:lang w:eastAsia="en-US"/>
              </w:rPr>
              <w:t xml:space="preserve">Mar </w:t>
            </w:r>
            <w:r w:rsidRPr="004C6ED9">
              <w:rPr>
                <w:rFonts w:cs="Arial"/>
                <w:b/>
                <w:szCs w:val="14"/>
                <w:lang w:eastAsia="en-US"/>
              </w:rPr>
              <w:t>3</w:t>
            </w:r>
            <w:r>
              <w:rPr>
                <w:rFonts w:cs="Arial"/>
                <w:b/>
                <w:szCs w:val="14"/>
                <w:lang w:eastAsia="en-US"/>
              </w:rPr>
              <w:t xml:space="preserve">1, </w:t>
            </w:r>
            <w:r w:rsidRPr="004C6ED9">
              <w:rPr>
                <w:rFonts w:cs="Arial"/>
                <w:b/>
                <w:szCs w:val="14"/>
                <w:lang w:eastAsia="en-US"/>
              </w:rPr>
              <w:t>20</w:t>
            </w:r>
            <w:r>
              <w:rPr>
                <w:rFonts w:cs="Arial"/>
                <w:b/>
                <w:szCs w:val="14"/>
                <w:lang w:eastAsia="en-US"/>
              </w:rPr>
              <w:t>23</w:t>
            </w:r>
          </w:p>
        </w:tc>
        <w:tc>
          <w:tcPr>
            <w:tcW w:w="1412" w:type="dxa"/>
            <w:tcBorders>
              <w:bottom w:val="single" w:sz="2" w:space="0" w:color="1F4E79" w:themeColor="accent1" w:themeShade="80"/>
            </w:tcBorders>
            <w:shd w:val="clear" w:color="auto" w:fill="auto"/>
            <w:vAlign w:val="center"/>
          </w:tcPr>
          <w:p w14:paraId="57BEBCDA" w14:textId="77777777" w:rsidR="00AA7F20" w:rsidRPr="004C6ED9" w:rsidRDefault="00AA7F20" w:rsidP="00AA7F20">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31</w:t>
            </w:r>
            <w:r>
              <w:rPr>
                <w:rFonts w:cs="Arial"/>
                <w:b/>
                <w:szCs w:val="14"/>
                <w:lang w:eastAsia="en-US"/>
              </w:rPr>
              <w:t xml:space="preserve">, </w:t>
            </w:r>
            <w:r w:rsidRPr="004C6ED9">
              <w:rPr>
                <w:rFonts w:cs="Arial"/>
                <w:b/>
                <w:szCs w:val="14"/>
                <w:lang w:eastAsia="en-US"/>
              </w:rPr>
              <w:t>20</w:t>
            </w:r>
            <w:r>
              <w:rPr>
                <w:rFonts w:cs="Arial"/>
                <w:b/>
                <w:szCs w:val="14"/>
                <w:lang w:eastAsia="en-US"/>
              </w:rPr>
              <w:t>22</w:t>
            </w:r>
          </w:p>
        </w:tc>
        <w:tc>
          <w:tcPr>
            <w:tcW w:w="283" w:type="dxa"/>
            <w:tcBorders>
              <w:bottom w:val="single" w:sz="2" w:space="0" w:color="1F4E79" w:themeColor="accent1" w:themeShade="80"/>
            </w:tcBorders>
            <w:shd w:val="clear" w:color="auto" w:fill="auto"/>
            <w:vAlign w:val="center"/>
          </w:tcPr>
          <w:p w14:paraId="4B5FD23C" w14:textId="77777777" w:rsidR="00AA7F20" w:rsidRPr="004C6ED9" w:rsidRDefault="00AA7F20" w:rsidP="00AA7F20">
            <w:pPr>
              <w:pStyle w:val="08-Tabelageral"/>
              <w:rPr>
                <w:rFonts w:cs="Arial"/>
                <w:b/>
                <w:szCs w:val="14"/>
                <w:lang w:eastAsia="en-US"/>
              </w:rPr>
            </w:pPr>
          </w:p>
        </w:tc>
        <w:tc>
          <w:tcPr>
            <w:tcW w:w="1417" w:type="dxa"/>
            <w:tcBorders>
              <w:bottom w:val="single" w:sz="2" w:space="0" w:color="1F4E79" w:themeColor="accent1" w:themeShade="80"/>
            </w:tcBorders>
            <w:shd w:val="clear" w:color="auto" w:fill="auto"/>
            <w:vAlign w:val="center"/>
          </w:tcPr>
          <w:p w14:paraId="361115E0" w14:textId="77777777" w:rsidR="00AA7F20" w:rsidRPr="004C6ED9" w:rsidRDefault="00AA7F20" w:rsidP="00AA7F20">
            <w:pPr>
              <w:pStyle w:val="08-Tabelageral"/>
              <w:rPr>
                <w:rFonts w:cs="Arial"/>
                <w:b/>
                <w:szCs w:val="14"/>
                <w:lang w:eastAsia="en-US"/>
              </w:rPr>
            </w:pPr>
            <w:r>
              <w:rPr>
                <w:rFonts w:cs="Arial"/>
                <w:b/>
                <w:szCs w:val="14"/>
                <w:lang w:eastAsia="en-US"/>
              </w:rPr>
              <w:t xml:space="preserve">Mar </w:t>
            </w:r>
            <w:r w:rsidRPr="004C6ED9">
              <w:rPr>
                <w:rFonts w:cs="Arial"/>
                <w:b/>
                <w:szCs w:val="14"/>
                <w:lang w:eastAsia="en-US"/>
              </w:rPr>
              <w:t>3</w:t>
            </w:r>
            <w:r>
              <w:rPr>
                <w:rFonts w:cs="Arial"/>
                <w:b/>
                <w:szCs w:val="14"/>
                <w:lang w:eastAsia="en-US"/>
              </w:rPr>
              <w:t xml:space="preserve">1, </w:t>
            </w:r>
            <w:r w:rsidRPr="004C6ED9">
              <w:rPr>
                <w:rFonts w:cs="Arial"/>
                <w:b/>
                <w:szCs w:val="14"/>
                <w:lang w:eastAsia="en-US"/>
              </w:rPr>
              <w:t>20</w:t>
            </w:r>
            <w:r>
              <w:rPr>
                <w:rFonts w:cs="Arial"/>
                <w:b/>
                <w:szCs w:val="14"/>
                <w:lang w:eastAsia="en-US"/>
              </w:rPr>
              <w:t>23</w:t>
            </w:r>
          </w:p>
        </w:tc>
        <w:tc>
          <w:tcPr>
            <w:tcW w:w="1418" w:type="dxa"/>
            <w:tcBorders>
              <w:bottom w:val="single" w:sz="2" w:space="0" w:color="1F4E79" w:themeColor="accent1" w:themeShade="80"/>
            </w:tcBorders>
            <w:shd w:val="clear" w:color="auto" w:fill="auto"/>
            <w:vAlign w:val="center"/>
          </w:tcPr>
          <w:p w14:paraId="4880F031" w14:textId="77777777" w:rsidR="00AA7F20" w:rsidRPr="004C6ED9" w:rsidRDefault="00AA7F20" w:rsidP="00AA7F20">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31</w:t>
            </w:r>
            <w:r>
              <w:rPr>
                <w:rFonts w:cs="Arial"/>
                <w:b/>
                <w:szCs w:val="14"/>
                <w:lang w:eastAsia="en-US"/>
              </w:rPr>
              <w:t xml:space="preserve">, </w:t>
            </w:r>
            <w:r w:rsidRPr="004C6ED9">
              <w:rPr>
                <w:rFonts w:cs="Arial"/>
                <w:b/>
                <w:szCs w:val="14"/>
                <w:lang w:eastAsia="en-US"/>
              </w:rPr>
              <w:t>20</w:t>
            </w:r>
            <w:r>
              <w:rPr>
                <w:rFonts w:cs="Arial"/>
                <w:b/>
                <w:szCs w:val="14"/>
                <w:lang w:eastAsia="en-US"/>
              </w:rPr>
              <w:t>22</w:t>
            </w:r>
          </w:p>
        </w:tc>
      </w:tr>
      <w:tr w:rsidR="00AA7F20" w:rsidRPr="004C6ED9" w14:paraId="3FE7F978" w14:textId="77777777" w:rsidTr="00AA7F20">
        <w:trPr>
          <w:trHeight w:val="238"/>
        </w:trPr>
        <w:tc>
          <w:tcPr>
            <w:tcW w:w="3094" w:type="dxa"/>
            <w:gridSpan w:val="2"/>
            <w:tcBorders>
              <w:bottom w:val="nil"/>
            </w:tcBorders>
            <w:shd w:val="clear" w:color="auto" w:fill="auto"/>
            <w:vAlign w:val="center"/>
          </w:tcPr>
          <w:p w14:paraId="1E560BF4" w14:textId="77777777" w:rsidR="00AA7F20" w:rsidRPr="00E048D7" w:rsidRDefault="00AA7F20" w:rsidP="00AA7F20">
            <w:pPr>
              <w:pStyle w:val="08-Tabelageral"/>
              <w:jc w:val="left"/>
              <w:rPr>
                <w:rFonts w:cs="Arial"/>
                <w:szCs w:val="14"/>
              </w:rPr>
            </w:pPr>
            <w:r w:rsidRPr="00E048D7">
              <w:rPr>
                <w:rFonts w:cs="Arial"/>
                <w:szCs w:val="14"/>
              </w:rPr>
              <w:t xml:space="preserve">Tax lawsuits </w:t>
            </w:r>
            <w:r w:rsidRPr="00E048D7">
              <w:rPr>
                <w:rFonts w:cs="Arial"/>
                <w:szCs w:val="14"/>
                <w:vertAlign w:val="superscript"/>
              </w:rPr>
              <w:t>(1)</w:t>
            </w:r>
          </w:p>
        </w:tc>
        <w:tc>
          <w:tcPr>
            <w:tcW w:w="604" w:type="dxa"/>
            <w:tcBorders>
              <w:bottom w:val="nil"/>
            </w:tcBorders>
            <w:shd w:val="clear" w:color="auto" w:fill="auto"/>
            <w:vAlign w:val="center"/>
          </w:tcPr>
          <w:p w14:paraId="661544D6" w14:textId="77777777" w:rsidR="00AA7F20" w:rsidRPr="004C6ED9" w:rsidRDefault="00AA7F20" w:rsidP="00AA7F20">
            <w:pPr>
              <w:pStyle w:val="08-Tabelageral"/>
              <w:rPr>
                <w:rFonts w:cs="Arial"/>
                <w:szCs w:val="14"/>
                <w:lang w:eastAsia="en-US"/>
              </w:rPr>
            </w:pPr>
          </w:p>
        </w:tc>
        <w:tc>
          <w:tcPr>
            <w:tcW w:w="1411" w:type="dxa"/>
            <w:tcBorders>
              <w:bottom w:val="nil"/>
            </w:tcBorders>
            <w:shd w:val="clear" w:color="auto" w:fill="auto"/>
            <w:vAlign w:val="center"/>
          </w:tcPr>
          <w:p w14:paraId="58FEC498" w14:textId="77777777" w:rsidR="00AA7F20" w:rsidRPr="004C6ED9" w:rsidRDefault="00AA7F20" w:rsidP="00AA7F20">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40C8E8EA" w14:textId="77777777" w:rsidR="00AA7F20" w:rsidRPr="004C6ED9" w:rsidRDefault="00AA7F20" w:rsidP="00AA7F20">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769C2FD9" w14:textId="77777777" w:rsidR="00AA7F20" w:rsidRPr="004C6ED9" w:rsidRDefault="00AA7F20" w:rsidP="00AA7F20">
            <w:pPr>
              <w:pStyle w:val="08-Tabelageral"/>
              <w:rPr>
                <w:rFonts w:cs="Arial"/>
                <w:szCs w:val="14"/>
              </w:rPr>
            </w:pPr>
          </w:p>
        </w:tc>
        <w:tc>
          <w:tcPr>
            <w:tcW w:w="1417" w:type="dxa"/>
            <w:tcBorders>
              <w:top w:val="single" w:sz="2" w:space="0" w:color="1F4E79" w:themeColor="accent1" w:themeShade="80"/>
              <w:left w:val="nil"/>
              <w:bottom w:val="nil"/>
              <w:right w:val="nil"/>
            </w:tcBorders>
            <w:vAlign w:val="bottom"/>
          </w:tcPr>
          <w:p w14:paraId="60E485AD" w14:textId="77777777" w:rsidR="00AA7F20" w:rsidRPr="004C6ED9" w:rsidRDefault="00AA7F20" w:rsidP="00AA7F20">
            <w:pPr>
              <w:pStyle w:val="08-Tabelageral"/>
              <w:rPr>
                <w:rFonts w:cs="Arial"/>
                <w:szCs w:val="14"/>
              </w:rPr>
            </w:pPr>
            <w:r>
              <w:rPr>
                <w:rFonts w:cs="Arial"/>
                <w:szCs w:val="14"/>
                <w:lang w:eastAsia="en-US"/>
              </w:rPr>
              <w:t>222,399</w:t>
            </w:r>
          </w:p>
        </w:tc>
        <w:tc>
          <w:tcPr>
            <w:tcW w:w="1418" w:type="dxa"/>
            <w:tcBorders>
              <w:bottom w:val="nil"/>
            </w:tcBorders>
            <w:shd w:val="clear" w:color="auto" w:fill="auto"/>
            <w:vAlign w:val="bottom"/>
          </w:tcPr>
          <w:p w14:paraId="39E922C7" w14:textId="77777777" w:rsidR="00AA7F20" w:rsidRPr="004C6ED9" w:rsidRDefault="00AA7F20" w:rsidP="00AA7F20">
            <w:pPr>
              <w:pStyle w:val="08-Tabelageral"/>
              <w:rPr>
                <w:rFonts w:cs="Arial"/>
                <w:szCs w:val="14"/>
              </w:rPr>
            </w:pPr>
            <w:r>
              <w:rPr>
                <w:rFonts w:cs="Arial"/>
                <w:szCs w:val="14"/>
                <w:lang w:eastAsia="en-US"/>
              </w:rPr>
              <w:t>218,871</w:t>
            </w:r>
          </w:p>
        </w:tc>
      </w:tr>
      <w:tr w:rsidR="00AA7F20" w:rsidRPr="004C6ED9" w14:paraId="0EA19C0D" w14:textId="77777777" w:rsidTr="00AA7F20">
        <w:trPr>
          <w:trHeight w:val="238"/>
        </w:trPr>
        <w:tc>
          <w:tcPr>
            <w:tcW w:w="3094" w:type="dxa"/>
            <w:gridSpan w:val="2"/>
            <w:tcBorders>
              <w:top w:val="nil"/>
              <w:bottom w:val="nil"/>
            </w:tcBorders>
            <w:shd w:val="clear" w:color="auto" w:fill="auto"/>
            <w:vAlign w:val="center"/>
          </w:tcPr>
          <w:p w14:paraId="415A4DE1" w14:textId="77777777" w:rsidR="00AA7F20" w:rsidRPr="00E048D7" w:rsidRDefault="00AA7F20" w:rsidP="00AA7F20">
            <w:pPr>
              <w:pStyle w:val="08-Tabelageral"/>
              <w:jc w:val="left"/>
              <w:rPr>
                <w:rFonts w:cs="Arial"/>
                <w:szCs w:val="14"/>
              </w:rPr>
            </w:pPr>
            <w:r>
              <w:rPr>
                <w:rFonts w:cs="Arial"/>
                <w:szCs w:val="14"/>
              </w:rPr>
              <w:t>Civil lawsuits</w:t>
            </w:r>
          </w:p>
        </w:tc>
        <w:tc>
          <w:tcPr>
            <w:tcW w:w="604" w:type="dxa"/>
            <w:tcBorders>
              <w:top w:val="nil"/>
              <w:bottom w:val="nil"/>
            </w:tcBorders>
            <w:shd w:val="clear" w:color="auto" w:fill="auto"/>
            <w:vAlign w:val="center"/>
          </w:tcPr>
          <w:p w14:paraId="406A900C" w14:textId="77777777" w:rsidR="00AA7F20" w:rsidRPr="004C6ED9" w:rsidRDefault="00AA7F20" w:rsidP="00AA7F20">
            <w:pPr>
              <w:pStyle w:val="08-Tabelageral"/>
              <w:rPr>
                <w:rFonts w:cs="Arial"/>
                <w:szCs w:val="14"/>
                <w:lang w:eastAsia="en-US"/>
              </w:rPr>
            </w:pPr>
          </w:p>
        </w:tc>
        <w:tc>
          <w:tcPr>
            <w:tcW w:w="1411" w:type="dxa"/>
            <w:tcBorders>
              <w:top w:val="nil"/>
              <w:bottom w:val="nil"/>
            </w:tcBorders>
            <w:shd w:val="clear" w:color="auto" w:fill="auto"/>
            <w:vAlign w:val="center"/>
          </w:tcPr>
          <w:p w14:paraId="5324F7FF" w14:textId="77777777" w:rsidR="00AA7F20" w:rsidRPr="004C6ED9" w:rsidRDefault="00AA7F20" w:rsidP="00AA7F20">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4C4AD118" w14:textId="77777777" w:rsidR="00AA7F20" w:rsidRPr="004C6ED9" w:rsidRDefault="00AA7F20" w:rsidP="00AA7F20">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6D446F4A" w14:textId="77777777" w:rsidR="00AA7F20" w:rsidRPr="004C6ED9" w:rsidRDefault="00AA7F20" w:rsidP="00AA7F20">
            <w:pPr>
              <w:pStyle w:val="08-Tabelageral"/>
              <w:rPr>
                <w:rFonts w:cs="Arial"/>
                <w:szCs w:val="14"/>
              </w:rPr>
            </w:pPr>
          </w:p>
        </w:tc>
        <w:tc>
          <w:tcPr>
            <w:tcW w:w="1417" w:type="dxa"/>
            <w:tcBorders>
              <w:top w:val="nil"/>
              <w:left w:val="nil"/>
              <w:bottom w:val="nil"/>
              <w:right w:val="nil"/>
            </w:tcBorders>
            <w:vAlign w:val="bottom"/>
          </w:tcPr>
          <w:p w14:paraId="756E6776" w14:textId="77777777" w:rsidR="00AA7F20" w:rsidRPr="004C6ED9" w:rsidRDefault="00AA7F20" w:rsidP="00AA7F20">
            <w:pPr>
              <w:pStyle w:val="08-Tabelageral"/>
              <w:rPr>
                <w:rFonts w:cs="Arial"/>
                <w:szCs w:val="14"/>
              </w:rPr>
            </w:pPr>
            <w:r>
              <w:rPr>
                <w:rFonts w:cs="Arial"/>
                <w:szCs w:val="14"/>
                <w:lang w:eastAsia="en-US"/>
              </w:rPr>
              <w:t>2,345</w:t>
            </w:r>
          </w:p>
        </w:tc>
        <w:tc>
          <w:tcPr>
            <w:tcW w:w="1418" w:type="dxa"/>
            <w:tcBorders>
              <w:top w:val="nil"/>
              <w:bottom w:val="nil"/>
            </w:tcBorders>
            <w:shd w:val="clear" w:color="auto" w:fill="auto"/>
            <w:vAlign w:val="bottom"/>
          </w:tcPr>
          <w:p w14:paraId="27840431" w14:textId="77777777" w:rsidR="00AA7F20" w:rsidRPr="004C6ED9" w:rsidRDefault="00AA7F20" w:rsidP="00AA7F20">
            <w:pPr>
              <w:pStyle w:val="08-Tabelageral"/>
              <w:rPr>
                <w:rFonts w:cs="Arial"/>
                <w:szCs w:val="14"/>
              </w:rPr>
            </w:pPr>
            <w:r>
              <w:rPr>
                <w:rFonts w:cs="Arial"/>
                <w:szCs w:val="14"/>
                <w:lang w:eastAsia="en-US"/>
              </w:rPr>
              <w:t>2,907</w:t>
            </w:r>
          </w:p>
        </w:tc>
      </w:tr>
      <w:tr w:rsidR="00AA7F20" w:rsidRPr="00552C1B" w14:paraId="4C53BAA5" w14:textId="77777777" w:rsidTr="00AA7F20">
        <w:trPr>
          <w:trHeight w:val="238"/>
        </w:trPr>
        <w:tc>
          <w:tcPr>
            <w:tcW w:w="3094" w:type="dxa"/>
            <w:gridSpan w:val="2"/>
            <w:tcBorders>
              <w:top w:val="nil"/>
              <w:bottom w:val="nil"/>
            </w:tcBorders>
            <w:shd w:val="clear" w:color="auto" w:fill="auto"/>
            <w:vAlign w:val="center"/>
          </w:tcPr>
          <w:p w14:paraId="68EC66CD" w14:textId="77777777" w:rsidR="00AA7F20" w:rsidRPr="00E048D7" w:rsidRDefault="00AA7F20" w:rsidP="00AA7F20">
            <w:pPr>
              <w:pStyle w:val="08-Tabelageral"/>
              <w:jc w:val="left"/>
              <w:rPr>
                <w:rFonts w:cs="Arial"/>
                <w:szCs w:val="14"/>
              </w:rPr>
            </w:pPr>
            <w:r>
              <w:rPr>
                <w:rFonts w:cs="Arial"/>
                <w:szCs w:val="14"/>
              </w:rPr>
              <w:t>Labor lawsuits</w:t>
            </w:r>
          </w:p>
        </w:tc>
        <w:tc>
          <w:tcPr>
            <w:tcW w:w="604" w:type="dxa"/>
            <w:tcBorders>
              <w:top w:val="nil"/>
              <w:bottom w:val="nil"/>
            </w:tcBorders>
            <w:shd w:val="clear" w:color="auto" w:fill="auto"/>
            <w:vAlign w:val="center"/>
          </w:tcPr>
          <w:p w14:paraId="5030BCA2" w14:textId="77777777" w:rsidR="00AA7F20" w:rsidRPr="00552C1B" w:rsidRDefault="00AA7F20" w:rsidP="00AA7F20">
            <w:pPr>
              <w:pStyle w:val="08-Tabelageral"/>
              <w:rPr>
                <w:rFonts w:cs="Arial"/>
                <w:szCs w:val="14"/>
                <w:lang w:eastAsia="en-US"/>
              </w:rPr>
            </w:pPr>
          </w:p>
        </w:tc>
        <w:tc>
          <w:tcPr>
            <w:tcW w:w="1411" w:type="dxa"/>
            <w:tcBorders>
              <w:top w:val="nil"/>
              <w:bottom w:val="nil"/>
            </w:tcBorders>
            <w:shd w:val="clear" w:color="auto" w:fill="auto"/>
            <w:vAlign w:val="center"/>
          </w:tcPr>
          <w:p w14:paraId="78C17DD9" w14:textId="77777777" w:rsidR="00AA7F20" w:rsidRPr="00552C1B" w:rsidRDefault="00AA7F20" w:rsidP="00AA7F20">
            <w:pPr>
              <w:pStyle w:val="08-Tabelageral"/>
              <w:rPr>
                <w:rFonts w:cs="Arial"/>
                <w:szCs w:val="14"/>
              </w:rPr>
            </w:pPr>
            <w:r>
              <w:rPr>
                <w:rFonts w:cs="Arial"/>
                <w:szCs w:val="14"/>
                <w:lang w:eastAsia="en-US"/>
              </w:rPr>
              <w:t>12</w:t>
            </w:r>
          </w:p>
        </w:tc>
        <w:tc>
          <w:tcPr>
            <w:tcW w:w="1412" w:type="dxa"/>
            <w:tcBorders>
              <w:top w:val="nil"/>
              <w:bottom w:val="nil"/>
            </w:tcBorders>
            <w:shd w:val="clear" w:color="auto" w:fill="auto"/>
            <w:vAlign w:val="center"/>
          </w:tcPr>
          <w:p w14:paraId="3205D65C" w14:textId="77777777" w:rsidR="00AA7F20" w:rsidRPr="00552C1B" w:rsidRDefault="00AA7F20" w:rsidP="00AA7F20">
            <w:pPr>
              <w:pStyle w:val="08-Tabelageral"/>
              <w:rPr>
                <w:rFonts w:cs="Arial"/>
                <w:szCs w:val="14"/>
              </w:rPr>
            </w:pPr>
            <w:r>
              <w:rPr>
                <w:rFonts w:cs="Arial"/>
                <w:szCs w:val="14"/>
                <w:lang w:eastAsia="en-US"/>
              </w:rPr>
              <w:t>11</w:t>
            </w:r>
          </w:p>
        </w:tc>
        <w:tc>
          <w:tcPr>
            <w:tcW w:w="283" w:type="dxa"/>
            <w:tcBorders>
              <w:top w:val="nil"/>
              <w:bottom w:val="nil"/>
            </w:tcBorders>
            <w:shd w:val="clear" w:color="auto" w:fill="auto"/>
            <w:vAlign w:val="center"/>
          </w:tcPr>
          <w:p w14:paraId="24FD49E3" w14:textId="77777777" w:rsidR="00AA7F20" w:rsidRPr="00552C1B" w:rsidRDefault="00AA7F20" w:rsidP="00AA7F20">
            <w:pPr>
              <w:pStyle w:val="08-Tabelageral"/>
              <w:rPr>
                <w:rFonts w:cs="Arial"/>
                <w:szCs w:val="14"/>
              </w:rPr>
            </w:pPr>
          </w:p>
        </w:tc>
        <w:tc>
          <w:tcPr>
            <w:tcW w:w="1417" w:type="dxa"/>
            <w:tcBorders>
              <w:top w:val="nil"/>
              <w:left w:val="nil"/>
              <w:bottom w:val="nil"/>
              <w:right w:val="nil"/>
            </w:tcBorders>
            <w:vAlign w:val="bottom"/>
          </w:tcPr>
          <w:p w14:paraId="2408415D" w14:textId="77777777" w:rsidR="00AA7F20" w:rsidRPr="00552C1B" w:rsidRDefault="00AA7F20" w:rsidP="00AA7F20">
            <w:pPr>
              <w:pStyle w:val="08-Tabelageral"/>
              <w:rPr>
                <w:rFonts w:cs="Arial"/>
                <w:szCs w:val="14"/>
              </w:rPr>
            </w:pPr>
            <w:r>
              <w:rPr>
                <w:rFonts w:cs="Arial"/>
                <w:szCs w:val="14"/>
                <w:lang w:eastAsia="en-US"/>
              </w:rPr>
              <w:t>58</w:t>
            </w:r>
          </w:p>
        </w:tc>
        <w:tc>
          <w:tcPr>
            <w:tcW w:w="1418" w:type="dxa"/>
            <w:tcBorders>
              <w:top w:val="nil"/>
              <w:bottom w:val="nil"/>
            </w:tcBorders>
            <w:shd w:val="clear" w:color="auto" w:fill="auto"/>
            <w:vAlign w:val="bottom"/>
          </w:tcPr>
          <w:p w14:paraId="6BC05397" w14:textId="77777777" w:rsidR="00AA7F20" w:rsidRPr="00552C1B" w:rsidRDefault="00AA7F20" w:rsidP="00AA7F20">
            <w:pPr>
              <w:pStyle w:val="08-Tabelageral"/>
              <w:rPr>
                <w:rFonts w:cs="Arial"/>
                <w:szCs w:val="14"/>
                <w:lang w:eastAsia="en-US"/>
              </w:rPr>
            </w:pPr>
            <w:r>
              <w:rPr>
                <w:rFonts w:cs="Arial"/>
                <w:szCs w:val="14"/>
                <w:lang w:eastAsia="en-US"/>
              </w:rPr>
              <w:t>56</w:t>
            </w:r>
          </w:p>
        </w:tc>
      </w:tr>
      <w:tr w:rsidR="00AA7F20" w:rsidRPr="007B2180" w14:paraId="6310F9EF" w14:textId="77777777" w:rsidTr="00AA7F20">
        <w:trPr>
          <w:trHeight w:val="238"/>
        </w:trPr>
        <w:tc>
          <w:tcPr>
            <w:tcW w:w="3094" w:type="dxa"/>
            <w:gridSpan w:val="2"/>
            <w:tcBorders>
              <w:top w:val="nil"/>
            </w:tcBorders>
            <w:shd w:val="clear" w:color="auto" w:fill="auto"/>
            <w:vAlign w:val="center"/>
          </w:tcPr>
          <w:p w14:paraId="432C3045" w14:textId="77777777" w:rsidR="00AA7F20" w:rsidRPr="00552C1B" w:rsidRDefault="00AA7F20" w:rsidP="00AA7F20">
            <w:pPr>
              <w:keepNext/>
              <w:keepLines/>
              <w:spacing w:before="40" w:after="40" w:line="240" w:lineRule="auto"/>
              <w:rPr>
                <w:rFonts w:cs="Arial"/>
                <w:b/>
                <w:bCs/>
                <w:spacing w:val="-2"/>
                <w:sz w:val="14"/>
                <w:szCs w:val="14"/>
              </w:rPr>
            </w:pPr>
            <w:r w:rsidRPr="00552C1B">
              <w:rPr>
                <w:rFonts w:cs="Arial"/>
                <w:b/>
                <w:spacing w:val="-2"/>
                <w:sz w:val="14"/>
                <w:szCs w:val="14"/>
              </w:rPr>
              <w:t>Total</w:t>
            </w:r>
          </w:p>
        </w:tc>
        <w:tc>
          <w:tcPr>
            <w:tcW w:w="604" w:type="dxa"/>
            <w:tcBorders>
              <w:top w:val="nil"/>
            </w:tcBorders>
            <w:shd w:val="clear" w:color="auto" w:fill="auto"/>
            <w:vAlign w:val="center"/>
          </w:tcPr>
          <w:p w14:paraId="1144A93A" w14:textId="77777777" w:rsidR="00AA7F20" w:rsidRPr="00552C1B" w:rsidRDefault="00AA7F20" w:rsidP="00AA7F20">
            <w:pPr>
              <w:pStyle w:val="08-Tabelageral"/>
              <w:rPr>
                <w:rFonts w:cs="Arial"/>
                <w:b/>
                <w:szCs w:val="14"/>
                <w:lang w:eastAsia="en-US"/>
              </w:rPr>
            </w:pPr>
          </w:p>
        </w:tc>
        <w:tc>
          <w:tcPr>
            <w:tcW w:w="1411" w:type="dxa"/>
            <w:tcBorders>
              <w:top w:val="nil"/>
            </w:tcBorders>
            <w:shd w:val="clear" w:color="auto" w:fill="auto"/>
            <w:vAlign w:val="center"/>
          </w:tcPr>
          <w:p w14:paraId="121CC79A" w14:textId="77777777" w:rsidR="00AA7F20" w:rsidRPr="00552C1B" w:rsidRDefault="00AA7F20" w:rsidP="00AA7F20">
            <w:pPr>
              <w:pStyle w:val="08-Tabelageral"/>
              <w:rPr>
                <w:rFonts w:cs="Arial"/>
                <w:b/>
                <w:szCs w:val="14"/>
              </w:rPr>
            </w:pPr>
            <w:r>
              <w:rPr>
                <w:rFonts w:cs="Arial"/>
                <w:b/>
                <w:szCs w:val="14"/>
                <w:lang w:eastAsia="en-US"/>
              </w:rPr>
              <w:t>12</w:t>
            </w:r>
          </w:p>
        </w:tc>
        <w:tc>
          <w:tcPr>
            <w:tcW w:w="1412" w:type="dxa"/>
            <w:tcBorders>
              <w:top w:val="nil"/>
            </w:tcBorders>
            <w:shd w:val="clear" w:color="auto" w:fill="auto"/>
            <w:vAlign w:val="center"/>
          </w:tcPr>
          <w:p w14:paraId="752214E4" w14:textId="77777777" w:rsidR="00AA7F20" w:rsidRPr="00552C1B" w:rsidRDefault="00AA7F20" w:rsidP="00AA7F20">
            <w:pPr>
              <w:pStyle w:val="08-Tabelageral"/>
              <w:rPr>
                <w:rFonts w:cs="Arial"/>
                <w:b/>
                <w:szCs w:val="14"/>
              </w:rPr>
            </w:pPr>
            <w:r>
              <w:rPr>
                <w:rFonts w:cs="Arial"/>
                <w:b/>
                <w:szCs w:val="14"/>
                <w:lang w:eastAsia="en-US"/>
              </w:rPr>
              <w:t>11</w:t>
            </w:r>
          </w:p>
        </w:tc>
        <w:tc>
          <w:tcPr>
            <w:tcW w:w="283" w:type="dxa"/>
            <w:tcBorders>
              <w:top w:val="nil"/>
            </w:tcBorders>
            <w:shd w:val="clear" w:color="auto" w:fill="auto"/>
            <w:vAlign w:val="center"/>
          </w:tcPr>
          <w:p w14:paraId="378866A4" w14:textId="77777777" w:rsidR="00AA7F20" w:rsidRPr="00552C1B" w:rsidRDefault="00AA7F20" w:rsidP="00AA7F20">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06D66624" w14:textId="77777777" w:rsidR="00AA7F20" w:rsidRPr="00552C1B" w:rsidRDefault="00AA7F20" w:rsidP="00AA7F20">
            <w:pPr>
              <w:pStyle w:val="08-Tabelageral"/>
              <w:rPr>
                <w:rFonts w:cs="Arial"/>
                <w:b/>
                <w:szCs w:val="14"/>
              </w:rPr>
            </w:pPr>
            <w:r>
              <w:rPr>
                <w:rFonts w:cs="Arial"/>
                <w:b/>
                <w:szCs w:val="14"/>
                <w:lang w:eastAsia="en-US"/>
              </w:rPr>
              <w:t>224,802</w:t>
            </w:r>
          </w:p>
        </w:tc>
        <w:tc>
          <w:tcPr>
            <w:tcW w:w="1418" w:type="dxa"/>
            <w:tcBorders>
              <w:top w:val="nil"/>
            </w:tcBorders>
            <w:shd w:val="clear" w:color="auto" w:fill="auto"/>
            <w:vAlign w:val="center"/>
          </w:tcPr>
          <w:p w14:paraId="6A192E45" w14:textId="77777777" w:rsidR="00AA7F20" w:rsidRPr="007B2180" w:rsidRDefault="00AA7F20" w:rsidP="00AA7F20">
            <w:pPr>
              <w:pStyle w:val="08-Tabelageral"/>
              <w:rPr>
                <w:rFonts w:cs="Arial"/>
                <w:b/>
                <w:szCs w:val="14"/>
              </w:rPr>
            </w:pPr>
            <w:r>
              <w:rPr>
                <w:rFonts w:cs="Arial"/>
                <w:b/>
                <w:szCs w:val="14"/>
                <w:lang w:eastAsia="en-US"/>
              </w:rPr>
              <w:t>221,834</w:t>
            </w:r>
          </w:p>
        </w:tc>
      </w:tr>
    </w:tbl>
    <w:p w14:paraId="1D51431B" w14:textId="77777777" w:rsidR="00AA7F20" w:rsidRPr="00134726" w:rsidRDefault="00AA7F20" w:rsidP="00AA7F20">
      <w:pPr>
        <w:pStyle w:val="07-Legenda"/>
        <w:rPr>
          <w:rFonts w:cs="Arial"/>
          <w:lang w:val="en-US"/>
        </w:rPr>
      </w:pPr>
      <w:r w:rsidRPr="00134726">
        <w:rPr>
          <w:rFonts w:cs="Arial"/>
          <w:lang w:val="en-US"/>
        </w:rPr>
        <w:t>(1)</w:t>
      </w:r>
      <w:r w:rsidRPr="00134726">
        <w:rPr>
          <w:rFonts w:cs="Arial"/>
          <w:lang w:val="en-US"/>
        </w:rPr>
        <w:tab/>
      </w:r>
      <w:r>
        <w:rPr>
          <w:rStyle w:val="tlid-translation"/>
          <w:lang w:val="en"/>
        </w:rPr>
        <w:t xml:space="preserve">Refers mainly to a tax lawsuit aimed at annulling an administrative decision that did not ratify declarations of offsetting negative IRPJ balances with various taxes. The updated amount of the aforementioned judicial deposit is R$ </w:t>
      </w:r>
      <w:r w:rsidRPr="003E5C99">
        <w:rPr>
          <w:rStyle w:val="tlid-translation"/>
          <w:lang w:val="en"/>
        </w:rPr>
        <w:t>16</w:t>
      </w:r>
      <w:r>
        <w:rPr>
          <w:rStyle w:val="tlid-translation"/>
          <w:lang w:val="en"/>
        </w:rPr>
        <w:t>8,037</w:t>
      </w:r>
      <w:r w:rsidRPr="003E5C99">
        <w:rPr>
          <w:rStyle w:val="tlid-translation"/>
          <w:lang w:val="en"/>
        </w:rPr>
        <w:t xml:space="preserve"> </w:t>
      </w:r>
      <w:r>
        <w:rPr>
          <w:rStyle w:val="tlid-translation"/>
          <w:lang w:val="en"/>
        </w:rPr>
        <w:t>thousand (R$ 165,385</w:t>
      </w:r>
      <w:r w:rsidRPr="003E5C99">
        <w:rPr>
          <w:rStyle w:val="tlid-translation"/>
          <w:lang w:val="en"/>
        </w:rPr>
        <w:t xml:space="preserve"> </w:t>
      </w:r>
      <w:r>
        <w:rPr>
          <w:rStyle w:val="tlid-translation"/>
          <w:lang w:val="en"/>
        </w:rPr>
        <w:t>thousand on Dec 31, 2022), referring to the investee BB Corretora.</w:t>
      </w:r>
      <w:bookmarkEnd w:id="55"/>
    </w:p>
    <w:p w14:paraId="72F6013A" w14:textId="09319F09" w:rsidR="00CC37BC" w:rsidRDefault="00CC37BC" w:rsidP="00AA7F20">
      <w:pPr>
        <w:pStyle w:val="Ttulo1"/>
        <w:rPr>
          <w:rFonts w:eastAsiaTheme="majorEastAsia"/>
          <w:lang w:val="pt-BR"/>
        </w:rPr>
      </w:pPr>
    </w:p>
    <w:p w14:paraId="4C1C7A00" w14:textId="77777777" w:rsidR="00CC37BC" w:rsidRDefault="00CC37BC">
      <w:pPr>
        <w:rPr>
          <w:rFonts w:eastAsiaTheme="majorEastAsia" w:cs="Arial"/>
          <w:b/>
          <w:bCs/>
          <w:color w:val="1F4E79" w:themeColor="accent1" w:themeShade="80"/>
          <w:sz w:val="20"/>
          <w:szCs w:val="20"/>
          <w:lang w:eastAsia="pt-BR"/>
        </w:rPr>
      </w:pPr>
      <w:r>
        <w:rPr>
          <w:rFonts w:eastAsiaTheme="majorEastAsia"/>
        </w:rPr>
        <w:br w:type="page"/>
      </w:r>
    </w:p>
    <w:p w14:paraId="14466222" w14:textId="129F6D52" w:rsidR="00AA7F20" w:rsidRPr="00FB1814" w:rsidRDefault="00AA7F20" w:rsidP="00AA7F20">
      <w:pPr>
        <w:pStyle w:val="Ttulo1"/>
        <w:rPr>
          <w:b w:val="0"/>
        </w:rPr>
      </w:pPr>
      <w:bookmarkStart w:id="58" w:name="_Toc134823587"/>
      <w:r>
        <w:lastRenderedPageBreak/>
        <w:t>23</w:t>
      </w:r>
      <w:r w:rsidRPr="00FB1814">
        <w:t xml:space="preserve"> – UNEARDED COMMISSIONS</w:t>
      </w:r>
      <w:bookmarkEnd w:id="58"/>
    </w:p>
    <w:p w14:paraId="6B2F6659" w14:textId="77777777" w:rsidR="00AA7F20" w:rsidRPr="00BF3B80" w:rsidRDefault="00AA7F20" w:rsidP="00AA7F20">
      <w:pPr>
        <w:pStyle w:val="01-TtulodeNota"/>
        <w:spacing w:before="0" w:after="0"/>
        <w:jc w:val="right"/>
        <w:rPr>
          <w:sz w:val="14"/>
          <w:szCs w:val="14"/>
        </w:rPr>
      </w:pPr>
      <w:r w:rsidRPr="00BF3B80">
        <w:rPr>
          <w:sz w:val="14"/>
          <w:szCs w:val="14"/>
        </w:rPr>
        <w:t>R$ thousand</w:t>
      </w:r>
    </w:p>
    <w:tbl>
      <w:tblPr>
        <w:tblW w:w="9658"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AA7F20" w:rsidRPr="00FB1814" w14:paraId="6A7CEA07" w14:textId="77777777" w:rsidTr="00AA7F20">
        <w:trPr>
          <w:trHeight w:val="238"/>
        </w:trPr>
        <w:tc>
          <w:tcPr>
            <w:tcW w:w="5641" w:type="dxa"/>
            <w:gridSpan w:val="3"/>
            <w:tcBorders>
              <w:top w:val="single" w:sz="2" w:space="0" w:color="1F4E79" w:themeColor="accent1" w:themeShade="80"/>
              <w:bottom w:val="nil"/>
            </w:tcBorders>
            <w:shd w:val="clear" w:color="auto" w:fill="auto"/>
            <w:vAlign w:val="center"/>
          </w:tcPr>
          <w:p w14:paraId="147666C9" w14:textId="77777777" w:rsidR="00AA7F20" w:rsidRPr="00FB1814" w:rsidRDefault="00AA7F20" w:rsidP="00AA7F20">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1D51E9A4" w14:textId="77777777" w:rsidR="00AA7F20" w:rsidRPr="00FB1814" w:rsidRDefault="00AA7F20" w:rsidP="00AA7F20">
            <w:pPr>
              <w:pStyle w:val="08-Tabelageral"/>
              <w:jc w:val="center"/>
              <w:rPr>
                <w:b/>
              </w:rPr>
            </w:pPr>
            <w:r w:rsidRPr="00FB1814">
              <w:rPr>
                <w:rFonts w:cs="Arial"/>
                <w:b/>
                <w:szCs w:val="14"/>
              </w:rPr>
              <w:t>Consolidated</w:t>
            </w:r>
          </w:p>
        </w:tc>
      </w:tr>
      <w:tr w:rsidR="00AA7F20" w:rsidRPr="0049410B" w14:paraId="7913F13D" w14:textId="77777777" w:rsidTr="00AA7F20">
        <w:trPr>
          <w:trHeight w:val="238"/>
        </w:trPr>
        <w:tc>
          <w:tcPr>
            <w:tcW w:w="5641" w:type="dxa"/>
            <w:gridSpan w:val="3"/>
            <w:tcBorders>
              <w:top w:val="nil"/>
              <w:bottom w:val="single" w:sz="2" w:space="0" w:color="1F4E79" w:themeColor="accent1" w:themeShade="80"/>
            </w:tcBorders>
            <w:shd w:val="clear" w:color="auto" w:fill="auto"/>
          </w:tcPr>
          <w:p w14:paraId="552B0A40" w14:textId="77777777" w:rsidR="00AA7F20" w:rsidRPr="0049410B" w:rsidRDefault="00AA7F20" w:rsidP="00AA7F20">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tcPr>
          <w:p w14:paraId="6F350ED1" w14:textId="77777777" w:rsidR="00AA7F20" w:rsidRPr="004F4E1E" w:rsidRDefault="00AA7F20" w:rsidP="00AA7F20">
            <w:pPr>
              <w:pStyle w:val="08-Tabelageral"/>
              <w:rPr>
                <w:b/>
              </w:rPr>
            </w:pPr>
            <w:r>
              <w:rPr>
                <w:rFonts w:cs="Arial"/>
                <w:b/>
                <w:bCs/>
                <w:kern w:val="2"/>
                <w:szCs w:val="14"/>
                <w:lang w:val="en-US"/>
              </w:rPr>
              <w:t>Mar 31, 2023</w:t>
            </w:r>
          </w:p>
        </w:tc>
        <w:tc>
          <w:tcPr>
            <w:tcW w:w="2009" w:type="dxa"/>
            <w:tcBorders>
              <w:top w:val="single" w:sz="2" w:space="0" w:color="1F4E79" w:themeColor="accent1" w:themeShade="80"/>
              <w:bottom w:val="single" w:sz="2" w:space="0" w:color="1F4E79" w:themeColor="accent1" w:themeShade="80"/>
            </w:tcBorders>
            <w:shd w:val="clear" w:color="auto" w:fill="auto"/>
          </w:tcPr>
          <w:p w14:paraId="61865266" w14:textId="77777777" w:rsidR="00AA7F20" w:rsidRPr="004F4E1E" w:rsidRDefault="00AA7F20" w:rsidP="00AA7F20">
            <w:pPr>
              <w:pStyle w:val="08-Tabelageral"/>
              <w:rPr>
                <w:b/>
              </w:rPr>
            </w:pPr>
            <w:r>
              <w:rPr>
                <w:rFonts w:cs="Arial"/>
                <w:b/>
                <w:bCs/>
                <w:kern w:val="2"/>
                <w:szCs w:val="14"/>
                <w:lang w:val="en-US"/>
              </w:rPr>
              <w:t>Dec 31, 2022</w:t>
            </w:r>
          </w:p>
        </w:tc>
      </w:tr>
      <w:tr w:rsidR="00AA7F20" w:rsidRPr="00FB1814" w14:paraId="20EBCF11" w14:textId="77777777" w:rsidTr="00AA7F20">
        <w:trPr>
          <w:trHeight w:val="238"/>
        </w:trPr>
        <w:tc>
          <w:tcPr>
            <w:tcW w:w="4384" w:type="dxa"/>
            <w:tcBorders>
              <w:top w:val="single" w:sz="2" w:space="0" w:color="1F4E79" w:themeColor="accent1" w:themeShade="80"/>
              <w:bottom w:val="nil"/>
            </w:tcBorders>
            <w:shd w:val="clear" w:color="auto" w:fill="auto"/>
            <w:vAlign w:val="center"/>
          </w:tcPr>
          <w:p w14:paraId="0D1A975E" w14:textId="77777777" w:rsidR="00AA7F20" w:rsidRPr="00FB1814" w:rsidRDefault="00AA7F20" w:rsidP="00AA7F20">
            <w:pPr>
              <w:pStyle w:val="08-Tabelageral"/>
              <w:jc w:val="left"/>
              <w:rPr>
                <w:rFonts w:cs="Arial"/>
                <w:b/>
                <w:lang w:val="en-US"/>
              </w:rPr>
            </w:pPr>
            <w:r w:rsidRPr="00FB1814">
              <w:rPr>
                <w:rFonts w:cs="Arial"/>
                <w:b/>
                <w:lang w:val="en-US"/>
              </w:rPr>
              <w:t>Current Liabilities</w:t>
            </w:r>
          </w:p>
        </w:tc>
        <w:tc>
          <w:tcPr>
            <w:tcW w:w="856" w:type="dxa"/>
            <w:tcBorders>
              <w:top w:val="single" w:sz="2" w:space="0" w:color="1F4E79" w:themeColor="accent1" w:themeShade="80"/>
              <w:bottom w:val="nil"/>
            </w:tcBorders>
            <w:shd w:val="clear" w:color="auto" w:fill="auto"/>
          </w:tcPr>
          <w:p w14:paraId="502D9B55" w14:textId="77777777" w:rsidR="00AA7F20" w:rsidRPr="00FB1814" w:rsidRDefault="00AA7F20" w:rsidP="00AA7F20">
            <w:pPr>
              <w:pStyle w:val="08-Tabelageral"/>
              <w:rPr>
                <w:b/>
              </w:rPr>
            </w:pPr>
          </w:p>
        </w:tc>
        <w:tc>
          <w:tcPr>
            <w:tcW w:w="401" w:type="dxa"/>
            <w:tcBorders>
              <w:top w:val="single" w:sz="2" w:space="0" w:color="1F4E79" w:themeColor="accent1" w:themeShade="80"/>
              <w:bottom w:val="nil"/>
            </w:tcBorders>
            <w:shd w:val="clear" w:color="auto" w:fill="auto"/>
          </w:tcPr>
          <w:p w14:paraId="00ACEFD6" w14:textId="77777777" w:rsidR="00AA7F20" w:rsidRPr="00FB1814" w:rsidRDefault="00AA7F20" w:rsidP="00AA7F20">
            <w:pPr>
              <w:pStyle w:val="08-Tabelageral"/>
              <w:rPr>
                <w:b/>
              </w:rPr>
            </w:pPr>
          </w:p>
        </w:tc>
        <w:tc>
          <w:tcPr>
            <w:tcW w:w="2008" w:type="dxa"/>
            <w:tcBorders>
              <w:top w:val="single" w:sz="2" w:space="0" w:color="1F4E79" w:themeColor="accent1" w:themeShade="80"/>
              <w:bottom w:val="nil"/>
            </w:tcBorders>
            <w:shd w:val="clear" w:color="auto" w:fill="auto"/>
          </w:tcPr>
          <w:p w14:paraId="0579A40F" w14:textId="77777777" w:rsidR="00AA7F20" w:rsidRPr="00FB1814" w:rsidRDefault="00AA7F20" w:rsidP="00AA7F20">
            <w:pPr>
              <w:pStyle w:val="08-Tabelageral"/>
              <w:rPr>
                <w:b/>
              </w:rPr>
            </w:pPr>
            <w:r>
              <w:rPr>
                <w:b/>
              </w:rPr>
              <w:t>1,705,334</w:t>
            </w:r>
          </w:p>
        </w:tc>
        <w:tc>
          <w:tcPr>
            <w:tcW w:w="2009" w:type="dxa"/>
            <w:tcBorders>
              <w:top w:val="single" w:sz="2" w:space="0" w:color="1F4E79" w:themeColor="accent1" w:themeShade="80"/>
              <w:bottom w:val="nil"/>
            </w:tcBorders>
            <w:shd w:val="clear" w:color="auto" w:fill="auto"/>
          </w:tcPr>
          <w:p w14:paraId="26979996" w14:textId="77777777" w:rsidR="00AA7F20" w:rsidRPr="00FB1814" w:rsidRDefault="00AA7F20" w:rsidP="00AA7F20">
            <w:pPr>
              <w:pStyle w:val="08-Tabelageral"/>
              <w:rPr>
                <w:b/>
              </w:rPr>
            </w:pPr>
            <w:r>
              <w:rPr>
                <w:b/>
                <w:bCs/>
              </w:rPr>
              <w:t>1,760,473</w:t>
            </w:r>
          </w:p>
        </w:tc>
      </w:tr>
      <w:tr w:rsidR="00AA7F20" w:rsidRPr="0049410B" w14:paraId="5C6EC2CA" w14:textId="77777777" w:rsidTr="00AA7F20">
        <w:trPr>
          <w:trHeight w:val="238"/>
        </w:trPr>
        <w:tc>
          <w:tcPr>
            <w:tcW w:w="4384" w:type="dxa"/>
            <w:tcBorders>
              <w:top w:val="nil"/>
            </w:tcBorders>
            <w:shd w:val="clear" w:color="auto" w:fill="auto"/>
            <w:vAlign w:val="center"/>
          </w:tcPr>
          <w:p w14:paraId="117382E0" w14:textId="77777777" w:rsidR="00AA7F20" w:rsidRPr="002547FE" w:rsidRDefault="00AA7F20" w:rsidP="00AA7F20">
            <w:pPr>
              <w:pStyle w:val="08-Tabelageral"/>
              <w:ind w:left="113"/>
              <w:jc w:val="left"/>
              <w:rPr>
                <w:rFonts w:cs="Arial"/>
                <w:b/>
                <w:highlight w:val="yellow"/>
                <w:lang w:val="en-US"/>
              </w:rPr>
            </w:pPr>
            <w:r>
              <w:rPr>
                <w:rFonts w:cs="Arial"/>
                <w:lang w:val="en-US"/>
              </w:rPr>
              <w:t>BB MAPFRE</w:t>
            </w:r>
          </w:p>
        </w:tc>
        <w:tc>
          <w:tcPr>
            <w:tcW w:w="856" w:type="dxa"/>
            <w:tcBorders>
              <w:top w:val="nil"/>
            </w:tcBorders>
            <w:shd w:val="clear" w:color="auto" w:fill="auto"/>
          </w:tcPr>
          <w:p w14:paraId="17709658" w14:textId="77777777" w:rsidR="00AA7F20" w:rsidRPr="0049410B" w:rsidRDefault="00AA7F20" w:rsidP="00AA7F20">
            <w:pPr>
              <w:pStyle w:val="08-Tabelageral"/>
            </w:pPr>
          </w:p>
        </w:tc>
        <w:tc>
          <w:tcPr>
            <w:tcW w:w="401" w:type="dxa"/>
            <w:tcBorders>
              <w:top w:val="nil"/>
            </w:tcBorders>
            <w:shd w:val="clear" w:color="auto" w:fill="auto"/>
          </w:tcPr>
          <w:p w14:paraId="55446A53" w14:textId="77777777" w:rsidR="00AA7F20" w:rsidRPr="0049410B" w:rsidRDefault="00AA7F20" w:rsidP="00AA7F20">
            <w:pPr>
              <w:pStyle w:val="08-Tabelageral"/>
            </w:pPr>
          </w:p>
        </w:tc>
        <w:tc>
          <w:tcPr>
            <w:tcW w:w="2008" w:type="dxa"/>
            <w:tcBorders>
              <w:top w:val="nil"/>
            </w:tcBorders>
            <w:shd w:val="clear" w:color="auto" w:fill="auto"/>
          </w:tcPr>
          <w:p w14:paraId="3CAFC4C3" w14:textId="77777777" w:rsidR="00AA7F20" w:rsidRPr="00FE0AFD" w:rsidRDefault="00AA7F20" w:rsidP="00AA7F20">
            <w:pPr>
              <w:pStyle w:val="08-Tabelageral"/>
            </w:pPr>
            <w:r>
              <w:t>1,596,538</w:t>
            </w:r>
          </w:p>
        </w:tc>
        <w:tc>
          <w:tcPr>
            <w:tcW w:w="2009" w:type="dxa"/>
            <w:tcBorders>
              <w:top w:val="nil"/>
            </w:tcBorders>
            <w:shd w:val="clear" w:color="auto" w:fill="auto"/>
          </w:tcPr>
          <w:p w14:paraId="3E1C3D77" w14:textId="77777777" w:rsidR="00AA7F20" w:rsidRPr="00FE0AFD" w:rsidRDefault="00AA7F20" w:rsidP="00AA7F20">
            <w:pPr>
              <w:pStyle w:val="08-Tabelageral"/>
            </w:pPr>
            <w:r>
              <w:t>1,656,677</w:t>
            </w:r>
          </w:p>
        </w:tc>
      </w:tr>
      <w:tr w:rsidR="00AA7F20" w:rsidRPr="0049410B" w14:paraId="5089AD24" w14:textId="77777777" w:rsidTr="00AA7F20">
        <w:trPr>
          <w:trHeight w:val="238"/>
        </w:trPr>
        <w:tc>
          <w:tcPr>
            <w:tcW w:w="4384" w:type="dxa"/>
            <w:shd w:val="clear" w:color="auto" w:fill="auto"/>
            <w:vAlign w:val="center"/>
          </w:tcPr>
          <w:p w14:paraId="2033A0F1" w14:textId="77777777" w:rsidR="00AA7F20" w:rsidRPr="002547FE" w:rsidRDefault="00AA7F20" w:rsidP="00AA7F20">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77B2040E" w14:textId="77777777" w:rsidR="00AA7F20" w:rsidRPr="0049410B" w:rsidRDefault="00AA7F20" w:rsidP="00AA7F20">
            <w:pPr>
              <w:pStyle w:val="08-Tabelageral"/>
            </w:pPr>
          </w:p>
        </w:tc>
        <w:tc>
          <w:tcPr>
            <w:tcW w:w="401" w:type="dxa"/>
            <w:shd w:val="clear" w:color="auto" w:fill="auto"/>
          </w:tcPr>
          <w:p w14:paraId="03528A5F" w14:textId="77777777" w:rsidR="00AA7F20" w:rsidRPr="0049410B" w:rsidRDefault="00AA7F20" w:rsidP="00AA7F20">
            <w:pPr>
              <w:pStyle w:val="08-Tabelageral"/>
            </w:pPr>
          </w:p>
        </w:tc>
        <w:tc>
          <w:tcPr>
            <w:tcW w:w="2008" w:type="dxa"/>
            <w:shd w:val="clear" w:color="auto" w:fill="auto"/>
          </w:tcPr>
          <w:p w14:paraId="1093069A" w14:textId="77777777" w:rsidR="00AA7F20" w:rsidRPr="00FE0AFD" w:rsidRDefault="00AA7F20" w:rsidP="00AA7F20">
            <w:pPr>
              <w:pStyle w:val="08-Tabelageral"/>
            </w:pPr>
            <w:r>
              <w:t>108,593</w:t>
            </w:r>
          </w:p>
        </w:tc>
        <w:tc>
          <w:tcPr>
            <w:tcW w:w="2009" w:type="dxa"/>
            <w:shd w:val="clear" w:color="auto" w:fill="auto"/>
          </w:tcPr>
          <w:p w14:paraId="7370FC3D" w14:textId="77777777" w:rsidR="00AA7F20" w:rsidRPr="00FE0AFD" w:rsidRDefault="00AA7F20" w:rsidP="00AA7F20">
            <w:pPr>
              <w:pStyle w:val="08-Tabelageral"/>
            </w:pPr>
            <w:r>
              <w:t>103,560</w:t>
            </w:r>
          </w:p>
        </w:tc>
      </w:tr>
      <w:tr w:rsidR="00AA7F20" w:rsidRPr="0049410B" w14:paraId="78658AAF" w14:textId="77777777" w:rsidTr="00AA7F20">
        <w:trPr>
          <w:trHeight w:val="238"/>
        </w:trPr>
        <w:tc>
          <w:tcPr>
            <w:tcW w:w="4384" w:type="dxa"/>
            <w:shd w:val="clear" w:color="auto" w:fill="auto"/>
            <w:vAlign w:val="center"/>
          </w:tcPr>
          <w:p w14:paraId="4CC41704" w14:textId="77777777" w:rsidR="00AA7F20" w:rsidRPr="002547FE" w:rsidRDefault="00AA7F20" w:rsidP="00AA7F20">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19B3E599" w14:textId="77777777" w:rsidR="00AA7F20" w:rsidRPr="0049410B" w:rsidRDefault="00AA7F20" w:rsidP="00AA7F20">
            <w:pPr>
              <w:pStyle w:val="08-Tabelageral"/>
            </w:pPr>
          </w:p>
        </w:tc>
        <w:tc>
          <w:tcPr>
            <w:tcW w:w="401" w:type="dxa"/>
            <w:shd w:val="clear" w:color="auto" w:fill="auto"/>
          </w:tcPr>
          <w:p w14:paraId="257BDCB3" w14:textId="77777777" w:rsidR="00AA7F20" w:rsidRPr="0049410B" w:rsidRDefault="00AA7F20" w:rsidP="00AA7F20">
            <w:pPr>
              <w:pStyle w:val="08-Tabelageral"/>
            </w:pPr>
          </w:p>
        </w:tc>
        <w:tc>
          <w:tcPr>
            <w:tcW w:w="2008" w:type="dxa"/>
            <w:shd w:val="clear" w:color="auto" w:fill="auto"/>
          </w:tcPr>
          <w:p w14:paraId="1BCE88C2" w14:textId="77777777" w:rsidR="00AA7F20" w:rsidRDefault="00AA7F20" w:rsidP="00AA7F20">
            <w:pPr>
              <w:pStyle w:val="08-Tabelageral"/>
            </w:pPr>
            <w:r>
              <w:t>203</w:t>
            </w:r>
          </w:p>
        </w:tc>
        <w:tc>
          <w:tcPr>
            <w:tcW w:w="2009" w:type="dxa"/>
            <w:shd w:val="clear" w:color="auto" w:fill="auto"/>
          </w:tcPr>
          <w:p w14:paraId="5D614A20" w14:textId="77777777" w:rsidR="00AA7F20" w:rsidRDefault="00AA7F20" w:rsidP="00AA7F20">
            <w:pPr>
              <w:pStyle w:val="08-Tabelageral"/>
            </w:pPr>
            <w:r>
              <w:t>236</w:t>
            </w:r>
          </w:p>
        </w:tc>
      </w:tr>
      <w:tr w:rsidR="00AA7F20" w:rsidRPr="00FB1814" w14:paraId="53BE10E0" w14:textId="77777777" w:rsidTr="00AA7F20">
        <w:trPr>
          <w:trHeight w:val="238"/>
        </w:trPr>
        <w:tc>
          <w:tcPr>
            <w:tcW w:w="4384" w:type="dxa"/>
            <w:shd w:val="clear" w:color="auto" w:fill="auto"/>
            <w:vAlign w:val="center"/>
          </w:tcPr>
          <w:p w14:paraId="6A864C57" w14:textId="77777777" w:rsidR="00AA7F20" w:rsidRPr="00FB1814" w:rsidRDefault="00AA7F20" w:rsidP="00AA7F20">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3D2B8DAE" w14:textId="77777777" w:rsidR="00AA7F20" w:rsidRPr="00FB1814" w:rsidRDefault="00AA7F20" w:rsidP="00AA7F20">
            <w:pPr>
              <w:pStyle w:val="08-Tabelageral"/>
              <w:rPr>
                <w:b/>
              </w:rPr>
            </w:pPr>
          </w:p>
        </w:tc>
        <w:tc>
          <w:tcPr>
            <w:tcW w:w="401" w:type="dxa"/>
            <w:shd w:val="clear" w:color="auto" w:fill="auto"/>
          </w:tcPr>
          <w:p w14:paraId="4AE73183" w14:textId="77777777" w:rsidR="00AA7F20" w:rsidRPr="00FB1814" w:rsidRDefault="00AA7F20" w:rsidP="00AA7F20">
            <w:pPr>
              <w:pStyle w:val="08-Tabelageral"/>
              <w:rPr>
                <w:b/>
              </w:rPr>
            </w:pPr>
          </w:p>
        </w:tc>
        <w:tc>
          <w:tcPr>
            <w:tcW w:w="2008" w:type="dxa"/>
            <w:shd w:val="clear" w:color="auto" w:fill="auto"/>
          </w:tcPr>
          <w:p w14:paraId="22635E9C" w14:textId="77777777" w:rsidR="00AA7F20" w:rsidRPr="00FB1814" w:rsidRDefault="00AA7F20" w:rsidP="00AA7F20">
            <w:pPr>
              <w:pStyle w:val="08-Tabelageral"/>
              <w:rPr>
                <w:b/>
              </w:rPr>
            </w:pPr>
            <w:r>
              <w:rPr>
                <w:b/>
              </w:rPr>
              <w:t>2,031,753</w:t>
            </w:r>
          </w:p>
        </w:tc>
        <w:tc>
          <w:tcPr>
            <w:tcW w:w="2009" w:type="dxa"/>
            <w:shd w:val="clear" w:color="auto" w:fill="auto"/>
          </w:tcPr>
          <w:p w14:paraId="59314F5A" w14:textId="77777777" w:rsidR="00AA7F20" w:rsidRPr="00FB1814" w:rsidRDefault="00AA7F20" w:rsidP="00AA7F20">
            <w:pPr>
              <w:pStyle w:val="08-Tabelageral"/>
              <w:rPr>
                <w:b/>
              </w:rPr>
            </w:pPr>
            <w:r>
              <w:rPr>
                <w:b/>
                <w:bCs/>
              </w:rPr>
              <w:t>1,787,547</w:t>
            </w:r>
          </w:p>
        </w:tc>
      </w:tr>
      <w:tr w:rsidR="00AA7F20" w:rsidRPr="0049410B" w14:paraId="7F42B5A1" w14:textId="77777777" w:rsidTr="00AA7F20">
        <w:trPr>
          <w:trHeight w:val="238"/>
        </w:trPr>
        <w:tc>
          <w:tcPr>
            <w:tcW w:w="4384" w:type="dxa"/>
            <w:shd w:val="clear" w:color="auto" w:fill="auto"/>
            <w:vAlign w:val="center"/>
          </w:tcPr>
          <w:p w14:paraId="3D9A51C5" w14:textId="77777777" w:rsidR="00AA7F20" w:rsidRPr="002547FE" w:rsidRDefault="00AA7F20" w:rsidP="00AA7F20">
            <w:pPr>
              <w:pStyle w:val="08-Tabelageral"/>
              <w:ind w:left="113"/>
              <w:jc w:val="left"/>
              <w:rPr>
                <w:rFonts w:cs="Arial"/>
                <w:b/>
                <w:highlight w:val="yellow"/>
                <w:lang w:val="en-US"/>
              </w:rPr>
            </w:pPr>
            <w:r>
              <w:rPr>
                <w:rFonts w:cs="Arial"/>
                <w:lang w:val="en-US"/>
              </w:rPr>
              <w:t>BB MAPFRE</w:t>
            </w:r>
          </w:p>
        </w:tc>
        <w:tc>
          <w:tcPr>
            <w:tcW w:w="856" w:type="dxa"/>
            <w:shd w:val="clear" w:color="auto" w:fill="auto"/>
          </w:tcPr>
          <w:p w14:paraId="643FB7B9" w14:textId="77777777" w:rsidR="00AA7F20" w:rsidRPr="0049410B" w:rsidRDefault="00AA7F20" w:rsidP="00AA7F20">
            <w:pPr>
              <w:pStyle w:val="08-Tabelageral"/>
            </w:pPr>
          </w:p>
        </w:tc>
        <w:tc>
          <w:tcPr>
            <w:tcW w:w="401" w:type="dxa"/>
            <w:shd w:val="clear" w:color="auto" w:fill="auto"/>
          </w:tcPr>
          <w:p w14:paraId="7B782725" w14:textId="77777777" w:rsidR="00AA7F20" w:rsidRPr="0049410B" w:rsidRDefault="00AA7F20" w:rsidP="00AA7F20">
            <w:pPr>
              <w:pStyle w:val="08-Tabelageral"/>
            </w:pPr>
          </w:p>
        </w:tc>
        <w:tc>
          <w:tcPr>
            <w:tcW w:w="2008" w:type="dxa"/>
            <w:shd w:val="clear" w:color="auto" w:fill="auto"/>
          </w:tcPr>
          <w:p w14:paraId="4B82A8B5" w14:textId="77777777" w:rsidR="00AA7F20" w:rsidRDefault="00AA7F20" w:rsidP="00AA7F20">
            <w:pPr>
              <w:pStyle w:val="08-Tabelageral"/>
            </w:pPr>
            <w:r>
              <w:t>2,004,272</w:t>
            </w:r>
          </w:p>
        </w:tc>
        <w:tc>
          <w:tcPr>
            <w:tcW w:w="2009" w:type="dxa"/>
            <w:shd w:val="clear" w:color="auto" w:fill="auto"/>
          </w:tcPr>
          <w:p w14:paraId="6E8F01BE" w14:textId="77777777" w:rsidR="00AA7F20" w:rsidRDefault="00AA7F20" w:rsidP="00AA7F20">
            <w:pPr>
              <w:pStyle w:val="08-Tabelageral"/>
            </w:pPr>
            <w:r>
              <w:t>1,761,161</w:t>
            </w:r>
          </w:p>
        </w:tc>
      </w:tr>
      <w:tr w:rsidR="00AA7F20" w:rsidRPr="0049410B" w14:paraId="4DE96817" w14:textId="77777777" w:rsidTr="00AA7F20">
        <w:trPr>
          <w:trHeight w:val="238"/>
        </w:trPr>
        <w:tc>
          <w:tcPr>
            <w:tcW w:w="4384" w:type="dxa"/>
            <w:shd w:val="clear" w:color="auto" w:fill="auto"/>
            <w:vAlign w:val="center"/>
          </w:tcPr>
          <w:p w14:paraId="3D3ED900" w14:textId="77777777" w:rsidR="00AA7F20" w:rsidRPr="002547FE" w:rsidRDefault="00AA7F20" w:rsidP="00AA7F20">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2F17A40D" w14:textId="77777777" w:rsidR="00AA7F20" w:rsidRPr="0049410B" w:rsidRDefault="00AA7F20" w:rsidP="00AA7F20">
            <w:pPr>
              <w:pStyle w:val="08-Tabelageral"/>
            </w:pPr>
          </w:p>
        </w:tc>
        <w:tc>
          <w:tcPr>
            <w:tcW w:w="401" w:type="dxa"/>
            <w:shd w:val="clear" w:color="auto" w:fill="auto"/>
          </w:tcPr>
          <w:p w14:paraId="38FD5267" w14:textId="77777777" w:rsidR="00AA7F20" w:rsidRPr="0049410B" w:rsidRDefault="00AA7F20" w:rsidP="00AA7F20">
            <w:pPr>
              <w:pStyle w:val="08-Tabelageral"/>
            </w:pPr>
          </w:p>
        </w:tc>
        <w:tc>
          <w:tcPr>
            <w:tcW w:w="2008" w:type="dxa"/>
            <w:shd w:val="clear" w:color="auto" w:fill="auto"/>
          </w:tcPr>
          <w:p w14:paraId="694EFE6D" w14:textId="77777777" w:rsidR="00AA7F20" w:rsidRDefault="00AA7F20" w:rsidP="00AA7F20">
            <w:pPr>
              <w:pStyle w:val="08-Tabelageral"/>
            </w:pPr>
            <w:r>
              <w:t>27,481</w:t>
            </w:r>
          </w:p>
        </w:tc>
        <w:tc>
          <w:tcPr>
            <w:tcW w:w="2009" w:type="dxa"/>
            <w:shd w:val="clear" w:color="auto" w:fill="auto"/>
          </w:tcPr>
          <w:p w14:paraId="1683809B" w14:textId="77777777" w:rsidR="00AA7F20" w:rsidRDefault="00AA7F20" w:rsidP="00AA7F20">
            <w:pPr>
              <w:pStyle w:val="08-Tabelageral"/>
            </w:pPr>
            <w:r>
              <w:t>26,386</w:t>
            </w:r>
          </w:p>
        </w:tc>
      </w:tr>
      <w:tr w:rsidR="00AA7F20" w:rsidRPr="00FB1814" w14:paraId="1C160523" w14:textId="77777777" w:rsidTr="00AA7F20">
        <w:trPr>
          <w:trHeight w:val="238"/>
        </w:trPr>
        <w:tc>
          <w:tcPr>
            <w:tcW w:w="4384" w:type="dxa"/>
            <w:tcBorders>
              <w:bottom w:val="single" w:sz="2" w:space="0" w:color="1F4E79" w:themeColor="accent1" w:themeShade="80"/>
            </w:tcBorders>
            <w:shd w:val="clear" w:color="auto" w:fill="auto"/>
            <w:vAlign w:val="center"/>
          </w:tcPr>
          <w:p w14:paraId="0E4B1386" w14:textId="77777777" w:rsidR="00AA7F20" w:rsidRPr="00FB1814" w:rsidRDefault="00AA7F20" w:rsidP="00AA7F20">
            <w:pPr>
              <w:pStyle w:val="08-Tabelageral"/>
              <w:jc w:val="left"/>
              <w:rPr>
                <w:rFonts w:cs="Arial"/>
                <w:b/>
                <w:bCs/>
                <w:szCs w:val="14"/>
                <w:lang w:val="en-US"/>
              </w:rPr>
            </w:pPr>
            <w:r w:rsidRPr="00FB1814">
              <w:rPr>
                <w:rFonts w:cs="Arial"/>
                <w:b/>
                <w:lang w:val="en-US"/>
              </w:rPr>
              <w:t>Total</w:t>
            </w:r>
          </w:p>
        </w:tc>
        <w:tc>
          <w:tcPr>
            <w:tcW w:w="856" w:type="dxa"/>
            <w:tcBorders>
              <w:bottom w:val="single" w:sz="2" w:space="0" w:color="1F4E79" w:themeColor="accent1" w:themeShade="80"/>
            </w:tcBorders>
            <w:shd w:val="clear" w:color="auto" w:fill="auto"/>
          </w:tcPr>
          <w:p w14:paraId="7138B4FF" w14:textId="77777777" w:rsidR="00AA7F20" w:rsidRPr="00FB1814" w:rsidRDefault="00AA7F20" w:rsidP="00AA7F20">
            <w:pPr>
              <w:pStyle w:val="08-Tabelageral"/>
              <w:rPr>
                <w:b/>
                <w:szCs w:val="14"/>
              </w:rPr>
            </w:pPr>
          </w:p>
        </w:tc>
        <w:tc>
          <w:tcPr>
            <w:tcW w:w="401" w:type="dxa"/>
            <w:tcBorders>
              <w:bottom w:val="single" w:sz="2" w:space="0" w:color="1F4E79" w:themeColor="accent1" w:themeShade="80"/>
            </w:tcBorders>
            <w:shd w:val="clear" w:color="auto" w:fill="auto"/>
          </w:tcPr>
          <w:p w14:paraId="2784991E" w14:textId="77777777" w:rsidR="00AA7F20" w:rsidRPr="00FB1814" w:rsidRDefault="00AA7F20" w:rsidP="00AA7F20">
            <w:pPr>
              <w:pStyle w:val="08-Tabelageral"/>
              <w:rPr>
                <w:b/>
                <w:szCs w:val="14"/>
              </w:rPr>
            </w:pPr>
          </w:p>
        </w:tc>
        <w:tc>
          <w:tcPr>
            <w:tcW w:w="2008" w:type="dxa"/>
            <w:tcBorders>
              <w:bottom w:val="single" w:sz="2" w:space="0" w:color="1F4E79" w:themeColor="accent1" w:themeShade="80"/>
            </w:tcBorders>
            <w:shd w:val="clear" w:color="auto" w:fill="auto"/>
          </w:tcPr>
          <w:p w14:paraId="24F2DEC1" w14:textId="77777777" w:rsidR="00AA7F20" w:rsidRPr="00FB1814" w:rsidRDefault="00AA7F20" w:rsidP="00AA7F20">
            <w:pPr>
              <w:pStyle w:val="08-Tabelageral"/>
              <w:rPr>
                <w:b/>
              </w:rPr>
            </w:pPr>
            <w:r>
              <w:rPr>
                <w:b/>
              </w:rPr>
              <w:t>3,737,087</w:t>
            </w:r>
          </w:p>
        </w:tc>
        <w:tc>
          <w:tcPr>
            <w:tcW w:w="2009" w:type="dxa"/>
            <w:tcBorders>
              <w:bottom w:val="single" w:sz="2" w:space="0" w:color="1F4E79" w:themeColor="accent1" w:themeShade="80"/>
            </w:tcBorders>
            <w:shd w:val="clear" w:color="auto" w:fill="auto"/>
          </w:tcPr>
          <w:p w14:paraId="14585733" w14:textId="77777777" w:rsidR="00AA7F20" w:rsidRPr="00FB1814" w:rsidRDefault="00AA7F20" w:rsidP="00AA7F20">
            <w:pPr>
              <w:pStyle w:val="08-Tabelageral"/>
              <w:rPr>
                <w:b/>
              </w:rPr>
            </w:pPr>
            <w:r>
              <w:rPr>
                <w:b/>
                <w:bCs/>
              </w:rPr>
              <w:t>3,548,020</w:t>
            </w:r>
          </w:p>
        </w:tc>
      </w:tr>
    </w:tbl>
    <w:p w14:paraId="13CFDFBE" w14:textId="77777777" w:rsidR="00AA7F20" w:rsidRPr="006E1D9B" w:rsidRDefault="00AA7F20" w:rsidP="00AA7F20">
      <w:pPr>
        <w:keepLines/>
        <w:tabs>
          <w:tab w:val="left" w:pos="284"/>
        </w:tabs>
        <w:spacing w:before="40" w:after="0" w:line="240" w:lineRule="auto"/>
        <w:ind w:left="284" w:hanging="284"/>
        <w:jc w:val="both"/>
        <w:rPr>
          <w:rFonts w:eastAsia="Times New Roman" w:cs="Arial"/>
          <w:spacing w:val="-2"/>
          <w:sz w:val="14"/>
          <w:szCs w:val="14"/>
        </w:rPr>
      </w:pPr>
    </w:p>
    <w:p w14:paraId="28C72F34" w14:textId="77777777" w:rsidR="00AA7F20" w:rsidRPr="001E4F71" w:rsidRDefault="00AA7F20" w:rsidP="00AA7F20">
      <w:pPr>
        <w:pStyle w:val="07-Legenda"/>
        <w:spacing w:before="120" w:after="120" w:line="276" w:lineRule="auto"/>
        <w:ind w:left="0" w:firstLine="0"/>
        <w:rPr>
          <w:sz w:val="18"/>
          <w:lang w:val="en-US" w:eastAsia="en-US"/>
        </w:rPr>
      </w:pPr>
      <w:r w:rsidRPr="00226C47">
        <w:rPr>
          <w:sz w:val="18"/>
          <w:lang w:val="en-US" w:eastAsia="en-US"/>
        </w:rPr>
        <w:t xml:space="preserve">There are no amount of unearned commissions </w:t>
      </w:r>
      <w:r>
        <w:rPr>
          <w:sz w:val="18"/>
          <w:lang w:val="en-US" w:eastAsia="en-US"/>
        </w:rPr>
        <w:t>i</w:t>
      </w:r>
      <w:r w:rsidRPr="00226C47">
        <w:rPr>
          <w:sz w:val="18"/>
          <w:lang w:val="en-US" w:eastAsia="en-US"/>
        </w:rPr>
        <w:t>n parent</w:t>
      </w:r>
      <w:r w:rsidRPr="001E4F71">
        <w:rPr>
          <w:sz w:val="18"/>
          <w:lang w:val="en-US" w:eastAsia="en-US"/>
        </w:rPr>
        <w:t>.</w:t>
      </w:r>
    </w:p>
    <w:p w14:paraId="4ACA782B" w14:textId="2FD828BB" w:rsidR="00FC4475" w:rsidRDefault="00FC4475" w:rsidP="00FC4475">
      <w:pPr>
        <w:pStyle w:val="Ttulo1"/>
      </w:pPr>
    </w:p>
    <w:p w14:paraId="472D0E22" w14:textId="4F0C8F09" w:rsidR="00AA7F20" w:rsidRPr="003527EA" w:rsidRDefault="00AA7F20" w:rsidP="00AA7F20">
      <w:pPr>
        <w:pStyle w:val="Ttulo1"/>
        <w:rPr>
          <w:b w:val="0"/>
        </w:rPr>
      </w:pPr>
      <w:bookmarkStart w:id="59" w:name="OLE_LINK19"/>
      <w:bookmarkStart w:id="60" w:name="_Toc134823588"/>
      <w:r>
        <w:t>24</w:t>
      </w:r>
      <w:r w:rsidRPr="003527EA">
        <w:t xml:space="preserve"> – O</w:t>
      </w:r>
      <w:r>
        <w:t>THER LIABILITIES</w:t>
      </w:r>
      <w:bookmarkEnd w:id="60"/>
    </w:p>
    <w:p w14:paraId="2683F8D5" w14:textId="77777777" w:rsidR="00AA7F20" w:rsidRPr="00FF3D4B" w:rsidRDefault="00AA7F20" w:rsidP="00AA7F20">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47"/>
        <w:gridCol w:w="595"/>
        <w:gridCol w:w="1399"/>
        <w:gridCol w:w="1400"/>
        <w:gridCol w:w="282"/>
        <w:gridCol w:w="1405"/>
        <w:gridCol w:w="1511"/>
      </w:tblGrid>
      <w:tr w:rsidR="00AA7F20" w:rsidRPr="001A1E07" w14:paraId="7336C55D" w14:textId="77777777" w:rsidTr="00AA7F20">
        <w:trPr>
          <w:trHeight w:hRule="exact" w:val="283"/>
          <w:jc w:val="center"/>
        </w:trPr>
        <w:tc>
          <w:tcPr>
            <w:tcW w:w="3047" w:type="dxa"/>
            <w:tcBorders>
              <w:top w:val="single" w:sz="2" w:space="0" w:color="1F4E79" w:themeColor="accent1" w:themeShade="80"/>
              <w:bottom w:val="nil"/>
            </w:tcBorders>
            <w:shd w:val="clear" w:color="auto" w:fill="auto"/>
          </w:tcPr>
          <w:p w14:paraId="2FEDCBFC" w14:textId="77777777" w:rsidR="00AA7F20" w:rsidRPr="001A1E07" w:rsidRDefault="00AA7F20" w:rsidP="00AA7F20">
            <w:pPr>
              <w:spacing w:after="0"/>
              <w:jc w:val="center"/>
              <w:rPr>
                <w:rFonts w:cs="Arial"/>
                <w:b/>
                <w:szCs w:val="18"/>
              </w:rPr>
            </w:pPr>
          </w:p>
        </w:tc>
        <w:tc>
          <w:tcPr>
            <w:tcW w:w="595" w:type="dxa"/>
            <w:tcBorders>
              <w:top w:val="single" w:sz="2" w:space="0" w:color="1F4E79" w:themeColor="accent1" w:themeShade="80"/>
              <w:bottom w:val="nil"/>
            </w:tcBorders>
            <w:shd w:val="clear" w:color="auto" w:fill="auto"/>
          </w:tcPr>
          <w:p w14:paraId="50B75CC3" w14:textId="77777777" w:rsidR="00AA7F20" w:rsidRPr="001A1E07" w:rsidRDefault="00AA7F20" w:rsidP="00AA7F20">
            <w:pPr>
              <w:spacing w:after="0"/>
              <w:jc w:val="center"/>
              <w:rPr>
                <w:rFonts w:cs="Arial"/>
                <w:b/>
                <w:szCs w:val="18"/>
              </w:rPr>
            </w:pPr>
          </w:p>
        </w:tc>
        <w:tc>
          <w:tcPr>
            <w:tcW w:w="2799" w:type="dxa"/>
            <w:gridSpan w:val="2"/>
            <w:tcBorders>
              <w:top w:val="single" w:sz="2" w:space="0" w:color="1F4E79" w:themeColor="accent1" w:themeShade="80"/>
              <w:bottom w:val="single" w:sz="2" w:space="0" w:color="1F4E79" w:themeColor="accent1" w:themeShade="80"/>
            </w:tcBorders>
            <w:shd w:val="clear" w:color="auto" w:fill="auto"/>
            <w:vAlign w:val="center"/>
          </w:tcPr>
          <w:p w14:paraId="256E72FE" w14:textId="77777777" w:rsidR="00AA7F20" w:rsidRPr="001A1E07" w:rsidRDefault="00AA7F20" w:rsidP="00AA7F20">
            <w:pPr>
              <w:spacing w:after="0"/>
              <w:jc w:val="center"/>
              <w:rPr>
                <w:rFonts w:cs="Arial"/>
                <w:b/>
                <w:sz w:val="14"/>
                <w:szCs w:val="18"/>
              </w:rPr>
            </w:pPr>
            <w:r>
              <w:rPr>
                <w:rFonts w:cs="Arial"/>
                <w:b/>
                <w:sz w:val="14"/>
                <w:szCs w:val="18"/>
              </w:rPr>
              <w:t>Parent</w:t>
            </w:r>
          </w:p>
        </w:tc>
        <w:tc>
          <w:tcPr>
            <w:tcW w:w="282" w:type="dxa"/>
            <w:tcBorders>
              <w:top w:val="single" w:sz="2" w:space="0" w:color="1F4E79" w:themeColor="accent1" w:themeShade="80"/>
              <w:bottom w:val="nil"/>
            </w:tcBorders>
            <w:shd w:val="clear" w:color="auto" w:fill="auto"/>
            <w:vAlign w:val="center"/>
          </w:tcPr>
          <w:p w14:paraId="193E3F0F" w14:textId="77777777" w:rsidR="00AA7F20" w:rsidRPr="001A1E07" w:rsidRDefault="00AA7F20" w:rsidP="00AA7F20">
            <w:pPr>
              <w:spacing w:after="0"/>
              <w:jc w:val="center"/>
              <w:rPr>
                <w:rFonts w:cs="Arial"/>
                <w:b/>
                <w:szCs w:val="18"/>
              </w:rPr>
            </w:pPr>
          </w:p>
        </w:tc>
        <w:tc>
          <w:tcPr>
            <w:tcW w:w="2916" w:type="dxa"/>
            <w:gridSpan w:val="2"/>
            <w:tcBorders>
              <w:top w:val="single" w:sz="2" w:space="0" w:color="1F4E79" w:themeColor="accent1" w:themeShade="80"/>
              <w:bottom w:val="single" w:sz="2" w:space="0" w:color="1F4E79" w:themeColor="accent1" w:themeShade="80"/>
            </w:tcBorders>
            <w:shd w:val="clear" w:color="auto" w:fill="auto"/>
            <w:vAlign w:val="center"/>
          </w:tcPr>
          <w:p w14:paraId="0405F28D" w14:textId="77777777" w:rsidR="00AA7F20" w:rsidRPr="001A1E07" w:rsidRDefault="00AA7F20" w:rsidP="00AA7F20">
            <w:pPr>
              <w:spacing w:after="0"/>
              <w:jc w:val="center"/>
              <w:rPr>
                <w:rFonts w:cs="Arial"/>
                <w:b/>
                <w:szCs w:val="18"/>
              </w:rPr>
            </w:pPr>
            <w:r w:rsidRPr="001A1E07">
              <w:rPr>
                <w:rFonts w:cs="Arial"/>
                <w:b/>
                <w:sz w:val="14"/>
                <w:szCs w:val="18"/>
              </w:rPr>
              <w:t>Consolida</w:t>
            </w:r>
            <w:r>
              <w:rPr>
                <w:rFonts w:cs="Arial"/>
                <w:b/>
                <w:sz w:val="14"/>
                <w:szCs w:val="18"/>
              </w:rPr>
              <w:t>ted</w:t>
            </w:r>
          </w:p>
        </w:tc>
      </w:tr>
      <w:tr w:rsidR="00AA7F20" w:rsidRPr="001A1E07" w14:paraId="00FE3F1C" w14:textId="77777777" w:rsidTr="00AA7F20">
        <w:trPr>
          <w:trHeight w:hRule="exact" w:val="238"/>
          <w:jc w:val="center"/>
        </w:trPr>
        <w:tc>
          <w:tcPr>
            <w:tcW w:w="3047" w:type="dxa"/>
            <w:tcBorders>
              <w:top w:val="nil"/>
              <w:bottom w:val="single" w:sz="2" w:space="0" w:color="1F4E79" w:themeColor="accent1" w:themeShade="80"/>
            </w:tcBorders>
            <w:shd w:val="clear" w:color="auto" w:fill="auto"/>
          </w:tcPr>
          <w:p w14:paraId="173E7F31" w14:textId="77777777" w:rsidR="00AA7F20" w:rsidRPr="001A1E07" w:rsidRDefault="00AA7F20" w:rsidP="00AA7F20">
            <w:pPr>
              <w:pStyle w:val="08-Tabelageral"/>
              <w:rPr>
                <w:rFonts w:cs="Arial"/>
                <w:b/>
              </w:rPr>
            </w:pPr>
          </w:p>
        </w:tc>
        <w:tc>
          <w:tcPr>
            <w:tcW w:w="595" w:type="dxa"/>
            <w:tcBorders>
              <w:top w:val="nil"/>
              <w:bottom w:val="single" w:sz="2" w:space="0" w:color="1F4E79" w:themeColor="accent1" w:themeShade="80"/>
            </w:tcBorders>
            <w:shd w:val="clear" w:color="auto" w:fill="auto"/>
          </w:tcPr>
          <w:p w14:paraId="53A23EC3" w14:textId="77777777" w:rsidR="00AA7F20" w:rsidRPr="001A1E07" w:rsidRDefault="00AA7F20" w:rsidP="00AA7F20">
            <w:pPr>
              <w:pStyle w:val="08-Tabelageral"/>
              <w:rPr>
                <w:rFonts w:cs="Arial"/>
                <w:b/>
              </w:rPr>
            </w:pPr>
          </w:p>
        </w:tc>
        <w:tc>
          <w:tcPr>
            <w:tcW w:w="1399" w:type="dxa"/>
            <w:tcBorders>
              <w:top w:val="single" w:sz="2" w:space="0" w:color="1F4E79" w:themeColor="accent1" w:themeShade="80"/>
              <w:bottom w:val="single" w:sz="2" w:space="0" w:color="1F4E79" w:themeColor="accent1" w:themeShade="80"/>
            </w:tcBorders>
            <w:shd w:val="clear" w:color="auto" w:fill="auto"/>
            <w:vAlign w:val="center"/>
          </w:tcPr>
          <w:p w14:paraId="124E8F04" w14:textId="77777777" w:rsidR="00AA7F20" w:rsidRPr="0068592A" w:rsidRDefault="00AA7F20" w:rsidP="00AA7F20">
            <w:pPr>
              <w:pStyle w:val="08-Tabelageral"/>
              <w:rPr>
                <w:rFonts w:cs="Arial"/>
                <w:b/>
              </w:rPr>
            </w:pPr>
            <w:r>
              <w:rPr>
                <w:rFonts w:cs="Arial"/>
                <w:b/>
              </w:rPr>
              <w:t>Mar 31, 2023</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6AD14D90" w14:textId="77777777" w:rsidR="00AA7F20" w:rsidRPr="0068592A" w:rsidRDefault="00AA7F20" w:rsidP="00AA7F20">
            <w:pPr>
              <w:pStyle w:val="08-Tabelageral"/>
              <w:rPr>
                <w:rFonts w:cs="Arial"/>
                <w:b/>
              </w:rPr>
            </w:pPr>
            <w:r>
              <w:rPr>
                <w:rFonts w:cs="Arial"/>
                <w:b/>
              </w:rPr>
              <w:t>Dec 31, 2022</w:t>
            </w:r>
          </w:p>
        </w:tc>
        <w:tc>
          <w:tcPr>
            <w:tcW w:w="282" w:type="dxa"/>
            <w:tcBorders>
              <w:bottom w:val="single" w:sz="2" w:space="0" w:color="1F4E79" w:themeColor="accent1" w:themeShade="80"/>
            </w:tcBorders>
            <w:shd w:val="clear" w:color="auto" w:fill="auto"/>
            <w:vAlign w:val="center"/>
          </w:tcPr>
          <w:p w14:paraId="7A998798" w14:textId="77777777" w:rsidR="00AA7F20" w:rsidRPr="0068592A" w:rsidRDefault="00AA7F20" w:rsidP="00AA7F20">
            <w:pPr>
              <w:pStyle w:val="08-Tabelageral"/>
              <w:rPr>
                <w:rFonts w:cs="Arial"/>
                <w:b/>
              </w:rPr>
            </w:pPr>
          </w:p>
        </w:tc>
        <w:tc>
          <w:tcPr>
            <w:tcW w:w="1405" w:type="dxa"/>
            <w:tcBorders>
              <w:top w:val="single" w:sz="2" w:space="0" w:color="1F4E79" w:themeColor="accent1" w:themeShade="80"/>
              <w:bottom w:val="single" w:sz="2" w:space="0" w:color="1F4E79" w:themeColor="accent1" w:themeShade="80"/>
            </w:tcBorders>
            <w:shd w:val="clear" w:color="auto" w:fill="auto"/>
            <w:vAlign w:val="center"/>
          </w:tcPr>
          <w:p w14:paraId="6EF3BCD7" w14:textId="77777777" w:rsidR="00AA7F20" w:rsidRPr="0068592A" w:rsidRDefault="00AA7F20" w:rsidP="00AA7F20">
            <w:pPr>
              <w:pStyle w:val="08-Tabelageral"/>
              <w:rPr>
                <w:rFonts w:cs="Arial"/>
                <w:b/>
              </w:rPr>
            </w:pPr>
            <w:r>
              <w:rPr>
                <w:rFonts w:cs="Arial"/>
                <w:b/>
              </w:rPr>
              <w:t>Mar 31, 2023</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17A0703B" w14:textId="77777777" w:rsidR="00AA7F20" w:rsidRPr="0068592A" w:rsidRDefault="00AA7F20" w:rsidP="00AA7F20">
            <w:pPr>
              <w:pStyle w:val="08-Tabelageral"/>
              <w:rPr>
                <w:rFonts w:cs="Arial"/>
                <w:b/>
              </w:rPr>
            </w:pPr>
            <w:r>
              <w:rPr>
                <w:rFonts w:cs="Arial"/>
                <w:b/>
              </w:rPr>
              <w:t>Mar 31, 2022</w:t>
            </w:r>
          </w:p>
        </w:tc>
      </w:tr>
      <w:tr w:rsidR="00AA7F20" w:rsidRPr="001A1E07" w14:paraId="02973777" w14:textId="77777777" w:rsidTr="00AA7F20">
        <w:trPr>
          <w:trHeight w:val="238"/>
          <w:jc w:val="center"/>
        </w:trPr>
        <w:tc>
          <w:tcPr>
            <w:tcW w:w="3047" w:type="dxa"/>
            <w:tcBorders>
              <w:top w:val="single" w:sz="2" w:space="0" w:color="1F4E79" w:themeColor="accent1" w:themeShade="80"/>
            </w:tcBorders>
            <w:shd w:val="clear" w:color="auto" w:fill="auto"/>
          </w:tcPr>
          <w:p w14:paraId="34C7C713" w14:textId="77777777" w:rsidR="00AA7F20" w:rsidRPr="001A1E07" w:rsidRDefault="00AA7F20" w:rsidP="00AA7F20">
            <w:pPr>
              <w:pStyle w:val="08-Tabelageral"/>
              <w:jc w:val="left"/>
              <w:rPr>
                <w:rFonts w:cs="Arial"/>
                <w:b/>
                <w:bCs/>
                <w:szCs w:val="14"/>
              </w:rPr>
            </w:pPr>
            <w:r>
              <w:rPr>
                <w:rFonts w:cs="Arial"/>
                <w:b/>
                <w:szCs w:val="14"/>
              </w:rPr>
              <w:t>Current Liabilities</w:t>
            </w:r>
          </w:p>
        </w:tc>
        <w:tc>
          <w:tcPr>
            <w:tcW w:w="595" w:type="dxa"/>
            <w:tcBorders>
              <w:top w:val="single" w:sz="2" w:space="0" w:color="1F4E79" w:themeColor="accent1" w:themeShade="80"/>
            </w:tcBorders>
            <w:shd w:val="clear" w:color="auto" w:fill="auto"/>
          </w:tcPr>
          <w:p w14:paraId="6F2CFCB1" w14:textId="77777777" w:rsidR="00AA7F20" w:rsidRPr="001A1E07" w:rsidRDefault="00AA7F20" w:rsidP="00AA7F20">
            <w:pPr>
              <w:pStyle w:val="08-Tabelageral"/>
              <w:ind w:left="113"/>
              <w:jc w:val="center"/>
              <w:rPr>
                <w:rFonts w:cs="Arial"/>
                <w:b/>
                <w:szCs w:val="14"/>
              </w:rPr>
            </w:pPr>
          </w:p>
        </w:tc>
        <w:tc>
          <w:tcPr>
            <w:tcW w:w="1399" w:type="dxa"/>
            <w:tcBorders>
              <w:top w:val="single" w:sz="2" w:space="0" w:color="1F4E79" w:themeColor="accent1" w:themeShade="80"/>
            </w:tcBorders>
            <w:shd w:val="clear" w:color="auto" w:fill="auto"/>
            <w:vAlign w:val="center"/>
          </w:tcPr>
          <w:p w14:paraId="2BE70102" w14:textId="77777777" w:rsidR="00AA7F20" w:rsidRPr="001A1E07" w:rsidRDefault="00AA7F20" w:rsidP="00AA7F20">
            <w:pPr>
              <w:pStyle w:val="08-Tabelageral"/>
              <w:ind w:left="113"/>
              <w:rPr>
                <w:rFonts w:cs="Arial"/>
                <w:b/>
                <w:szCs w:val="14"/>
              </w:rPr>
            </w:pPr>
          </w:p>
        </w:tc>
        <w:tc>
          <w:tcPr>
            <w:tcW w:w="1400" w:type="dxa"/>
            <w:tcBorders>
              <w:top w:val="single" w:sz="2" w:space="0" w:color="1F4E79" w:themeColor="accent1" w:themeShade="80"/>
            </w:tcBorders>
            <w:shd w:val="clear" w:color="auto" w:fill="auto"/>
            <w:vAlign w:val="center"/>
          </w:tcPr>
          <w:p w14:paraId="581E7EC5" w14:textId="77777777" w:rsidR="00AA7F20" w:rsidRPr="001A1E07" w:rsidRDefault="00AA7F20" w:rsidP="00AA7F20">
            <w:pPr>
              <w:pStyle w:val="08-Tabelageral"/>
              <w:ind w:left="113"/>
              <w:rPr>
                <w:rFonts w:cs="Arial"/>
                <w:b/>
                <w:szCs w:val="14"/>
              </w:rPr>
            </w:pPr>
          </w:p>
        </w:tc>
        <w:tc>
          <w:tcPr>
            <w:tcW w:w="282" w:type="dxa"/>
            <w:tcBorders>
              <w:top w:val="single" w:sz="2" w:space="0" w:color="1F4E79" w:themeColor="accent1" w:themeShade="80"/>
            </w:tcBorders>
            <w:shd w:val="clear" w:color="auto" w:fill="auto"/>
            <w:vAlign w:val="center"/>
          </w:tcPr>
          <w:p w14:paraId="24F22BA0" w14:textId="77777777" w:rsidR="00AA7F20" w:rsidRPr="001A1E07" w:rsidRDefault="00AA7F20" w:rsidP="00AA7F20">
            <w:pPr>
              <w:pStyle w:val="08-Tabelageral"/>
              <w:ind w:left="113"/>
              <w:rPr>
                <w:rFonts w:cs="Arial"/>
                <w:b/>
                <w:szCs w:val="14"/>
              </w:rPr>
            </w:pPr>
          </w:p>
        </w:tc>
        <w:tc>
          <w:tcPr>
            <w:tcW w:w="1405" w:type="dxa"/>
            <w:tcBorders>
              <w:top w:val="single" w:sz="2" w:space="0" w:color="1F4E79" w:themeColor="accent1" w:themeShade="80"/>
            </w:tcBorders>
            <w:shd w:val="clear" w:color="auto" w:fill="auto"/>
            <w:vAlign w:val="center"/>
          </w:tcPr>
          <w:p w14:paraId="79806DB7" w14:textId="77777777" w:rsidR="00AA7F20" w:rsidRPr="001A1E07" w:rsidRDefault="00AA7F20" w:rsidP="00AA7F20">
            <w:pPr>
              <w:pStyle w:val="08-Tabelageral"/>
              <w:ind w:left="113"/>
              <w:rPr>
                <w:rFonts w:cs="Arial"/>
                <w:b/>
                <w:szCs w:val="14"/>
              </w:rPr>
            </w:pPr>
          </w:p>
        </w:tc>
        <w:tc>
          <w:tcPr>
            <w:tcW w:w="1511" w:type="dxa"/>
            <w:tcBorders>
              <w:top w:val="single" w:sz="2" w:space="0" w:color="1F4E79" w:themeColor="accent1" w:themeShade="80"/>
            </w:tcBorders>
            <w:shd w:val="clear" w:color="auto" w:fill="auto"/>
            <w:vAlign w:val="center"/>
          </w:tcPr>
          <w:p w14:paraId="4EFE0874" w14:textId="77777777" w:rsidR="00AA7F20" w:rsidRPr="001A1E07" w:rsidRDefault="00AA7F20" w:rsidP="00AA7F20">
            <w:pPr>
              <w:pStyle w:val="08-Tabelageral"/>
              <w:ind w:left="113"/>
              <w:rPr>
                <w:rFonts w:cs="Arial"/>
                <w:b/>
                <w:szCs w:val="14"/>
              </w:rPr>
            </w:pPr>
          </w:p>
        </w:tc>
      </w:tr>
      <w:tr w:rsidR="00AA7F20" w:rsidRPr="001A1E07" w14:paraId="0DB2CCFF" w14:textId="77777777" w:rsidTr="00AA7F20">
        <w:trPr>
          <w:trHeight w:val="238"/>
          <w:jc w:val="center"/>
        </w:trPr>
        <w:tc>
          <w:tcPr>
            <w:tcW w:w="3047" w:type="dxa"/>
            <w:shd w:val="clear" w:color="auto" w:fill="auto"/>
          </w:tcPr>
          <w:p w14:paraId="7E37843A" w14:textId="77777777" w:rsidR="00AA7F20" w:rsidRPr="00194FE1" w:rsidRDefault="00AA7F20" w:rsidP="00AA7F20">
            <w:pPr>
              <w:pStyle w:val="08-Tabelageral"/>
              <w:ind w:left="113"/>
              <w:jc w:val="left"/>
              <w:rPr>
                <w:rFonts w:cs="Arial"/>
                <w:szCs w:val="14"/>
                <w:vertAlign w:val="superscript"/>
                <w:lang w:val="en-US"/>
              </w:rPr>
            </w:pPr>
            <w:r w:rsidRPr="00194FE1">
              <w:rPr>
                <w:rFonts w:cs="Arial"/>
                <w:szCs w:val="14"/>
                <w:lang w:val="en-US"/>
              </w:rPr>
              <w:t xml:space="preserve">Amounts payable to related companies </w:t>
            </w:r>
            <w:r w:rsidRPr="00194FE1">
              <w:rPr>
                <w:rFonts w:cs="Arial"/>
                <w:szCs w:val="14"/>
                <w:vertAlign w:val="superscript"/>
                <w:lang w:val="en-US"/>
              </w:rPr>
              <w:t>(1)</w:t>
            </w:r>
          </w:p>
        </w:tc>
        <w:tc>
          <w:tcPr>
            <w:tcW w:w="595" w:type="dxa"/>
            <w:shd w:val="clear" w:color="auto" w:fill="auto"/>
          </w:tcPr>
          <w:p w14:paraId="32D8A786" w14:textId="77777777" w:rsidR="00AA7F20" w:rsidRPr="00194FE1" w:rsidRDefault="00AA7F20" w:rsidP="00AA7F20">
            <w:pPr>
              <w:pStyle w:val="08-Tabelageral"/>
              <w:ind w:left="113"/>
              <w:jc w:val="center"/>
              <w:rPr>
                <w:rFonts w:cs="Arial"/>
                <w:szCs w:val="14"/>
                <w:lang w:val="en-US"/>
              </w:rPr>
            </w:pPr>
          </w:p>
        </w:tc>
        <w:tc>
          <w:tcPr>
            <w:tcW w:w="1399" w:type="dxa"/>
            <w:shd w:val="clear" w:color="auto" w:fill="auto"/>
            <w:vAlign w:val="center"/>
          </w:tcPr>
          <w:p w14:paraId="3C9F933A" w14:textId="77777777" w:rsidR="00AA7F20" w:rsidRPr="001A1E07" w:rsidRDefault="00AA7F20" w:rsidP="00AA7F20">
            <w:pPr>
              <w:pStyle w:val="08-Tabelageral"/>
              <w:ind w:left="113"/>
              <w:rPr>
                <w:rFonts w:cs="Arial"/>
                <w:szCs w:val="14"/>
              </w:rPr>
            </w:pPr>
            <w:r>
              <w:rPr>
                <w:rFonts w:cs="Arial"/>
                <w:szCs w:val="14"/>
              </w:rPr>
              <w:t>8,735</w:t>
            </w:r>
          </w:p>
        </w:tc>
        <w:tc>
          <w:tcPr>
            <w:tcW w:w="1400" w:type="dxa"/>
            <w:shd w:val="clear" w:color="auto" w:fill="auto"/>
            <w:vAlign w:val="center"/>
          </w:tcPr>
          <w:p w14:paraId="50DFDFDA" w14:textId="77777777" w:rsidR="00AA7F20" w:rsidRPr="001A1E07" w:rsidRDefault="00AA7F20" w:rsidP="00AA7F20">
            <w:pPr>
              <w:pStyle w:val="08-Tabelageral"/>
              <w:ind w:left="113"/>
              <w:rPr>
                <w:rFonts w:cs="Arial"/>
                <w:szCs w:val="14"/>
              </w:rPr>
            </w:pPr>
            <w:r>
              <w:rPr>
                <w:rFonts w:cs="Arial"/>
                <w:szCs w:val="14"/>
              </w:rPr>
              <w:t>8,054</w:t>
            </w:r>
          </w:p>
        </w:tc>
        <w:tc>
          <w:tcPr>
            <w:tcW w:w="282" w:type="dxa"/>
            <w:shd w:val="clear" w:color="auto" w:fill="auto"/>
            <w:vAlign w:val="center"/>
          </w:tcPr>
          <w:p w14:paraId="379B887C" w14:textId="77777777" w:rsidR="00AA7F20" w:rsidRPr="001A1E07" w:rsidRDefault="00AA7F20" w:rsidP="00AA7F20">
            <w:pPr>
              <w:pStyle w:val="08-Tabelageral"/>
              <w:ind w:left="113"/>
              <w:rPr>
                <w:rFonts w:cs="Arial"/>
                <w:szCs w:val="14"/>
              </w:rPr>
            </w:pPr>
          </w:p>
        </w:tc>
        <w:tc>
          <w:tcPr>
            <w:tcW w:w="1405" w:type="dxa"/>
            <w:shd w:val="clear" w:color="auto" w:fill="auto"/>
            <w:vAlign w:val="center"/>
          </w:tcPr>
          <w:p w14:paraId="64CFD22A" w14:textId="77777777" w:rsidR="00AA7F20" w:rsidRPr="001A1E07" w:rsidRDefault="00AA7F20" w:rsidP="00AA7F20">
            <w:pPr>
              <w:pStyle w:val="08-Tabelageral"/>
              <w:ind w:left="113"/>
              <w:rPr>
                <w:rFonts w:cs="Arial"/>
                <w:szCs w:val="14"/>
              </w:rPr>
            </w:pPr>
            <w:r>
              <w:rPr>
                <w:rFonts w:cs="Arial"/>
                <w:szCs w:val="14"/>
              </w:rPr>
              <w:t>107,950</w:t>
            </w:r>
          </w:p>
        </w:tc>
        <w:tc>
          <w:tcPr>
            <w:tcW w:w="1511" w:type="dxa"/>
            <w:shd w:val="clear" w:color="auto" w:fill="auto"/>
            <w:vAlign w:val="center"/>
          </w:tcPr>
          <w:p w14:paraId="13BE7C4A" w14:textId="77777777" w:rsidR="00AA7F20" w:rsidRPr="001A1E07" w:rsidRDefault="00AA7F20" w:rsidP="00AA7F20">
            <w:pPr>
              <w:pStyle w:val="08-Tabelageral"/>
              <w:ind w:left="113"/>
              <w:rPr>
                <w:rFonts w:cs="Arial"/>
                <w:szCs w:val="14"/>
              </w:rPr>
            </w:pPr>
            <w:r>
              <w:rPr>
                <w:rFonts w:cs="Arial"/>
                <w:szCs w:val="14"/>
              </w:rPr>
              <w:t>99,353</w:t>
            </w:r>
          </w:p>
        </w:tc>
      </w:tr>
      <w:tr w:rsidR="00AA7F20" w:rsidRPr="001A1E07" w14:paraId="29852DCE" w14:textId="77777777" w:rsidTr="00AA7F20">
        <w:trPr>
          <w:trHeight w:val="238"/>
          <w:jc w:val="center"/>
        </w:trPr>
        <w:tc>
          <w:tcPr>
            <w:tcW w:w="3047" w:type="dxa"/>
            <w:shd w:val="clear" w:color="auto" w:fill="auto"/>
          </w:tcPr>
          <w:p w14:paraId="1F6F0943" w14:textId="77777777" w:rsidR="00AA7F20" w:rsidRPr="00194FE1" w:rsidRDefault="00AA7F20" w:rsidP="00AA7F20">
            <w:pPr>
              <w:pStyle w:val="08-Tabelageral"/>
              <w:ind w:left="113"/>
              <w:jc w:val="left"/>
              <w:rPr>
                <w:rFonts w:cs="Arial"/>
                <w:szCs w:val="14"/>
                <w:lang w:val="en-US"/>
              </w:rPr>
            </w:pPr>
            <w:r w:rsidRPr="00194FE1">
              <w:rPr>
                <w:rFonts w:cs="Arial"/>
                <w:szCs w:val="14"/>
                <w:lang w:val="en-US"/>
              </w:rPr>
              <w:t>Annual variable remuneration program of the Executive Board</w:t>
            </w:r>
          </w:p>
        </w:tc>
        <w:tc>
          <w:tcPr>
            <w:tcW w:w="595" w:type="dxa"/>
            <w:shd w:val="clear" w:color="auto" w:fill="auto"/>
          </w:tcPr>
          <w:p w14:paraId="01C312C8" w14:textId="77777777" w:rsidR="00AA7F20" w:rsidRPr="00194FE1" w:rsidRDefault="00AA7F20" w:rsidP="00AA7F20">
            <w:pPr>
              <w:pStyle w:val="08-Tabelageral"/>
              <w:ind w:left="113"/>
              <w:jc w:val="center"/>
              <w:rPr>
                <w:rFonts w:cs="Arial"/>
                <w:szCs w:val="14"/>
                <w:lang w:val="en-US"/>
              </w:rPr>
            </w:pPr>
          </w:p>
        </w:tc>
        <w:tc>
          <w:tcPr>
            <w:tcW w:w="1399" w:type="dxa"/>
            <w:shd w:val="clear" w:color="auto" w:fill="auto"/>
            <w:vAlign w:val="center"/>
          </w:tcPr>
          <w:p w14:paraId="33B4220D" w14:textId="77777777" w:rsidR="00AA7F20" w:rsidRPr="001A1E07" w:rsidRDefault="00AA7F20" w:rsidP="00AA7F20">
            <w:pPr>
              <w:pStyle w:val="08-Tabelageral"/>
              <w:ind w:left="113"/>
              <w:rPr>
                <w:rFonts w:cs="Arial"/>
                <w:szCs w:val="14"/>
              </w:rPr>
            </w:pPr>
            <w:r>
              <w:rPr>
                <w:rFonts w:cs="Arial"/>
                <w:szCs w:val="14"/>
              </w:rPr>
              <w:t>--</w:t>
            </w:r>
          </w:p>
        </w:tc>
        <w:tc>
          <w:tcPr>
            <w:tcW w:w="1400" w:type="dxa"/>
            <w:shd w:val="clear" w:color="auto" w:fill="auto"/>
            <w:vAlign w:val="center"/>
          </w:tcPr>
          <w:p w14:paraId="208B2AB0" w14:textId="77777777" w:rsidR="00AA7F20" w:rsidRPr="001A1E07" w:rsidRDefault="00AA7F20" w:rsidP="00AA7F20">
            <w:pPr>
              <w:pStyle w:val="08-Tabelageral"/>
              <w:ind w:left="113"/>
              <w:rPr>
                <w:rFonts w:cs="Arial"/>
                <w:szCs w:val="14"/>
              </w:rPr>
            </w:pPr>
            <w:r>
              <w:rPr>
                <w:rFonts w:cs="Arial"/>
                <w:szCs w:val="14"/>
              </w:rPr>
              <w:t>3,929</w:t>
            </w:r>
          </w:p>
        </w:tc>
        <w:tc>
          <w:tcPr>
            <w:tcW w:w="282" w:type="dxa"/>
            <w:shd w:val="clear" w:color="auto" w:fill="auto"/>
            <w:vAlign w:val="center"/>
          </w:tcPr>
          <w:p w14:paraId="15F163E1" w14:textId="77777777" w:rsidR="00AA7F20" w:rsidRPr="001A1E07" w:rsidRDefault="00AA7F20" w:rsidP="00AA7F20">
            <w:pPr>
              <w:pStyle w:val="08-Tabelageral"/>
              <w:ind w:left="113"/>
              <w:rPr>
                <w:rFonts w:cs="Arial"/>
                <w:szCs w:val="14"/>
              </w:rPr>
            </w:pPr>
          </w:p>
        </w:tc>
        <w:tc>
          <w:tcPr>
            <w:tcW w:w="1405" w:type="dxa"/>
            <w:shd w:val="clear" w:color="auto" w:fill="auto"/>
            <w:vAlign w:val="center"/>
          </w:tcPr>
          <w:p w14:paraId="68915C38" w14:textId="77777777" w:rsidR="00AA7F20" w:rsidRPr="001A1E07" w:rsidRDefault="00AA7F20" w:rsidP="00AA7F20">
            <w:pPr>
              <w:pStyle w:val="08-Tabelageral"/>
              <w:ind w:left="113"/>
              <w:rPr>
                <w:rFonts w:cs="Arial"/>
                <w:szCs w:val="14"/>
              </w:rPr>
            </w:pPr>
            <w:r>
              <w:rPr>
                <w:rFonts w:cs="Arial"/>
                <w:szCs w:val="14"/>
              </w:rPr>
              <w:t>--</w:t>
            </w:r>
          </w:p>
        </w:tc>
        <w:tc>
          <w:tcPr>
            <w:tcW w:w="1511" w:type="dxa"/>
            <w:shd w:val="clear" w:color="auto" w:fill="auto"/>
            <w:vAlign w:val="center"/>
          </w:tcPr>
          <w:p w14:paraId="2B8BB400" w14:textId="77777777" w:rsidR="00AA7F20" w:rsidRPr="001A1E07" w:rsidRDefault="00AA7F20" w:rsidP="00AA7F20">
            <w:pPr>
              <w:pStyle w:val="08-Tabelageral"/>
              <w:ind w:left="113"/>
              <w:rPr>
                <w:rFonts w:cs="Arial"/>
                <w:szCs w:val="14"/>
              </w:rPr>
            </w:pPr>
            <w:r>
              <w:rPr>
                <w:rFonts w:cs="Arial"/>
                <w:szCs w:val="14"/>
              </w:rPr>
              <w:t>3,929</w:t>
            </w:r>
          </w:p>
        </w:tc>
      </w:tr>
      <w:tr w:rsidR="00AA7F20" w:rsidRPr="001A1E07" w14:paraId="7122122D" w14:textId="77777777" w:rsidTr="00AA7F20">
        <w:trPr>
          <w:trHeight w:val="238"/>
          <w:jc w:val="center"/>
        </w:trPr>
        <w:tc>
          <w:tcPr>
            <w:tcW w:w="3047" w:type="dxa"/>
            <w:tcBorders>
              <w:bottom w:val="nil"/>
            </w:tcBorders>
            <w:shd w:val="clear" w:color="auto" w:fill="auto"/>
          </w:tcPr>
          <w:p w14:paraId="753B0E73" w14:textId="77777777" w:rsidR="00AA7F20" w:rsidRPr="001A1E07" w:rsidRDefault="00AA7F20" w:rsidP="00AA7F20">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75A65114" w14:textId="77777777" w:rsidR="00AA7F20" w:rsidRPr="001A1E07" w:rsidRDefault="00AA7F20" w:rsidP="00AA7F20">
            <w:pPr>
              <w:pStyle w:val="08-Tabelageral"/>
              <w:ind w:left="113"/>
              <w:jc w:val="center"/>
              <w:rPr>
                <w:rFonts w:cs="Arial"/>
                <w:szCs w:val="14"/>
              </w:rPr>
            </w:pPr>
          </w:p>
        </w:tc>
        <w:tc>
          <w:tcPr>
            <w:tcW w:w="1399" w:type="dxa"/>
            <w:tcBorders>
              <w:bottom w:val="nil"/>
            </w:tcBorders>
            <w:shd w:val="clear" w:color="auto" w:fill="auto"/>
            <w:vAlign w:val="center"/>
          </w:tcPr>
          <w:p w14:paraId="08815D7C" w14:textId="77777777" w:rsidR="00AA7F20" w:rsidRPr="001A1E07" w:rsidRDefault="00AA7F20" w:rsidP="00AA7F20">
            <w:pPr>
              <w:pStyle w:val="08-Tabelageral"/>
              <w:ind w:left="113"/>
              <w:rPr>
                <w:rFonts w:cs="Arial"/>
                <w:szCs w:val="14"/>
              </w:rPr>
            </w:pPr>
            <w:r>
              <w:rPr>
                <w:rFonts w:cs="Arial"/>
                <w:szCs w:val="14"/>
              </w:rPr>
              <w:t>2,094</w:t>
            </w:r>
          </w:p>
        </w:tc>
        <w:tc>
          <w:tcPr>
            <w:tcW w:w="1400" w:type="dxa"/>
            <w:tcBorders>
              <w:bottom w:val="nil"/>
            </w:tcBorders>
            <w:shd w:val="clear" w:color="auto" w:fill="auto"/>
            <w:vAlign w:val="center"/>
          </w:tcPr>
          <w:p w14:paraId="65EC2334" w14:textId="77777777" w:rsidR="00AA7F20" w:rsidRPr="001A1E07" w:rsidRDefault="00AA7F20" w:rsidP="00AA7F20">
            <w:pPr>
              <w:pStyle w:val="08-Tabelageral"/>
              <w:ind w:left="113"/>
              <w:rPr>
                <w:rFonts w:cs="Arial"/>
                <w:szCs w:val="14"/>
              </w:rPr>
            </w:pPr>
            <w:r>
              <w:rPr>
                <w:rFonts w:cs="Arial"/>
                <w:szCs w:val="14"/>
              </w:rPr>
              <w:t>201</w:t>
            </w:r>
          </w:p>
        </w:tc>
        <w:tc>
          <w:tcPr>
            <w:tcW w:w="282" w:type="dxa"/>
            <w:tcBorders>
              <w:bottom w:val="nil"/>
            </w:tcBorders>
            <w:shd w:val="clear" w:color="auto" w:fill="auto"/>
            <w:vAlign w:val="center"/>
          </w:tcPr>
          <w:p w14:paraId="2F0F74D5" w14:textId="77777777" w:rsidR="00AA7F20" w:rsidRPr="001A1E07" w:rsidRDefault="00AA7F20" w:rsidP="00AA7F20">
            <w:pPr>
              <w:pStyle w:val="08-Tabelageral"/>
              <w:ind w:left="113"/>
              <w:rPr>
                <w:rFonts w:cs="Arial"/>
                <w:szCs w:val="14"/>
              </w:rPr>
            </w:pPr>
          </w:p>
        </w:tc>
        <w:tc>
          <w:tcPr>
            <w:tcW w:w="1405" w:type="dxa"/>
            <w:tcBorders>
              <w:bottom w:val="nil"/>
            </w:tcBorders>
            <w:shd w:val="clear" w:color="auto" w:fill="auto"/>
            <w:vAlign w:val="center"/>
          </w:tcPr>
          <w:p w14:paraId="7F01DB47" w14:textId="77777777" w:rsidR="00AA7F20" w:rsidRPr="001A1E07" w:rsidRDefault="00AA7F20" w:rsidP="00AA7F20">
            <w:pPr>
              <w:pStyle w:val="08-Tabelageral"/>
              <w:ind w:left="113"/>
              <w:rPr>
                <w:rFonts w:cs="Arial"/>
                <w:szCs w:val="14"/>
              </w:rPr>
            </w:pPr>
            <w:r>
              <w:rPr>
                <w:rFonts w:cs="Arial"/>
                <w:szCs w:val="14"/>
              </w:rPr>
              <w:t>2,599</w:t>
            </w:r>
          </w:p>
        </w:tc>
        <w:tc>
          <w:tcPr>
            <w:tcW w:w="1511" w:type="dxa"/>
            <w:tcBorders>
              <w:bottom w:val="nil"/>
            </w:tcBorders>
            <w:shd w:val="clear" w:color="auto" w:fill="auto"/>
            <w:vAlign w:val="center"/>
          </w:tcPr>
          <w:p w14:paraId="05463313" w14:textId="77777777" w:rsidR="00AA7F20" w:rsidRPr="001A1E07" w:rsidRDefault="00AA7F20" w:rsidP="00AA7F20">
            <w:pPr>
              <w:pStyle w:val="08-Tabelageral"/>
              <w:ind w:left="113"/>
              <w:rPr>
                <w:rFonts w:cs="Arial"/>
                <w:szCs w:val="14"/>
              </w:rPr>
            </w:pPr>
            <w:r>
              <w:rPr>
                <w:rFonts w:cs="Arial"/>
                <w:szCs w:val="14"/>
              </w:rPr>
              <w:t>2,081</w:t>
            </w:r>
          </w:p>
        </w:tc>
      </w:tr>
      <w:tr w:rsidR="00AA7F20" w:rsidRPr="001A1E07" w14:paraId="4433402D" w14:textId="77777777" w:rsidTr="00AA7F20">
        <w:trPr>
          <w:trHeight w:val="238"/>
          <w:jc w:val="center"/>
        </w:trPr>
        <w:tc>
          <w:tcPr>
            <w:tcW w:w="3047" w:type="dxa"/>
            <w:tcBorders>
              <w:top w:val="nil"/>
              <w:bottom w:val="single" w:sz="2" w:space="0" w:color="1F4E79" w:themeColor="accent1" w:themeShade="80"/>
            </w:tcBorders>
            <w:shd w:val="clear" w:color="auto" w:fill="auto"/>
          </w:tcPr>
          <w:p w14:paraId="432043FB" w14:textId="77777777" w:rsidR="00AA7F20" w:rsidRPr="001A1E07" w:rsidRDefault="00AA7F20" w:rsidP="00AA7F20">
            <w:pPr>
              <w:pStyle w:val="08-Tabelageral"/>
              <w:jc w:val="left"/>
              <w:rPr>
                <w:rFonts w:cs="Arial"/>
                <w:b/>
                <w:szCs w:val="14"/>
              </w:rPr>
            </w:pPr>
            <w:r w:rsidRPr="001A1E07">
              <w:rPr>
                <w:rFonts w:cs="Arial"/>
                <w:b/>
              </w:rPr>
              <w:t xml:space="preserve">Total </w:t>
            </w:r>
          </w:p>
        </w:tc>
        <w:tc>
          <w:tcPr>
            <w:tcW w:w="595" w:type="dxa"/>
            <w:tcBorders>
              <w:top w:val="nil"/>
              <w:bottom w:val="single" w:sz="2" w:space="0" w:color="1F4E79" w:themeColor="accent1" w:themeShade="80"/>
            </w:tcBorders>
            <w:shd w:val="clear" w:color="auto" w:fill="auto"/>
          </w:tcPr>
          <w:p w14:paraId="47DCC2EF" w14:textId="77777777" w:rsidR="00AA7F20" w:rsidRPr="001A1E07" w:rsidRDefault="00AA7F20" w:rsidP="00AA7F20">
            <w:pPr>
              <w:pStyle w:val="08-Tabelageral"/>
              <w:jc w:val="center"/>
              <w:rPr>
                <w:rFonts w:cs="Arial"/>
                <w:b/>
                <w:szCs w:val="14"/>
              </w:rPr>
            </w:pPr>
          </w:p>
        </w:tc>
        <w:tc>
          <w:tcPr>
            <w:tcW w:w="1399" w:type="dxa"/>
            <w:tcBorders>
              <w:top w:val="nil"/>
              <w:bottom w:val="single" w:sz="2" w:space="0" w:color="1F4E79" w:themeColor="accent1" w:themeShade="80"/>
            </w:tcBorders>
            <w:shd w:val="clear" w:color="auto" w:fill="auto"/>
            <w:vAlign w:val="center"/>
          </w:tcPr>
          <w:p w14:paraId="7B2F20FD" w14:textId="77777777" w:rsidR="00AA7F20" w:rsidRPr="001A1E07" w:rsidRDefault="00AA7F20" w:rsidP="00AA7F20">
            <w:pPr>
              <w:pStyle w:val="08-Tabelageral"/>
              <w:rPr>
                <w:rFonts w:cs="Arial"/>
                <w:b/>
                <w:szCs w:val="14"/>
              </w:rPr>
            </w:pPr>
            <w:r>
              <w:rPr>
                <w:rFonts w:cs="Arial"/>
                <w:b/>
                <w:szCs w:val="14"/>
              </w:rPr>
              <w:t>10,829</w:t>
            </w:r>
          </w:p>
        </w:tc>
        <w:tc>
          <w:tcPr>
            <w:tcW w:w="1400" w:type="dxa"/>
            <w:tcBorders>
              <w:top w:val="nil"/>
              <w:bottom w:val="single" w:sz="2" w:space="0" w:color="1F4E79" w:themeColor="accent1" w:themeShade="80"/>
            </w:tcBorders>
            <w:shd w:val="clear" w:color="auto" w:fill="auto"/>
            <w:vAlign w:val="center"/>
          </w:tcPr>
          <w:p w14:paraId="5A1185C4" w14:textId="77777777" w:rsidR="00AA7F20" w:rsidRPr="001A1E07" w:rsidRDefault="00AA7F20" w:rsidP="00AA7F20">
            <w:pPr>
              <w:pStyle w:val="08-Tabelageral"/>
              <w:rPr>
                <w:rFonts w:cs="Arial"/>
                <w:b/>
                <w:szCs w:val="14"/>
              </w:rPr>
            </w:pPr>
            <w:r>
              <w:rPr>
                <w:rFonts w:cs="Arial"/>
                <w:b/>
                <w:szCs w:val="14"/>
              </w:rPr>
              <w:t>12,184</w:t>
            </w:r>
          </w:p>
        </w:tc>
        <w:tc>
          <w:tcPr>
            <w:tcW w:w="282" w:type="dxa"/>
            <w:tcBorders>
              <w:top w:val="nil"/>
              <w:bottom w:val="single" w:sz="2" w:space="0" w:color="1F4E79" w:themeColor="accent1" w:themeShade="80"/>
            </w:tcBorders>
            <w:shd w:val="clear" w:color="auto" w:fill="auto"/>
            <w:vAlign w:val="center"/>
          </w:tcPr>
          <w:p w14:paraId="6D4593C8" w14:textId="77777777" w:rsidR="00AA7F20" w:rsidRPr="001A1E07" w:rsidRDefault="00AA7F20" w:rsidP="00AA7F20">
            <w:pPr>
              <w:pStyle w:val="08-Tabelageral"/>
              <w:rPr>
                <w:rFonts w:cs="Arial"/>
                <w:b/>
                <w:szCs w:val="14"/>
              </w:rPr>
            </w:pPr>
          </w:p>
        </w:tc>
        <w:tc>
          <w:tcPr>
            <w:tcW w:w="1405" w:type="dxa"/>
            <w:tcBorders>
              <w:top w:val="nil"/>
              <w:bottom w:val="single" w:sz="2" w:space="0" w:color="1F4E79" w:themeColor="accent1" w:themeShade="80"/>
            </w:tcBorders>
            <w:shd w:val="clear" w:color="auto" w:fill="auto"/>
            <w:vAlign w:val="center"/>
          </w:tcPr>
          <w:p w14:paraId="214348DC" w14:textId="77777777" w:rsidR="00AA7F20" w:rsidRPr="001A1E07" w:rsidRDefault="00AA7F20" w:rsidP="00AA7F20">
            <w:pPr>
              <w:pStyle w:val="08-Tabelageral"/>
              <w:rPr>
                <w:rFonts w:cs="Arial"/>
                <w:b/>
                <w:szCs w:val="14"/>
              </w:rPr>
            </w:pPr>
            <w:r>
              <w:rPr>
                <w:rFonts w:cs="Arial"/>
                <w:b/>
                <w:szCs w:val="14"/>
              </w:rPr>
              <w:t>110,549</w:t>
            </w:r>
          </w:p>
        </w:tc>
        <w:tc>
          <w:tcPr>
            <w:tcW w:w="1511" w:type="dxa"/>
            <w:tcBorders>
              <w:top w:val="nil"/>
              <w:bottom w:val="single" w:sz="2" w:space="0" w:color="1F4E79" w:themeColor="accent1" w:themeShade="80"/>
            </w:tcBorders>
            <w:shd w:val="clear" w:color="auto" w:fill="auto"/>
            <w:vAlign w:val="center"/>
          </w:tcPr>
          <w:p w14:paraId="2D4ED44C" w14:textId="77777777" w:rsidR="00AA7F20" w:rsidRPr="001A1E07" w:rsidRDefault="00AA7F20" w:rsidP="00AA7F20">
            <w:pPr>
              <w:pStyle w:val="08-Tabelageral"/>
              <w:rPr>
                <w:rFonts w:cs="Arial"/>
                <w:b/>
                <w:szCs w:val="14"/>
              </w:rPr>
            </w:pPr>
            <w:r>
              <w:rPr>
                <w:rFonts w:cs="Arial"/>
                <w:b/>
                <w:szCs w:val="14"/>
              </w:rPr>
              <w:t>105,363</w:t>
            </w:r>
          </w:p>
        </w:tc>
      </w:tr>
    </w:tbl>
    <w:bookmarkEnd w:id="59"/>
    <w:p w14:paraId="7D31CCA5" w14:textId="77777777" w:rsidR="00AA7F20" w:rsidRPr="00057594" w:rsidRDefault="00AA7F20" w:rsidP="00AA7F20">
      <w:pPr>
        <w:pStyle w:val="PargrafodaLista"/>
        <w:numPr>
          <w:ilvl w:val="0"/>
          <w:numId w:val="11"/>
        </w:numPr>
        <w:jc w:val="both"/>
        <w:rPr>
          <w:rFonts w:ascii="Arial" w:hAnsi="Arial" w:cs="Arial"/>
          <w:sz w:val="14"/>
          <w:szCs w:val="14"/>
          <w:lang w:val="en-US"/>
        </w:rPr>
      </w:pPr>
      <w:r w:rsidRPr="007339E2">
        <w:rPr>
          <w:rFonts w:ascii="Arial" w:hAnsi="Arial" w:cs="Arial"/>
          <w:sz w:val="14"/>
          <w:szCs w:val="14"/>
          <w:lang w:val="en-US"/>
        </w:rPr>
        <w:t>Refers to the apportionment of expenses calculated in accordance with the contract for sharing customer data, use of staff, distribution network and technological and administrative material resources, entered into between Banco do Brasil, BB Seguridade, BB Corretora and BB Seguros</w:t>
      </w:r>
      <w:r>
        <w:rPr>
          <w:rFonts w:ascii="Arial" w:hAnsi="Arial" w:cs="Arial"/>
          <w:sz w:val="14"/>
          <w:szCs w:val="14"/>
          <w:lang w:val="en-US"/>
        </w:rPr>
        <w:t>.</w:t>
      </w:r>
      <w:r w:rsidRPr="007339E2">
        <w:rPr>
          <w:lang w:val="en-US"/>
        </w:rPr>
        <w:t xml:space="preserve"> </w:t>
      </w:r>
      <w:r w:rsidRPr="007339E2">
        <w:rPr>
          <w:rFonts w:ascii="Arial" w:hAnsi="Arial" w:cs="Arial"/>
          <w:sz w:val="14"/>
          <w:szCs w:val="14"/>
          <w:lang w:val="en-US"/>
        </w:rPr>
        <w:t>In the Consolidated, it also includes amounts payable to related companies, resulting from brokerage commissions to be returned. On 12/29/2022, the 1st Amendment to the Partnership Restructuring Agreement was signed, providing for the elimination of the price adjustment mechanism, effective for three years, renewable successively, starting in 2023.</w:t>
      </w:r>
    </w:p>
    <w:p w14:paraId="25844864" w14:textId="41AE1947" w:rsidR="00CC37BC" w:rsidRDefault="00CC37BC" w:rsidP="00AA7F20">
      <w:pPr>
        <w:pStyle w:val="02-TtulodeNota"/>
        <w:rPr>
          <w:rFonts w:eastAsiaTheme="minorHAnsi" w:cs="Arial"/>
          <w:bCs/>
          <w:color w:val="1F4E79" w:themeColor="accent1" w:themeShade="80"/>
          <w:spacing w:val="0"/>
          <w:lang w:val="en-US"/>
        </w:rPr>
      </w:pPr>
    </w:p>
    <w:p w14:paraId="286B6C9D" w14:textId="1E83CF22" w:rsidR="00AA7F20" w:rsidRPr="00E2299D" w:rsidRDefault="00AA7F20" w:rsidP="00AA7F20">
      <w:pPr>
        <w:pStyle w:val="02-TtulodeNota"/>
        <w:rPr>
          <w:color w:val="1F4E79" w:themeColor="accent1" w:themeShade="80"/>
          <w:lang w:val="en-US"/>
        </w:rPr>
      </w:pPr>
      <w:bookmarkStart w:id="61" w:name="_Toc134823589"/>
      <w:r w:rsidRPr="00E2299D">
        <w:rPr>
          <w:color w:val="1F4E79" w:themeColor="accent1" w:themeShade="80"/>
          <w:lang w:val="en-US"/>
        </w:rPr>
        <w:t>25 – EQUITY</w:t>
      </w:r>
      <w:bookmarkEnd w:id="61"/>
    </w:p>
    <w:p w14:paraId="3C3290E3" w14:textId="77777777" w:rsidR="00AA7F20" w:rsidRPr="00E2299D" w:rsidRDefault="00AA7F20" w:rsidP="00AA7F20">
      <w:pPr>
        <w:pStyle w:val="01-Textonormal"/>
        <w:rPr>
          <w:b/>
          <w:color w:val="1F4E79" w:themeColor="accent1" w:themeShade="80"/>
          <w:lang w:val="en-US"/>
        </w:rPr>
      </w:pPr>
      <w:r w:rsidRPr="00E2299D">
        <w:rPr>
          <w:b/>
          <w:color w:val="1F4E79" w:themeColor="accent1" w:themeShade="80"/>
          <w:lang w:val="en-US"/>
        </w:rPr>
        <w:t xml:space="preserve">a) Capital </w:t>
      </w:r>
    </w:p>
    <w:p w14:paraId="7AED23BC" w14:textId="77777777" w:rsidR="00AA7F20" w:rsidRPr="00E2299D" w:rsidRDefault="00AA7F20" w:rsidP="00AA7F20">
      <w:pPr>
        <w:pStyle w:val="05-Textonormal2"/>
        <w:rPr>
          <w:rFonts w:cs="Arial"/>
          <w:lang w:val="en-US"/>
        </w:rPr>
      </w:pPr>
      <w:r w:rsidRPr="00E2299D">
        <w:rPr>
          <w:rFonts w:cs="Arial"/>
          <w:lang w:val="en-US"/>
        </w:rPr>
        <w:t>The capital, fully subscribed and paid in,</w:t>
      </w:r>
      <w:r>
        <w:rPr>
          <w:rFonts w:cs="Arial"/>
          <w:lang w:val="en-US"/>
        </w:rPr>
        <w:t xml:space="preserve"> </w:t>
      </w:r>
      <w:r w:rsidRPr="00E2299D">
        <w:rPr>
          <w:rFonts w:cs="Arial"/>
          <w:lang w:val="en-US"/>
        </w:rPr>
        <w:t xml:space="preserve">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as of </w:t>
      </w:r>
      <w:r>
        <w:rPr>
          <w:rStyle w:val="rynqvb"/>
          <w:lang w:val="en"/>
        </w:rPr>
        <w:t>March</w:t>
      </w:r>
      <w:r w:rsidRPr="00E2299D">
        <w:rPr>
          <w:rFonts w:cs="Arial"/>
          <w:lang w:val="en-US"/>
        </w:rPr>
        <w:t xml:space="preserve"> 31, 202</w:t>
      </w:r>
      <w:r>
        <w:rPr>
          <w:rFonts w:cs="Arial"/>
          <w:lang w:val="en-US"/>
        </w:rPr>
        <w:t>3</w:t>
      </w:r>
      <w:r w:rsidRPr="00E2299D">
        <w:rPr>
          <w:rFonts w:cs="Arial"/>
          <w:lang w:val="en-US"/>
        </w:rPr>
        <w:t xml:space="preserve"> ( </w:t>
      </w:r>
      <w:r w:rsidRPr="00E2299D">
        <w:rPr>
          <w:lang w:val="en-US"/>
        </w:rPr>
        <w:t xml:space="preserve">R$ </w:t>
      </w:r>
      <w:r>
        <w:rPr>
          <w:lang w:val="en-US"/>
        </w:rPr>
        <w:t>6,269,692</w:t>
      </w:r>
      <w:r w:rsidRPr="00E2299D">
        <w:rPr>
          <w:lang w:val="en-US"/>
        </w:rPr>
        <w:t xml:space="preserve"> thousand of December 31, 202</w:t>
      </w:r>
      <w:r>
        <w:rPr>
          <w:lang w:val="en-US"/>
        </w:rPr>
        <w:t>2</w:t>
      </w:r>
      <w:r w:rsidRPr="00E2299D">
        <w:rPr>
          <w:lang w:val="en-US"/>
        </w:rPr>
        <w:t>)</w:t>
      </w:r>
      <w:r w:rsidRPr="00E2299D">
        <w:rPr>
          <w:rFonts w:cs="Arial"/>
          <w:lang w:val="en-US"/>
        </w:rPr>
        <w:t>, it is divided into 2,000,000,000 (two billion) shares, represented in book-entry form and without par value.</w:t>
      </w:r>
    </w:p>
    <w:p w14:paraId="7680EA3D" w14:textId="77777777" w:rsidR="00AA7F20" w:rsidRPr="00E2299D" w:rsidRDefault="00AA7F20" w:rsidP="00AA7F20">
      <w:pPr>
        <w:pStyle w:val="05-Textonormal2"/>
        <w:rPr>
          <w:rFonts w:cs="Arial"/>
          <w:lang w:val="en-US"/>
        </w:rPr>
      </w:pPr>
      <w:r w:rsidRPr="00E2299D">
        <w:rPr>
          <w:rFonts w:cs="Arial"/>
          <w:lang w:val="en-US"/>
        </w:rPr>
        <w:t xml:space="preserve">The shareholders’ equity amounted </w:t>
      </w:r>
      <w:r w:rsidRPr="00E2299D">
        <w:rPr>
          <w:lang w:val="en-US"/>
        </w:rPr>
        <w:t xml:space="preserve">R$ </w:t>
      </w:r>
      <w:r w:rsidRPr="006369BA">
        <w:t>10</w:t>
      </w:r>
      <w:r>
        <w:t>,</w:t>
      </w:r>
      <w:r w:rsidRPr="006369BA">
        <w:t>047</w:t>
      </w:r>
      <w:r>
        <w:t xml:space="preserve">,334 </w:t>
      </w:r>
      <w:r w:rsidRPr="00E2299D">
        <w:rPr>
          <w:lang w:val="en-US"/>
        </w:rPr>
        <w:t xml:space="preserve">mil </w:t>
      </w:r>
      <w:r w:rsidRPr="00E2299D">
        <w:rPr>
          <w:rFonts w:cs="Arial"/>
          <w:lang w:val="en-US"/>
        </w:rPr>
        <w:t xml:space="preserve">thousand in </w:t>
      </w:r>
      <w:r>
        <w:rPr>
          <w:rStyle w:val="rynqvb"/>
          <w:lang w:val="en"/>
        </w:rPr>
        <w:t>March</w:t>
      </w:r>
      <w:r w:rsidRPr="00E2299D">
        <w:rPr>
          <w:rFonts w:cs="Arial"/>
          <w:lang w:val="en-US"/>
        </w:rPr>
        <w:t xml:space="preserve"> 31, 202</w:t>
      </w:r>
      <w:r>
        <w:rPr>
          <w:rFonts w:cs="Arial"/>
          <w:lang w:val="en-US"/>
        </w:rPr>
        <w:t>3</w:t>
      </w:r>
      <w:r w:rsidRPr="00E2299D">
        <w:rPr>
          <w:rFonts w:cs="Arial"/>
          <w:lang w:val="en-US"/>
        </w:rPr>
        <w:t xml:space="preserve"> (R$ </w:t>
      </w:r>
      <w:r>
        <w:t xml:space="preserve">8,028,171 </w:t>
      </w:r>
      <w:r w:rsidRPr="00E2299D">
        <w:rPr>
          <w:rFonts w:cs="Arial"/>
          <w:lang w:val="en-US"/>
        </w:rPr>
        <w:t>thousand as of December 31, 202</w:t>
      </w:r>
      <w:r>
        <w:rPr>
          <w:rFonts w:cs="Arial"/>
          <w:lang w:val="en-US"/>
        </w:rPr>
        <w:t xml:space="preserve">2 – </w:t>
      </w:r>
      <w:r>
        <w:rPr>
          <w:rStyle w:val="rynqvb"/>
          <w:lang w:val="en"/>
        </w:rPr>
        <w:t>re-introduced</w:t>
      </w:r>
      <w:r w:rsidRPr="00E2299D">
        <w:rPr>
          <w:rFonts w:cs="Arial"/>
          <w:lang w:val="en-US"/>
        </w:rPr>
        <w:t xml:space="preserve">), corresponding a book value per share of R$ </w:t>
      </w:r>
      <w:r>
        <w:rPr>
          <w:rFonts w:cs="Arial"/>
          <w:lang w:val="en-US"/>
        </w:rPr>
        <w:t>5</w:t>
      </w:r>
      <w:r w:rsidRPr="00E2299D">
        <w:rPr>
          <w:lang w:val="en-US"/>
        </w:rPr>
        <w:t>.</w:t>
      </w:r>
      <w:r>
        <w:rPr>
          <w:lang w:val="en-US"/>
        </w:rPr>
        <w:t>02</w:t>
      </w:r>
      <w:r w:rsidRPr="00E2299D">
        <w:rPr>
          <w:lang w:val="en-US"/>
        </w:rPr>
        <w:t xml:space="preserve"> </w:t>
      </w:r>
      <w:r w:rsidRPr="00E2299D">
        <w:rPr>
          <w:rFonts w:cs="Arial"/>
          <w:lang w:val="en-US"/>
        </w:rPr>
        <w:t>per share in December 31, 202</w:t>
      </w:r>
      <w:r>
        <w:rPr>
          <w:rFonts w:cs="Arial"/>
          <w:lang w:val="en-US"/>
        </w:rPr>
        <w:t>3</w:t>
      </w:r>
      <w:r w:rsidRPr="00E2299D">
        <w:rPr>
          <w:rFonts w:cs="Arial"/>
          <w:lang w:val="en-US"/>
        </w:rPr>
        <w:t xml:space="preserve"> (R$ 3.</w:t>
      </w:r>
      <w:r>
        <w:rPr>
          <w:rFonts w:cs="Arial"/>
          <w:lang w:val="en-US"/>
        </w:rPr>
        <w:t>80</w:t>
      </w:r>
      <w:r w:rsidRPr="00E2299D">
        <w:rPr>
          <w:rFonts w:cs="Arial"/>
          <w:lang w:val="en-US"/>
        </w:rPr>
        <w:t xml:space="preserve"> per share as of December 31, 202</w:t>
      </w:r>
      <w:r>
        <w:rPr>
          <w:rFonts w:cs="Arial"/>
          <w:lang w:val="en-US"/>
        </w:rPr>
        <w:t>2 - reintroduced</w:t>
      </w:r>
      <w:r w:rsidRPr="00E2299D">
        <w:rPr>
          <w:rFonts w:cs="Arial"/>
          <w:lang w:val="en-US"/>
        </w:rPr>
        <w:t xml:space="preserve">). </w:t>
      </w:r>
    </w:p>
    <w:p w14:paraId="4AA72B9B" w14:textId="77777777" w:rsidR="00AA7F20" w:rsidRPr="00E2299D" w:rsidRDefault="00AA7F20" w:rsidP="00AA7F20">
      <w:pPr>
        <w:pStyle w:val="01-Textonormal"/>
        <w:rPr>
          <w:b/>
          <w:color w:val="1F4E79" w:themeColor="accent1" w:themeShade="80"/>
          <w:lang w:val="en-US"/>
        </w:rPr>
      </w:pPr>
      <w:r w:rsidRPr="00E2299D">
        <w:rPr>
          <w:b/>
          <w:color w:val="1F4E79" w:themeColor="accent1" w:themeShade="80"/>
          <w:lang w:val="en-US"/>
        </w:rPr>
        <w:t xml:space="preserve">b) Capital and Profit Reserves </w:t>
      </w:r>
    </w:p>
    <w:p w14:paraId="0A40C67C" w14:textId="77777777" w:rsidR="00AA7F20" w:rsidRPr="009E41F1" w:rsidRDefault="00AA7F20" w:rsidP="00AA7F20">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6905"/>
        <w:gridCol w:w="1295"/>
        <w:gridCol w:w="1439"/>
      </w:tblGrid>
      <w:tr w:rsidR="00AA7F20" w14:paraId="58A13FBB" w14:textId="77777777" w:rsidTr="00AA7F20">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1F4E79" w:themeColor="accent1" w:themeShade="80"/>
              <w:bottom w:val="nil"/>
            </w:tcBorders>
            <w:shd w:val="clear" w:color="auto" w:fill="auto"/>
            <w:vAlign w:val="center"/>
          </w:tcPr>
          <w:p w14:paraId="720B291C" w14:textId="77777777" w:rsidR="00AA7F20" w:rsidRPr="00E2299D" w:rsidRDefault="00AA7F20" w:rsidP="00AA7F20">
            <w:pPr>
              <w:jc w:val="center"/>
              <w:rPr>
                <w:rFonts w:cs="Arial"/>
                <w:b w:val="0"/>
                <w:sz w:val="14"/>
                <w:szCs w:val="14"/>
                <w:lang w:val="en-US"/>
              </w:rPr>
            </w:pPr>
          </w:p>
        </w:tc>
        <w:tc>
          <w:tcPr>
            <w:tcW w:w="2694" w:type="dxa"/>
            <w:gridSpan w:val="2"/>
            <w:tcBorders>
              <w:top w:val="single" w:sz="2" w:space="0" w:color="1F4E79" w:themeColor="accent1" w:themeShade="80"/>
              <w:bottom w:val="single" w:sz="2" w:space="0" w:color="1F4E79" w:themeColor="accent1" w:themeShade="80"/>
            </w:tcBorders>
            <w:shd w:val="clear" w:color="auto" w:fill="auto"/>
            <w:vAlign w:val="center"/>
          </w:tcPr>
          <w:p w14:paraId="3134FB81" w14:textId="77777777" w:rsidR="00AA7F20" w:rsidRPr="007E09C9" w:rsidRDefault="00AA7F20" w:rsidP="00AA7F20">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7E09C9">
              <w:rPr>
                <w:rFonts w:cs="Arial"/>
                <w:sz w:val="14"/>
                <w:szCs w:val="14"/>
                <w:lang w:val="en-US"/>
              </w:rPr>
              <w:t>Parent and Consolidated</w:t>
            </w:r>
          </w:p>
        </w:tc>
      </w:tr>
      <w:tr w:rsidR="00AA7F20" w:rsidRPr="001D6BE8" w14:paraId="7DF4B70D" w14:textId="77777777" w:rsidTr="00AA7F20">
        <w:trPr>
          <w:cnfStyle w:val="000000100000" w:firstRow="0" w:lastRow="0" w:firstColumn="0" w:lastColumn="0" w:oddVBand="0" w:evenVBand="0" w:oddHBand="1" w:evenHBand="0" w:firstRowFirstColumn="0" w:firstRowLastColumn="0" w:lastRowFirstColumn="0" w:lastRowLastColumn="0"/>
          <w:trHeight w:hRule="exact" w:val="674"/>
          <w:jc w:val="center"/>
        </w:trPr>
        <w:tc>
          <w:tcPr>
            <w:cnfStyle w:val="001000000000" w:firstRow="0" w:lastRow="0" w:firstColumn="1" w:lastColumn="0" w:oddVBand="0" w:evenVBand="0" w:oddHBand="0" w:evenHBand="0" w:firstRowFirstColumn="0" w:firstRowLastColumn="0" w:lastRowFirstColumn="0" w:lastRowLastColumn="0"/>
            <w:tcW w:w="6804" w:type="dxa"/>
            <w:tcBorders>
              <w:top w:val="nil"/>
              <w:bottom w:val="single" w:sz="2" w:space="0" w:color="1F4E79" w:themeColor="accent1" w:themeShade="80"/>
            </w:tcBorders>
            <w:shd w:val="clear" w:color="auto" w:fill="auto"/>
          </w:tcPr>
          <w:p w14:paraId="3D16C7CB" w14:textId="77777777" w:rsidR="00AA7F20" w:rsidRPr="007E09C9" w:rsidRDefault="00AA7F20" w:rsidP="00AA7F20">
            <w:pPr>
              <w:pStyle w:val="08-Tabelageral"/>
              <w:rPr>
                <w:rFonts w:cs="Arial"/>
                <w:b w:val="0"/>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DFB8EF0" w14:textId="77777777" w:rsidR="00AA7F20" w:rsidRPr="007E09C9"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 xml:space="preserve">Mar </w:t>
            </w:r>
            <w:r w:rsidRPr="007E09C9">
              <w:rPr>
                <w:rFonts w:cs="Arial"/>
                <w:b/>
                <w:szCs w:val="14"/>
              </w:rPr>
              <w:t>3</w:t>
            </w:r>
            <w:r>
              <w:rPr>
                <w:rFonts w:cs="Arial"/>
                <w:b/>
                <w:szCs w:val="14"/>
              </w:rPr>
              <w:t xml:space="preserve">1, </w:t>
            </w:r>
            <w:r w:rsidRPr="007E09C9">
              <w:rPr>
                <w:rFonts w:cs="Arial"/>
                <w:b/>
                <w:szCs w:val="14"/>
              </w:rPr>
              <w:t>202</w:t>
            </w:r>
            <w:r>
              <w:rPr>
                <w:rFonts w:cs="Arial"/>
                <w:b/>
                <w:szCs w:val="14"/>
              </w:rPr>
              <w:t>3</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6A75F03" w14:textId="77777777" w:rsidR="00AA7F20" w:rsidRPr="0076531A"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76531A">
              <w:rPr>
                <w:rFonts w:cs="Arial"/>
                <w:b/>
                <w:szCs w:val="14"/>
              </w:rPr>
              <w:t xml:space="preserve">Dec 31, 2022 </w:t>
            </w:r>
            <w:r w:rsidRPr="0076531A">
              <w:rPr>
                <w:rStyle w:val="rynqvb"/>
                <w:b/>
                <w:color w:val="auto"/>
                <w:lang w:val="en"/>
              </w:rPr>
              <w:t>r</w:t>
            </w:r>
            <w:r>
              <w:rPr>
                <w:rStyle w:val="rynqvb"/>
                <w:b/>
                <w:color w:val="auto"/>
                <w:lang w:val="en"/>
              </w:rPr>
              <w:t>estated balances</w:t>
            </w:r>
          </w:p>
        </w:tc>
      </w:tr>
      <w:tr w:rsidR="00AA7F20" w:rsidRPr="002F79A6" w14:paraId="7D905746" w14:textId="77777777" w:rsidTr="00AA7F2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804" w:type="dxa"/>
            <w:tcBorders>
              <w:top w:val="single" w:sz="2" w:space="0" w:color="1F4E79" w:themeColor="accent1" w:themeShade="80"/>
              <w:bottom w:val="nil"/>
            </w:tcBorders>
            <w:shd w:val="clear" w:color="auto" w:fill="auto"/>
            <w:vAlign w:val="center"/>
          </w:tcPr>
          <w:p w14:paraId="301F5A12" w14:textId="77777777" w:rsidR="00AA7F20" w:rsidRPr="007E09C9" w:rsidRDefault="00AA7F20" w:rsidP="00AA7F20">
            <w:pPr>
              <w:pStyle w:val="08-Tabelageral"/>
              <w:ind w:left="113" w:hanging="222"/>
              <w:jc w:val="left"/>
              <w:rPr>
                <w:rFonts w:cs="Arial"/>
                <w:szCs w:val="14"/>
              </w:rPr>
            </w:pPr>
            <w:r w:rsidRPr="007E09C9">
              <w:rPr>
                <w:rFonts w:cs="Arial"/>
                <w:szCs w:val="14"/>
              </w:rPr>
              <w:t>Capital Reserves</w:t>
            </w:r>
          </w:p>
        </w:tc>
        <w:tc>
          <w:tcPr>
            <w:tcW w:w="1276" w:type="dxa"/>
            <w:tcBorders>
              <w:top w:val="single" w:sz="2" w:space="0" w:color="1F4E79" w:themeColor="accent1" w:themeShade="80"/>
              <w:bottom w:val="nil"/>
            </w:tcBorders>
            <w:shd w:val="clear" w:color="auto" w:fill="auto"/>
            <w:vAlign w:val="center"/>
          </w:tcPr>
          <w:p w14:paraId="3DCF3131" w14:textId="77777777" w:rsidR="00AA7F20" w:rsidRPr="007E09C9"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6369BA">
              <w:rPr>
                <w:rFonts w:cs="Arial"/>
                <w:b/>
                <w:bCs/>
                <w:szCs w:val="14"/>
              </w:rPr>
              <w:t>1</w:t>
            </w:r>
            <w:r>
              <w:rPr>
                <w:rFonts w:cs="Arial"/>
                <w:b/>
                <w:bCs/>
                <w:szCs w:val="14"/>
              </w:rPr>
              <w:t>,</w:t>
            </w:r>
            <w:r w:rsidRPr="006369BA">
              <w:rPr>
                <w:rFonts w:cs="Arial"/>
                <w:b/>
                <w:bCs/>
                <w:szCs w:val="14"/>
              </w:rPr>
              <w:t>801</w:t>
            </w:r>
          </w:p>
        </w:tc>
        <w:tc>
          <w:tcPr>
            <w:tcW w:w="1418" w:type="dxa"/>
            <w:tcBorders>
              <w:top w:val="single" w:sz="2" w:space="0" w:color="1F4E79" w:themeColor="accent1" w:themeShade="80"/>
              <w:bottom w:val="nil"/>
            </w:tcBorders>
            <w:shd w:val="clear" w:color="auto" w:fill="auto"/>
            <w:vAlign w:val="center"/>
          </w:tcPr>
          <w:p w14:paraId="509EF7AC" w14:textId="77777777" w:rsidR="00AA7F20" w:rsidRPr="007E09C9"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EC1997">
              <w:rPr>
                <w:rFonts w:cs="Arial"/>
                <w:b/>
                <w:bCs/>
                <w:szCs w:val="14"/>
              </w:rPr>
              <w:t>1</w:t>
            </w:r>
            <w:r>
              <w:rPr>
                <w:rFonts w:cs="Arial"/>
                <w:b/>
                <w:bCs/>
                <w:szCs w:val="14"/>
              </w:rPr>
              <w:t>,</w:t>
            </w:r>
            <w:r w:rsidRPr="00EC1997">
              <w:rPr>
                <w:rFonts w:cs="Arial"/>
                <w:b/>
                <w:bCs/>
                <w:szCs w:val="14"/>
              </w:rPr>
              <w:t>571</w:t>
            </w:r>
          </w:p>
        </w:tc>
      </w:tr>
      <w:tr w:rsidR="00AA7F20" w:rsidRPr="002F79A6" w14:paraId="2DDFD4AF" w14:textId="77777777" w:rsidTr="00AA7F2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804" w:type="dxa"/>
            <w:tcBorders>
              <w:top w:val="nil"/>
              <w:bottom w:val="nil"/>
            </w:tcBorders>
            <w:shd w:val="clear" w:color="auto" w:fill="auto"/>
            <w:vAlign w:val="center"/>
          </w:tcPr>
          <w:p w14:paraId="257117CF" w14:textId="77777777" w:rsidR="00AA7F20" w:rsidRPr="007E09C9" w:rsidRDefault="00AA7F20" w:rsidP="00AA7F20">
            <w:pPr>
              <w:pStyle w:val="08-Tabelageral"/>
              <w:ind w:left="113" w:hanging="222"/>
              <w:jc w:val="left"/>
              <w:rPr>
                <w:rFonts w:cs="Arial"/>
                <w:szCs w:val="14"/>
              </w:rPr>
            </w:pPr>
            <w:r w:rsidRPr="007E09C9">
              <w:rPr>
                <w:rFonts w:cs="Arial"/>
                <w:szCs w:val="14"/>
              </w:rPr>
              <w:t>Profit Reserves</w:t>
            </w:r>
          </w:p>
        </w:tc>
        <w:tc>
          <w:tcPr>
            <w:tcW w:w="1276" w:type="dxa"/>
            <w:tcBorders>
              <w:top w:val="nil"/>
              <w:bottom w:val="nil"/>
            </w:tcBorders>
            <w:shd w:val="clear" w:color="auto" w:fill="auto"/>
            <w:vAlign w:val="center"/>
          </w:tcPr>
          <w:p w14:paraId="7EAB31F1" w14:textId="77777777" w:rsidR="00AA7F20" w:rsidRPr="007E09C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C1997">
              <w:rPr>
                <w:rFonts w:cs="Arial"/>
                <w:b/>
                <w:szCs w:val="14"/>
              </w:rPr>
              <w:t>1</w:t>
            </w:r>
            <w:r>
              <w:rPr>
                <w:rFonts w:cs="Arial"/>
                <w:b/>
                <w:szCs w:val="14"/>
              </w:rPr>
              <w:t>,</w:t>
            </w:r>
            <w:r w:rsidRPr="00EC1997">
              <w:rPr>
                <w:rFonts w:cs="Arial"/>
                <w:b/>
                <w:szCs w:val="14"/>
              </w:rPr>
              <w:t>552</w:t>
            </w:r>
            <w:r>
              <w:rPr>
                <w:rFonts w:cs="Arial"/>
                <w:b/>
                <w:szCs w:val="14"/>
              </w:rPr>
              <w:t>,</w:t>
            </w:r>
            <w:r w:rsidRPr="00EC1997">
              <w:rPr>
                <w:rFonts w:cs="Arial"/>
                <w:b/>
                <w:szCs w:val="14"/>
              </w:rPr>
              <w:t>229</w:t>
            </w:r>
          </w:p>
        </w:tc>
        <w:tc>
          <w:tcPr>
            <w:tcW w:w="1418" w:type="dxa"/>
            <w:tcBorders>
              <w:top w:val="nil"/>
              <w:bottom w:val="nil"/>
            </w:tcBorders>
            <w:shd w:val="clear" w:color="auto" w:fill="auto"/>
            <w:vAlign w:val="center"/>
          </w:tcPr>
          <w:p w14:paraId="08A7F147" w14:textId="77777777" w:rsidR="00AA7F20" w:rsidRPr="007E09C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C1997">
              <w:rPr>
                <w:rFonts w:cs="Arial"/>
                <w:b/>
                <w:szCs w:val="14"/>
              </w:rPr>
              <w:t>1</w:t>
            </w:r>
            <w:r>
              <w:rPr>
                <w:rFonts w:cs="Arial"/>
                <w:b/>
                <w:szCs w:val="14"/>
              </w:rPr>
              <w:t>,</w:t>
            </w:r>
            <w:r w:rsidRPr="00EC1997">
              <w:rPr>
                <w:rFonts w:cs="Arial"/>
                <w:b/>
                <w:szCs w:val="14"/>
              </w:rPr>
              <w:t>552</w:t>
            </w:r>
            <w:r>
              <w:rPr>
                <w:rFonts w:cs="Arial"/>
                <w:b/>
                <w:szCs w:val="14"/>
              </w:rPr>
              <w:t>,</w:t>
            </w:r>
            <w:r w:rsidRPr="00EC1997">
              <w:rPr>
                <w:rFonts w:cs="Arial"/>
                <w:b/>
                <w:szCs w:val="14"/>
              </w:rPr>
              <w:t>229</w:t>
            </w:r>
          </w:p>
        </w:tc>
      </w:tr>
      <w:tr w:rsidR="00AA7F20" w:rsidRPr="001D6BE8" w14:paraId="69695126" w14:textId="77777777" w:rsidTr="00AA7F2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6804" w:type="dxa"/>
            <w:tcBorders>
              <w:top w:val="nil"/>
              <w:bottom w:val="nil"/>
            </w:tcBorders>
            <w:shd w:val="clear" w:color="auto" w:fill="auto"/>
            <w:vAlign w:val="center"/>
          </w:tcPr>
          <w:p w14:paraId="7EEF17A2" w14:textId="77777777" w:rsidR="00AA7F20" w:rsidRPr="007E09C9" w:rsidRDefault="00AA7F20" w:rsidP="00AA7F20">
            <w:pPr>
              <w:pStyle w:val="08-Tabelageral"/>
              <w:ind w:firstLine="176"/>
              <w:jc w:val="left"/>
              <w:rPr>
                <w:rFonts w:cs="Arial"/>
                <w:b w:val="0"/>
                <w:szCs w:val="14"/>
              </w:rPr>
            </w:pPr>
            <w:r w:rsidRPr="007E09C9">
              <w:rPr>
                <w:rFonts w:cs="Arial"/>
                <w:b w:val="0"/>
                <w:szCs w:val="14"/>
              </w:rPr>
              <w:t>Legal Reserve</w:t>
            </w:r>
          </w:p>
        </w:tc>
        <w:tc>
          <w:tcPr>
            <w:tcW w:w="1276" w:type="dxa"/>
            <w:tcBorders>
              <w:top w:val="nil"/>
              <w:bottom w:val="nil"/>
            </w:tcBorders>
            <w:shd w:val="clear" w:color="auto" w:fill="auto"/>
            <w:vAlign w:val="center"/>
          </w:tcPr>
          <w:p w14:paraId="356AAECB" w14:textId="77777777" w:rsidR="00AA7F20" w:rsidRPr="007E09C9"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szCs w:val="14"/>
              </w:rPr>
              <w:t>302,229</w:t>
            </w:r>
          </w:p>
        </w:tc>
        <w:tc>
          <w:tcPr>
            <w:tcW w:w="1418" w:type="dxa"/>
            <w:tcBorders>
              <w:top w:val="nil"/>
              <w:bottom w:val="nil"/>
            </w:tcBorders>
            <w:shd w:val="clear" w:color="auto" w:fill="auto"/>
            <w:vAlign w:val="center"/>
          </w:tcPr>
          <w:p w14:paraId="58C06ED9" w14:textId="77777777" w:rsidR="00AA7F20" w:rsidRPr="007E09C9"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szCs w:val="14"/>
              </w:rPr>
              <w:t>302,229</w:t>
            </w:r>
          </w:p>
        </w:tc>
      </w:tr>
      <w:tr w:rsidR="00AA7F20" w:rsidRPr="00EB16D4" w14:paraId="645C18C6" w14:textId="77777777" w:rsidTr="00AA7F2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804" w:type="dxa"/>
            <w:tcBorders>
              <w:top w:val="nil"/>
              <w:bottom w:val="single" w:sz="2" w:space="0" w:color="1F4E79" w:themeColor="accent1" w:themeShade="80"/>
            </w:tcBorders>
            <w:shd w:val="clear" w:color="auto" w:fill="auto"/>
            <w:vAlign w:val="center"/>
          </w:tcPr>
          <w:p w14:paraId="085B023D" w14:textId="77777777" w:rsidR="00AA7F20" w:rsidRPr="007E09C9" w:rsidRDefault="00AA7F20" w:rsidP="00AA7F20">
            <w:pPr>
              <w:pStyle w:val="08-Tabelageral"/>
              <w:ind w:firstLine="176"/>
              <w:jc w:val="left"/>
              <w:rPr>
                <w:rFonts w:cs="Arial"/>
                <w:b w:val="0"/>
                <w:szCs w:val="14"/>
              </w:rPr>
            </w:pPr>
            <w:r w:rsidRPr="005C6102">
              <w:rPr>
                <w:rFonts w:cs="Arial"/>
                <w:b w:val="0"/>
                <w:szCs w:val="14"/>
              </w:rPr>
              <w:t>Reserve for Equalization of Capital Remuneration</w:t>
            </w:r>
          </w:p>
        </w:tc>
        <w:tc>
          <w:tcPr>
            <w:tcW w:w="1276" w:type="dxa"/>
            <w:tcBorders>
              <w:top w:val="nil"/>
              <w:bottom w:val="single" w:sz="2" w:space="0" w:color="1F4E79" w:themeColor="accent1" w:themeShade="80"/>
            </w:tcBorders>
            <w:shd w:val="clear" w:color="auto" w:fill="auto"/>
            <w:vAlign w:val="center"/>
          </w:tcPr>
          <w:p w14:paraId="26719310" w14:textId="77777777" w:rsidR="00AA7F20" w:rsidRPr="007E09C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szCs w:val="14"/>
              </w:rPr>
              <w:t>1,250,000</w:t>
            </w:r>
          </w:p>
        </w:tc>
        <w:tc>
          <w:tcPr>
            <w:tcW w:w="1418" w:type="dxa"/>
            <w:tcBorders>
              <w:top w:val="nil"/>
              <w:bottom w:val="single" w:sz="2" w:space="0" w:color="1F4E79" w:themeColor="accent1" w:themeShade="80"/>
            </w:tcBorders>
            <w:shd w:val="clear" w:color="auto" w:fill="auto"/>
            <w:vAlign w:val="center"/>
          </w:tcPr>
          <w:p w14:paraId="6E23896D" w14:textId="77777777" w:rsidR="00AA7F20" w:rsidRPr="007E09C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szCs w:val="14"/>
              </w:rPr>
              <w:t>1,250,000</w:t>
            </w:r>
          </w:p>
        </w:tc>
      </w:tr>
    </w:tbl>
    <w:p w14:paraId="3C2F5FA3" w14:textId="77777777" w:rsidR="00AA7F20" w:rsidRPr="006C4BB5" w:rsidRDefault="00AA7F20" w:rsidP="00AA7F20">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0074C5CA" w14:textId="77777777" w:rsidR="00AA7F20" w:rsidRPr="00762DC5" w:rsidRDefault="00AA7F20" w:rsidP="00AA7F20">
      <w:pPr>
        <w:pStyle w:val="03-SubttulodeNota"/>
        <w:keepNext/>
        <w:keepLines/>
        <w:spacing w:before="40"/>
        <w:ind w:left="36"/>
        <w:rPr>
          <w:b w:val="0"/>
          <w:sz w:val="18"/>
          <w:szCs w:val="18"/>
          <w:lang w:val="en-US"/>
        </w:rPr>
      </w:pPr>
      <w:r w:rsidRPr="00762DC5">
        <w:rPr>
          <w:b w:val="0"/>
          <w:sz w:val="18"/>
          <w:szCs w:val="18"/>
          <w:lang w:val="en-US"/>
        </w:rPr>
        <w:lastRenderedPageBreak/>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1AD47422" w14:textId="77777777" w:rsidR="00AA7F20" w:rsidRDefault="00AA7F20" w:rsidP="00AA7F20">
      <w:pPr>
        <w:pStyle w:val="01-TtulodeNota"/>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6377F419" w14:textId="77777777" w:rsidR="00AA7F20" w:rsidRPr="00F55DD0" w:rsidRDefault="00AA7F20" w:rsidP="00AA7F20">
      <w:pPr>
        <w:pStyle w:val="01-Textonormal"/>
        <w:rPr>
          <w:rFonts w:cs="Arial"/>
          <w:b/>
          <w:color w:val="1F4E79" w:themeColor="accent1" w:themeShade="80"/>
        </w:rPr>
      </w:pPr>
      <w:r w:rsidRPr="00F55DD0">
        <w:rPr>
          <w:b/>
          <w:color w:val="1F4E79" w:themeColor="accent1" w:themeShade="80"/>
        </w:rPr>
        <w:t>c) Earnings per Share</w:t>
      </w:r>
    </w:p>
    <w:tbl>
      <w:tblPr>
        <w:tblStyle w:val="TabeladeLista6Colorida-nfase5"/>
        <w:tblW w:w="9639" w:type="dxa"/>
        <w:tblLook w:val="04A0" w:firstRow="1" w:lastRow="0" w:firstColumn="1" w:lastColumn="0" w:noHBand="0" w:noVBand="1"/>
      </w:tblPr>
      <w:tblGrid>
        <w:gridCol w:w="6471"/>
        <w:gridCol w:w="1582"/>
        <w:gridCol w:w="1586"/>
      </w:tblGrid>
      <w:tr w:rsidR="00AA7F20" w14:paraId="71D65473" w14:textId="77777777" w:rsidTr="00AA7F20">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0BDC4DD2" w14:textId="77777777" w:rsidR="00AA7F20" w:rsidRPr="001D6BE8" w:rsidRDefault="00AA7F20" w:rsidP="00AA7F20">
            <w:pPr>
              <w:jc w:val="center"/>
              <w:rPr>
                <w:rFonts w:cs="Arial"/>
                <w:b w:val="0"/>
                <w:szCs w:val="18"/>
              </w:rPr>
            </w:pPr>
          </w:p>
        </w:tc>
        <w:tc>
          <w:tcPr>
            <w:tcW w:w="3168" w:type="dxa"/>
            <w:gridSpan w:val="2"/>
            <w:tcBorders>
              <w:top w:val="single" w:sz="2" w:space="0" w:color="1F4E79" w:themeColor="accent1" w:themeShade="80"/>
              <w:bottom w:val="single" w:sz="2" w:space="0" w:color="1F4E79" w:themeColor="accent1" w:themeShade="80"/>
            </w:tcBorders>
            <w:shd w:val="clear" w:color="auto" w:fill="auto"/>
            <w:vAlign w:val="center"/>
          </w:tcPr>
          <w:p w14:paraId="1DA22E48" w14:textId="77777777" w:rsidR="00AA7F20" w:rsidRPr="0038031F" w:rsidRDefault="00AA7F20" w:rsidP="00AA7F20">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AA7F20" w:rsidRPr="001D6BE8" w14:paraId="27A73301" w14:textId="77777777" w:rsidTr="00AA7F20">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tcPr>
          <w:p w14:paraId="4672A6E1" w14:textId="77777777" w:rsidR="00AA7F20" w:rsidRPr="001D6BE8" w:rsidRDefault="00AA7F20" w:rsidP="00AA7F20">
            <w:pPr>
              <w:pStyle w:val="08-Tabelageral"/>
              <w:rPr>
                <w:rFonts w:cs="Arial"/>
                <w:b w:val="0"/>
              </w:rPr>
            </w:pPr>
          </w:p>
        </w:tc>
        <w:tc>
          <w:tcPr>
            <w:tcW w:w="1582" w:type="dxa"/>
            <w:tcBorders>
              <w:top w:val="single" w:sz="2" w:space="0" w:color="1F4E79" w:themeColor="accent1" w:themeShade="80"/>
              <w:bottom w:val="single" w:sz="2" w:space="0" w:color="1F4E79" w:themeColor="accent1" w:themeShade="80"/>
            </w:tcBorders>
            <w:shd w:val="clear" w:color="auto" w:fill="auto"/>
            <w:vAlign w:val="center"/>
          </w:tcPr>
          <w:p w14:paraId="3778DD2E" w14:textId="77777777" w:rsidR="00AA7F20" w:rsidRPr="00A66419"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A66419">
              <w:rPr>
                <w:rFonts w:ascii="CIDFont+F3" w:eastAsiaTheme="minorHAnsi" w:hAnsi="CIDFont+F3" w:cs="CIDFont+F3"/>
                <w:b/>
                <w:szCs w:val="14"/>
              </w:rPr>
              <w:t>1st Quarter/202</w:t>
            </w:r>
            <w:r>
              <w:rPr>
                <w:rFonts w:ascii="CIDFont+F3" w:eastAsiaTheme="minorHAnsi" w:hAnsi="CIDFont+F3" w:cs="CIDFont+F3"/>
                <w:b/>
                <w:szCs w:val="14"/>
              </w:rPr>
              <w:t>3</w:t>
            </w:r>
          </w:p>
        </w:tc>
        <w:tc>
          <w:tcPr>
            <w:tcW w:w="1586" w:type="dxa"/>
            <w:tcBorders>
              <w:top w:val="single" w:sz="2" w:space="0" w:color="1F4E79" w:themeColor="accent1" w:themeShade="80"/>
              <w:bottom w:val="single" w:sz="2" w:space="0" w:color="1F4E79" w:themeColor="accent1" w:themeShade="80"/>
            </w:tcBorders>
            <w:shd w:val="clear" w:color="auto" w:fill="auto"/>
            <w:vAlign w:val="center"/>
          </w:tcPr>
          <w:p w14:paraId="32CA0694" w14:textId="77777777" w:rsidR="00AA7F20"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ascii="CIDFont+F3" w:eastAsiaTheme="minorHAnsi" w:hAnsi="CIDFont+F3" w:cs="CIDFont+F3"/>
                <w:b/>
                <w:szCs w:val="14"/>
              </w:rPr>
            </w:pPr>
            <w:r w:rsidRPr="00A66419">
              <w:rPr>
                <w:rFonts w:ascii="CIDFont+F3" w:eastAsiaTheme="minorHAnsi" w:hAnsi="CIDFont+F3" w:cs="CIDFont+F3"/>
                <w:b/>
                <w:szCs w:val="14"/>
              </w:rPr>
              <w:t>1st Quarter/2022</w:t>
            </w:r>
          </w:p>
          <w:p w14:paraId="0B6B1F94" w14:textId="77777777" w:rsidR="00AA7F20" w:rsidRPr="00CE663E"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76531A">
              <w:rPr>
                <w:rStyle w:val="rynqvb"/>
                <w:b/>
                <w:color w:val="auto"/>
                <w:lang w:val="en"/>
              </w:rPr>
              <w:t>r</w:t>
            </w:r>
            <w:r>
              <w:rPr>
                <w:rStyle w:val="rynqvb"/>
                <w:b/>
                <w:color w:val="auto"/>
                <w:lang w:val="en"/>
              </w:rPr>
              <w:t>estated balances</w:t>
            </w:r>
          </w:p>
        </w:tc>
      </w:tr>
      <w:tr w:rsidR="00AA7F20" w:rsidRPr="00EE3EDA" w14:paraId="4FE39315" w14:textId="77777777" w:rsidTr="00AA7F20">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545C76B8" w14:textId="77777777" w:rsidR="00AA7F20" w:rsidRPr="00BE198A" w:rsidRDefault="00AA7F20" w:rsidP="00AA7F20">
            <w:pPr>
              <w:pStyle w:val="08-Tabelageral"/>
              <w:jc w:val="left"/>
              <w:rPr>
                <w:b w:val="0"/>
                <w:bCs w:val="0"/>
                <w:color w:val="auto"/>
                <w:lang w:val="en-US"/>
              </w:rPr>
            </w:pPr>
            <w:r w:rsidRPr="00BE198A">
              <w:rPr>
                <w:b w:val="0"/>
                <w:bCs w:val="0"/>
                <w:color w:val="auto"/>
                <w:lang w:val="en-US"/>
              </w:rPr>
              <w:t>Net income attributable to shareholders of the Bank (R$ thousand)</w:t>
            </w:r>
          </w:p>
        </w:tc>
        <w:tc>
          <w:tcPr>
            <w:tcW w:w="1582" w:type="dxa"/>
            <w:tcBorders>
              <w:top w:val="single" w:sz="2" w:space="0" w:color="1F4E79" w:themeColor="accent1" w:themeShade="80"/>
              <w:bottom w:val="nil"/>
            </w:tcBorders>
            <w:shd w:val="clear" w:color="auto" w:fill="auto"/>
            <w:vAlign w:val="center"/>
          </w:tcPr>
          <w:p w14:paraId="7A434403" w14:textId="77777777" w:rsidR="00AA7F20" w:rsidRPr="006221E1"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color w:val="000000"/>
                <w:szCs w:val="14"/>
              </w:rPr>
              <w:t>1,832,959</w:t>
            </w:r>
          </w:p>
        </w:tc>
        <w:tc>
          <w:tcPr>
            <w:tcW w:w="1586" w:type="dxa"/>
            <w:tcBorders>
              <w:top w:val="single" w:sz="2" w:space="0" w:color="1F4E79" w:themeColor="accent1" w:themeShade="80"/>
              <w:bottom w:val="nil"/>
            </w:tcBorders>
            <w:shd w:val="clear" w:color="auto" w:fill="auto"/>
            <w:vAlign w:val="center"/>
          </w:tcPr>
          <w:p w14:paraId="019518C3" w14:textId="77777777" w:rsidR="00AA7F20" w:rsidRPr="00831BF4"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1,209,517</w:t>
            </w:r>
          </w:p>
        </w:tc>
      </w:tr>
      <w:tr w:rsidR="00AA7F20" w:rsidRPr="00EE3EDA" w14:paraId="2E7DD63B" w14:textId="77777777" w:rsidTr="00AA7F2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nil"/>
            </w:tcBorders>
            <w:shd w:val="clear" w:color="auto" w:fill="auto"/>
            <w:vAlign w:val="center"/>
          </w:tcPr>
          <w:p w14:paraId="688E66D7" w14:textId="77777777" w:rsidR="00AA7F20" w:rsidRPr="00BE198A" w:rsidRDefault="00AA7F20" w:rsidP="00AA7F20">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Weighted average of ordinary and dilutive potencial ordinary shares outstanding</w:t>
            </w:r>
          </w:p>
        </w:tc>
        <w:tc>
          <w:tcPr>
            <w:tcW w:w="1582" w:type="dxa"/>
            <w:tcBorders>
              <w:top w:val="nil"/>
              <w:bottom w:val="nil"/>
            </w:tcBorders>
            <w:shd w:val="clear" w:color="auto" w:fill="auto"/>
          </w:tcPr>
          <w:p w14:paraId="3A0C4615" w14:textId="77777777" w:rsidR="00AA7F20" w:rsidRPr="00A6641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000000"/>
                <w:szCs w:val="14"/>
              </w:rPr>
            </w:pPr>
            <w:r w:rsidRPr="00A66419">
              <w:rPr>
                <w:rFonts w:cs="Arial"/>
                <w:bCs/>
                <w:color w:val="000000"/>
                <w:szCs w:val="14"/>
              </w:rPr>
              <w:t>1</w:t>
            </w:r>
            <w:r>
              <w:rPr>
                <w:rFonts w:cs="Arial"/>
                <w:bCs/>
                <w:color w:val="000000"/>
                <w:szCs w:val="14"/>
              </w:rPr>
              <w:t>,</w:t>
            </w:r>
            <w:r w:rsidRPr="00A66419">
              <w:rPr>
                <w:rFonts w:cs="Arial"/>
                <w:bCs/>
                <w:color w:val="000000"/>
                <w:szCs w:val="14"/>
              </w:rPr>
              <w:t>996</w:t>
            </w:r>
            <w:r>
              <w:rPr>
                <w:rFonts w:cs="Arial"/>
                <w:bCs/>
                <w:color w:val="000000"/>
                <w:szCs w:val="14"/>
              </w:rPr>
              <w:t>,</w:t>
            </w:r>
            <w:r w:rsidRPr="00A66419">
              <w:rPr>
                <w:rFonts w:cs="Arial"/>
                <w:bCs/>
                <w:color w:val="000000"/>
                <w:szCs w:val="14"/>
              </w:rPr>
              <w:t>733</w:t>
            </w:r>
            <w:r>
              <w:rPr>
                <w:rFonts w:cs="Arial"/>
                <w:bCs/>
                <w:color w:val="000000"/>
                <w:szCs w:val="14"/>
              </w:rPr>
              <w:t>,</w:t>
            </w:r>
            <w:r w:rsidRPr="00A66419">
              <w:rPr>
                <w:rFonts w:cs="Arial"/>
                <w:bCs/>
                <w:color w:val="000000"/>
                <w:szCs w:val="14"/>
              </w:rPr>
              <w:t>957</w:t>
            </w:r>
          </w:p>
        </w:tc>
        <w:tc>
          <w:tcPr>
            <w:tcW w:w="1586" w:type="dxa"/>
            <w:tcBorders>
              <w:top w:val="nil"/>
              <w:bottom w:val="nil"/>
            </w:tcBorders>
            <w:shd w:val="clear" w:color="auto" w:fill="auto"/>
          </w:tcPr>
          <w:p w14:paraId="03E976C3" w14:textId="77777777" w:rsidR="00AA7F20" w:rsidRPr="00A6641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A66419">
              <w:rPr>
                <w:rFonts w:cs="Arial"/>
                <w:bCs/>
                <w:color w:val="000000"/>
                <w:szCs w:val="14"/>
              </w:rPr>
              <w:t>1</w:t>
            </w:r>
            <w:r>
              <w:rPr>
                <w:rFonts w:cs="Arial"/>
                <w:bCs/>
                <w:color w:val="000000"/>
                <w:szCs w:val="14"/>
              </w:rPr>
              <w:t>,</w:t>
            </w:r>
            <w:r w:rsidRPr="00A66419">
              <w:rPr>
                <w:rFonts w:cs="Arial"/>
                <w:bCs/>
                <w:color w:val="000000"/>
                <w:szCs w:val="14"/>
              </w:rPr>
              <w:t>996</w:t>
            </w:r>
            <w:r>
              <w:rPr>
                <w:rFonts w:cs="Arial"/>
                <w:bCs/>
                <w:color w:val="000000"/>
                <w:szCs w:val="14"/>
              </w:rPr>
              <w:t>,</w:t>
            </w:r>
            <w:r w:rsidRPr="00A66419">
              <w:rPr>
                <w:rFonts w:cs="Arial"/>
                <w:bCs/>
                <w:color w:val="000000"/>
                <w:szCs w:val="14"/>
              </w:rPr>
              <w:t>733</w:t>
            </w:r>
            <w:r>
              <w:rPr>
                <w:rFonts w:cs="Arial"/>
                <w:bCs/>
                <w:color w:val="000000"/>
                <w:szCs w:val="14"/>
              </w:rPr>
              <w:t>,</w:t>
            </w:r>
            <w:r w:rsidRPr="00A66419">
              <w:rPr>
                <w:rFonts w:cs="Arial"/>
                <w:bCs/>
                <w:color w:val="000000"/>
                <w:szCs w:val="14"/>
              </w:rPr>
              <w:t>957</w:t>
            </w:r>
          </w:p>
        </w:tc>
      </w:tr>
      <w:tr w:rsidR="00AA7F20" w:rsidRPr="00EE3EDA" w14:paraId="59F2D57F" w14:textId="77777777" w:rsidTr="00AA7F20">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vAlign w:val="center"/>
          </w:tcPr>
          <w:p w14:paraId="2C906289" w14:textId="77777777" w:rsidR="00AA7F20" w:rsidRPr="00BE198A" w:rsidRDefault="00AA7F20" w:rsidP="00AA7F20">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Earnings per share – basic and diluted (R$)</w:t>
            </w:r>
          </w:p>
        </w:tc>
        <w:tc>
          <w:tcPr>
            <w:tcW w:w="1582" w:type="dxa"/>
            <w:tcBorders>
              <w:top w:val="nil"/>
              <w:bottom w:val="single" w:sz="2" w:space="0" w:color="1F4E79" w:themeColor="accent1" w:themeShade="80"/>
            </w:tcBorders>
            <w:shd w:val="clear" w:color="auto" w:fill="auto"/>
          </w:tcPr>
          <w:p w14:paraId="3A20F816" w14:textId="77777777" w:rsidR="00AA7F20" w:rsidRPr="006221E1"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385CFD">
              <w:rPr>
                <w:rFonts w:cs="Arial"/>
                <w:bCs/>
                <w:color w:val="000000"/>
                <w:szCs w:val="14"/>
              </w:rPr>
              <w:t>0</w:t>
            </w:r>
            <w:r>
              <w:rPr>
                <w:rFonts w:cs="Arial"/>
                <w:bCs/>
                <w:color w:val="000000"/>
                <w:szCs w:val="14"/>
              </w:rPr>
              <w:t>.</w:t>
            </w:r>
            <w:r w:rsidRPr="00385CFD">
              <w:rPr>
                <w:rFonts w:cs="Arial"/>
                <w:bCs/>
                <w:color w:val="000000"/>
                <w:szCs w:val="14"/>
              </w:rPr>
              <w:t>92</w:t>
            </w:r>
          </w:p>
        </w:tc>
        <w:tc>
          <w:tcPr>
            <w:tcW w:w="1586" w:type="dxa"/>
            <w:tcBorders>
              <w:top w:val="nil"/>
              <w:bottom w:val="single" w:sz="2" w:space="0" w:color="1F4E79" w:themeColor="accent1" w:themeShade="80"/>
            </w:tcBorders>
            <w:shd w:val="clear" w:color="auto" w:fill="auto"/>
          </w:tcPr>
          <w:p w14:paraId="1DDA476D" w14:textId="77777777" w:rsidR="00AA7F20" w:rsidRPr="00831BF4"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385CFD">
              <w:rPr>
                <w:rFonts w:cs="Arial"/>
                <w:bCs/>
                <w:color w:val="000000"/>
                <w:szCs w:val="14"/>
              </w:rPr>
              <w:t>0</w:t>
            </w:r>
            <w:r>
              <w:rPr>
                <w:rFonts w:cs="Arial"/>
                <w:bCs/>
                <w:color w:val="000000"/>
                <w:szCs w:val="14"/>
              </w:rPr>
              <w:t>.</w:t>
            </w:r>
            <w:r w:rsidRPr="00385CFD">
              <w:rPr>
                <w:rFonts w:cs="Arial"/>
                <w:bCs/>
                <w:color w:val="000000"/>
                <w:szCs w:val="14"/>
              </w:rPr>
              <w:t>61</w:t>
            </w:r>
          </w:p>
        </w:tc>
      </w:tr>
    </w:tbl>
    <w:p w14:paraId="53F54C1E" w14:textId="77777777" w:rsidR="00AA7F20" w:rsidRPr="002610C9" w:rsidRDefault="00AA7F20" w:rsidP="00AA7F20">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 </w:t>
      </w:r>
    </w:p>
    <w:p w14:paraId="0475F2B8" w14:textId="77777777" w:rsidR="00AA7F20" w:rsidRPr="002610C9" w:rsidRDefault="00AA7F20" w:rsidP="00AA7F20">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 xml:space="preserve">ing the effect of all dilutive potential ordinary shares. </w:t>
      </w:r>
    </w:p>
    <w:p w14:paraId="3BED2BD3" w14:textId="77777777" w:rsidR="00AA7F20" w:rsidRPr="002610C9" w:rsidRDefault="00AA7F20" w:rsidP="00AA7F20">
      <w:pPr>
        <w:pStyle w:val="05-Textonormal"/>
        <w:rPr>
          <w:lang w:val="en-US"/>
        </w:rPr>
      </w:pPr>
      <w:r w:rsidRPr="002610C9">
        <w:rPr>
          <w:lang w:val="en-US"/>
        </w:rPr>
        <w:t>The B</w:t>
      </w:r>
      <w:r w:rsidRPr="00D21457">
        <w:rPr>
          <w:lang w:val="en-US"/>
        </w:rPr>
        <w:t>B Seguridade</w:t>
      </w:r>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r w:rsidRPr="002610C9">
        <w:rPr>
          <w:lang w:val="en-US"/>
        </w:rPr>
        <w:t xml:space="preserve"> </w:t>
      </w:r>
    </w:p>
    <w:p w14:paraId="14B71339" w14:textId="77777777" w:rsidR="00AA7F20" w:rsidRPr="0011203E" w:rsidRDefault="00AA7F20" w:rsidP="002A1B52">
      <w:pPr>
        <w:pStyle w:val="03-SubttulodeNota"/>
        <w:keepNext/>
        <w:keepLines/>
        <w:rPr>
          <w:color w:val="1F4E79" w:themeColor="accent1" w:themeShade="80"/>
          <w:sz w:val="18"/>
          <w:szCs w:val="18"/>
        </w:rPr>
      </w:pPr>
      <w:r w:rsidRPr="0011203E">
        <w:rPr>
          <w:color w:val="1F4E79" w:themeColor="accent1" w:themeShade="80"/>
          <w:sz w:val="18"/>
          <w:szCs w:val="18"/>
        </w:rPr>
        <w:t xml:space="preserve">d) Dividends </w:t>
      </w:r>
    </w:p>
    <w:p w14:paraId="4E6935D1" w14:textId="77777777" w:rsidR="00AA7F20" w:rsidRDefault="00AA7F20" w:rsidP="00AA7F20">
      <w:pPr>
        <w:pStyle w:val="01-Textonormal"/>
        <w:rPr>
          <w:lang w:val="en"/>
        </w:rPr>
      </w:pPr>
      <w:r w:rsidRPr="00221245">
        <w:rPr>
          <w:lang w:val="en"/>
        </w:rPr>
        <w:t>BB Seguridade has a Dividend Policy, available on the Investor Relations website, approved within the Board of Directors and revised at least every three years.</w:t>
      </w:r>
    </w:p>
    <w:p w14:paraId="35427109" w14:textId="77777777" w:rsidR="00AA7F20" w:rsidRDefault="00AA7F20" w:rsidP="00AA7F20">
      <w:pPr>
        <w:pStyle w:val="01-Textonormal"/>
        <w:rPr>
          <w:lang w:val="en"/>
        </w:rPr>
      </w:pPr>
      <w:r>
        <w:rPr>
          <w:rStyle w:val="rynqvb"/>
          <w:lang w:val="en"/>
        </w:rPr>
        <w:t>The proposed dividends were approved by the Board of Directors and, deducted from those amounts already paid in advance in the fiscal year, are recognized in Current Liabilities (Corporate and Statutory Obligations).</w:t>
      </w:r>
    </w:p>
    <w:p w14:paraId="50F74581" w14:textId="77777777" w:rsidR="00AA7F20" w:rsidRDefault="00AA7F20" w:rsidP="00AA7F20">
      <w:pPr>
        <w:pStyle w:val="01-Textonormal"/>
        <w:rPr>
          <w:rStyle w:val="rynqvb"/>
          <w:lang w:val="en"/>
        </w:rPr>
      </w:pPr>
      <w:r>
        <w:rPr>
          <w:rStyle w:val="rynqvb"/>
          <w:lang w:val="en"/>
        </w:rPr>
        <w:t>BB Seguridade paid, in March 2023, the amount of R$ 3,673,700 thousand in dividends referring to the profit for the 2</w:t>
      </w:r>
      <w:r w:rsidRPr="00E85B9F">
        <w:rPr>
          <w:rStyle w:val="rynqvb"/>
          <w:vertAlign w:val="superscript"/>
          <w:lang w:val="en"/>
        </w:rPr>
        <w:t>nd</w:t>
      </w:r>
      <w:r>
        <w:rPr>
          <w:rStyle w:val="rynqvb"/>
          <w:lang w:val="en"/>
        </w:rPr>
        <w:t xml:space="preserve"> Half 2022, plus R$ 24 thousand of prescribed dividends for the 1</w:t>
      </w:r>
      <w:r w:rsidRPr="00E85B9F">
        <w:rPr>
          <w:rStyle w:val="rynqvb"/>
          <w:vertAlign w:val="superscript"/>
          <w:lang w:val="en"/>
        </w:rPr>
        <w:t>st</w:t>
      </w:r>
      <w:r>
        <w:rPr>
          <w:rStyle w:val="rynqvb"/>
          <w:lang w:val="en"/>
        </w:rPr>
        <w:t xml:space="preserve"> semester of 2019, as approved by the Board of</w:t>
      </w:r>
      <w:r>
        <w:rPr>
          <w:rStyle w:val="hwtze"/>
          <w:lang w:val="en"/>
        </w:rPr>
        <w:t xml:space="preserve"> </w:t>
      </w:r>
      <w:r>
        <w:rPr>
          <w:rStyle w:val="rynqvb"/>
          <w:lang w:val="en"/>
        </w:rPr>
        <w:t>Administration on 12.16.2022.</w:t>
      </w:r>
      <w:r>
        <w:rPr>
          <w:rStyle w:val="hwtze"/>
          <w:lang w:val="en"/>
        </w:rPr>
        <w:t xml:space="preserve"> </w:t>
      </w:r>
      <w:r>
        <w:rPr>
          <w:rStyle w:val="rynqvb"/>
          <w:lang w:val="en"/>
        </w:rPr>
        <w:t>R$ 77,280 thousand of monetary restatement were levied on these amounts, at the Selic rate, totaling R$ 3,751,004 thousand.</w:t>
      </w:r>
    </w:p>
    <w:p w14:paraId="39323A88" w14:textId="77777777" w:rsidR="00AA7F20" w:rsidRPr="00E2299D" w:rsidRDefault="00AA7F20" w:rsidP="00AA7F20">
      <w:pPr>
        <w:pStyle w:val="03-SubttulodeNota"/>
        <w:rPr>
          <w:sz w:val="18"/>
          <w:szCs w:val="18"/>
          <w:lang w:val="en-US"/>
        </w:rPr>
      </w:pPr>
      <w:r w:rsidRPr="00E2299D">
        <w:rPr>
          <w:color w:val="1F4E79" w:themeColor="accent1" w:themeShade="80"/>
          <w:sz w:val="18"/>
          <w:szCs w:val="18"/>
          <w:lang w:val="en-US"/>
        </w:rPr>
        <w:t>e) Other Accumulated Comprehensive Income</w:t>
      </w:r>
      <w:r w:rsidRPr="00E2299D">
        <w:rPr>
          <w:sz w:val="18"/>
          <w:szCs w:val="18"/>
          <w:lang w:val="en-US"/>
        </w:rPr>
        <w:tab/>
      </w:r>
    </w:p>
    <w:p w14:paraId="56FC56FC" w14:textId="77777777" w:rsidR="00AA7F20" w:rsidRDefault="00AA7F20" w:rsidP="00AA7F20">
      <w:pPr>
        <w:pStyle w:val="01-Textonormal"/>
      </w:pPr>
      <w:r w:rsidRPr="00133917">
        <w:t xml:space="preserve">The </w:t>
      </w:r>
      <w:r>
        <w:t>posi</w:t>
      </w:r>
      <w:r w:rsidRPr="00133917">
        <w:t xml:space="preserve">tive balance recorded in Accumulated Other Comprehensive Income in the amount of R$ </w:t>
      </w:r>
      <w:r>
        <w:rPr>
          <w:rFonts w:cs="Arial"/>
        </w:rPr>
        <w:t>203,426</w:t>
      </w:r>
      <w:r>
        <w:rPr>
          <w:rFonts w:cs="Arial"/>
          <w:color w:val="000000"/>
          <w:szCs w:val="14"/>
        </w:rPr>
        <w:t xml:space="preserve"> </w:t>
      </w:r>
      <w:r w:rsidRPr="00133917">
        <w:t xml:space="preserve">thousand (R$ </w:t>
      </w:r>
      <w:r>
        <w:rPr>
          <w:rFonts w:cs="Arial"/>
        </w:rPr>
        <w:t>18,038</w:t>
      </w:r>
      <w:r w:rsidRPr="00805C57">
        <w:t xml:space="preserve"> </w:t>
      </w:r>
      <w:r w:rsidRPr="00133917">
        <w:t xml:space="preserve">thousand negative on 12.31.2022 </w:t>
      </w:r>
      <w:r w:rsidRPr="00EE40AA">
        <w:t xml:space="preserve">- </w:t>
      </w:r>
      <w:r w:rsidRPr="00EE40AA">
        <w:rPr>
          <w:rStyle w:val="rynqvb"/>
          <w:lang w:val="en"/>
        </w:rPr>
        <w:t>restated balances</w:t>
      </w:r>
      <w:r w:rsidRPr="00133917">
        <w:t>) is mainly composed of:</w:t>
      </w:r>
    </w:p>
    <w:p w14:paraId="29A1EABF" w14:textId="77777777" w:rsidR="00AA7F20" w:rsidRDefault="00AA7F20" w:rsidP="00AA7F20">
      <w:pPr>
        <w:pStyle w:val="01-Textonormal"/>
      </w:pPr>
      <w:r w:rsidRPr="00133917">
        <w:t>i - Negative R$</w:t>
      </w:r>
      <w:r>
        <w:t xml:space="preserve"> </w:t>
      </w:r>
      <w:r w:rsidRPr="00133917">
        <w:t xml:space="preserve">96,043 thousand, related to the devaluation resulting from the adjustment to market value, net of tax effects, of securities classified as fair value through other comprehensive income of BB MAPFRE and Brasilcap, </w:t>
      </w:r>
    </w:p>
    <w:p w14:paraId="43B77C20" w14:textId="77777777" w:rsidR="00AA7F20" w:rsidRDefault="00AA7F20" w:rsidP="00AA7F20">
      <w:pPr>
        <w:pStyle w:val="01-Textonormal"/>
      </w:pPr>
      <w:r w:rsidRPr="00133917">
        <w:t xml:space="preserve">ii - R$ </w:t>
      </w:r>
      <w:r>
        <w:t>322,422</w:t>
      </w:r>
      <w:r w:rsidRPr="00133917">
        <w:t xml:space="preserve"> thousand positive, related to other comprehensive income of BB MAPFRE, Brasilprev and Brasildental referring to the impacts of CPC 50. </w:t>
      </w:r>
    </w:p>
    <w:p w14:paraId="7121B030" w14:textId="77777777" w:rsidR="00AA7F20" w:rsidRDefault="00AA7F20" w:rsidP="00AA7F20">
      <w:pPr>
        <w:pStyle w:val="01-Textonormal"/>
      </w:pPr>
      <w:r>
        <w:t>i</w:t>
      </w:r>
      <w:r w:rsidRPr="00133917">
        <w:t xml:space="preserve">ii – </w:t>
      </w:r>
      <w:r>
        <w:t>R$</w:t>
      </w:r>
      <w:r w:rsidRPr="00133917">
        <w:t xml:space="preserve"> 23,169 thousand negative related to the balance of other comprehensive income of BB Seguros absorbed by the statutory reserve, referring to adjustments for the purpose of standardizing the accounting practice of previous periods, related to leases, CPC 06 (R2) [IFRS 16] – BB MAPFRE, Brasilpev and Brasilcap leases.</w:t>
      </w:r>
    </w:p>
    <w:p w14:paraId="3471161A" w14:textId="77777777" w:rsidR="00AA7F20" w:rsidRPr="00133917" w:rsidRDefault="00AA7F20" w:rsidP="00AA7F20">
      <w:pPr>
        <w:pStyle w:val="01-Textonormal"/>
      </w:pPr>
      <w:r w:rsidRPr="00133917">
        <w:t>Considering that BB Seguridade does not have securities classified as fair value through other comprehensive income, the amounts contained in its financial statements reflect the amounts existing in the companies in which BB Seguros holds an interest.</w:t>
      </w:r>
    </w:p>
    <w:p w14:paraId="6A0FDF47" w14:textId="7DF58A38" w:rsidR="00CC37BC" w:rsidRDefault="00CC37BC">
      <w:pPr>
        <w:rPr>
          <w:rFonts w:eastAsia="Times New Roman" w:cs="Times New Roman"/>
          <w:b/>
          <w:color w:val="1F4E79" w:themeColor="accent1" w:themeShade="80"/>
          <w:spacing w:val="-2"/>
          <w:szCs w:val="18"/>
          <w:lang w:val="en-US" w:eastAsia="pt-BR"/>
        </w:rPr>
      </w:pPr>
      <w:r>
        <w:rPr>
          <w:color w:val="1F4E79" w:themeColor="accent1" w:themeShade="80"/>
          <w:szCs w:val="18"/>
          <w:lang w:val="en-US"/>
        </w:rPr>
        <w:br w:type="page"/>
      </w:r>
    </w:p>
    <w:p w14:paraId="4FC487F8" w14:textId="77777777" w:rsidR="00CC37BC" w:rsidRDefault="00CC37BC" w:rsidP="00AA7F20">
      <w:pPr>
        <w:pStyle w:val="03-SubttulodeNota"/>
        <w:rPr>
          <w:color w:val="1F4E79" w:themeColor="accent1" w:themeShade="80"/>
          <w:sz w:val="18"/>
          <w:szCs w:val="18"/>
          <w:lang w:val="en-US"/>
        </w:rPr>
      </w:pPr>
    </w:p>
    <w:p w14:paraId="7169B63D" w14:textId="5ED9F16E" w:rsidR="00AA7F20" w:rsidRPr="00E621E1" w:rsidRDefault="00AA7F20" w:rsidP="00AA7F20">
      <w:pPr>
        <w:pStyle w:val="03-SubttulodeNota"/>
        <w:rPr>
          <w:color w:val="1F4E79" w:themeColor="accent1" w:themeShade="80"/>
          <w:sz w:val="18"/>
          <w:szCs w:val="18"/>
          <w:lang w:val="en-US"/>
        </w:rPr>
      </w:pPr>
      <w:r w:rsidRPr="00E621E1">
        <w:rPr>
          <w:color w:val="1F4E79" w:themeColor="accent1" w:themeShade="80"/>
          <w:sz w:val="18"/>
          <w:szCs w:val="18"/>
          <w:lang w:val="en-US"/>
        </w:rPr>
        <w:t xml:space="preserve">f) Shareholdings (number of shares) </w:t>
      </w:r>
    </w:p>
    <w:tbl>
      <w:tblPr>
        <w:tblStyle w:val="TabeladeLista6Colorida-nfase5"/>
        <w:tblW w:w="9639" w:type="dxa"/>
        <w:jc w:val="center"/>
        <w:tblLayout w:type="fixed"/>
        <w:tblLook w:val="04A0" w:firstRow="1" w:lastRow="0" w:firstColumn="1" w:lastColumn="0" w:noHBand="0" w:noVBand="1"/>
      </w:tblPr>
      <w:tblGrid>
        <w:gridCol w:w="4843"/>
        <w:gridCol w:w="1365"/>
        <w:gridCol w:w="707"/>
        <w:gridCol w:w="270"/>
        <w:gridCol w:w="152"/>
        <w:gridCol w:w="220"/>
        <w:gridCol w:w="29"/>
        <w:gridCol w:w="1206"/>
        <w:gridCol w:w="847"/>
      </w:tblGrid>
      <w:tr w:rsidR="00AA7F20" w:rsidRPr="0038031F" w14:paraId="0C99A646" w14:textId="77777777" w:rsidTr="00AA7F20">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4843" w:type="dxa"/>
            <w:vMerge w:val="restart"/>
            <w:tcBorders>
              <w:top w:val="single" w:sz="2" w:space="0" w:color="1F4E79" w:themeColor="accent1" w:themeShade="80"/>
            </w:tcBorders>
            <w:shd w:val="clear" w:color="auto" w:fill="auto"/>
            <w:vAlign w:val="center"/>
          </w:tcPr>
          <w:p w14:paraId="7F813758" w14:textId="77777777" w:rsidR="00AA7F20" w:rsidRPr="004C1E4C" w:rsidRDefault="00AA7F20" w:rsidP="00AA7F20">
            <w:pPr>
              <w:pStyle w:val="08-Tabelageral"/>
              <w:jc w:val="left"/>
              <w:rPr>
                <w:b w:val="0"/>
              </w:rPr>
            </w:pPr>
            <w:r w:rsidRPr="000E747A">
              <w:rPr>
                <w:rFonts w:cs="Arial"/>
                <w:szCs w:val="14"/>
                <w:lang w:val="en-US"/>
              </w:rPr>
              <w:t>Stockholders</w:t>
            </w:r>
          </w:p>
        </w:tc>
        <w:tc>
          <w:tcPr>
            <w:tcW w:w="2072" w:type="dxa"/>
            <w:gridSpan w:val="2"/>
            <w:tcBorders>
              <w:top w:val="single" w:sz="2" w:space="0" w:color="1F4E79" w:themeColor="accent1" w:themeShade="80"/>
              <w:bottom w:val="single" w:sz="2" w:space="0" w:color="1F4E79" w:themeColor="accent1" w:themeShade="80"/>
            </w:tcBorders>
            <w:shd w:val="clear" w:color="auto" w:fill="auto"/>
            <w:vAlign w:val="center"/>
          </w:tcPr>
          <w:p w14:paraId="1B352E78" w14:textId="77777777" w:rsidR="00AA7F20" w:rsidRPr="00376A8D" w:rsidRDefault="00AA7F20" w:rsidP="00AA7F20">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Mar 31, 2023</w:t>
            </w:r>
          </w:p>
        </w:tc>
        <w:tc>
          <w:tcPr>
            <w:tcW w:w="422" w:type="dxa"/>
            <w:gridSpan w:val="2"/>
            <w:tcBorders>
              <w:top w:val="single" w:sz="2" w:space="0" w:color="1F4E79" w:themeColor="accent1" w:themeShade="80"/>
              <w:bottom w:val="nil"/>
            </w:tcBorders>
            <w:shd w:val="clear" w:color="auto" w:fill="auto"/>
          </w:tcPr>
          <w:p w14:paraId="6244830A" w14:textId="77777777" w:rsidR="00AA7F20" w:rsidRPr="00376A8D" w:rsidRDefault="00AA7F20" w:rsidP="00AA7F20">
            <w:pPr>
              <w:pStyle w:val="08-Tabelageral"/>
              <w:jc w:val="center"/>
              <w:cnfStyle w:val="100000000000" w:firstRow="1" w:lastRow="0" w:firstColumn="0" w:lastColumn="0" w:oddVBand="0" w:evenVBand="0" w:oddHBand="0" w:evenHBand="0" w:firstRowFirstColumn="0" w:firstRowLastColumn="0" w:lastRowFirstColumn="0" w:lastRowLastColumn="0"/>
            </w:pPr>
          </w:p>
        </w:tc>
        <w:tc>
          <w:tcPr>
            <w:tcW w:w="2302" w:type="dxa"/>
            <w:gridSpan w:val="4"/>
            <w:tcBorders>
              <w:top w:val="single" w:sz="2" w:space="0" w:color="1F4E79" w:themeColor="accent1" w:themeShade="80"/>
              <w:bottom w:val="single" w:sz="2" w:space="0" w:color="1F4E79" w:themeColor="accent1" w:themeShade="80"/>
            </w:tcBorders>
            <w:shd w:val="clear" w:color="auto" w:fill="auto"/>
            <w:vAlign w:val="center"/>
          </w:tcPr>
          <w:p w14:paraId="7964017A" w14:textId="77777777" w:rsidR="00AA7F20" w:rsidRPr="00940212" w:rsidRDefault="00AA7F20" w:rsidP="00AA7F20">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Dec 31, 2022</w:t>
            </w:r>
          </w:p>
        </w:tc>
      </w:tr>
      <w:tr w:rsidR="00AA7F20" w:rsidRPr="00C806B0" w14:paraId="029B949A" w14:textId="77777777" w:rsidTr="00AA7F20">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4843" w:type="dxa"/>
            <w:vMerge/>
            <w:tcBorders>
              <w:bottom w:val="single" w:sz="2" w:space="0" w:color="1F4E79" w:themeColor="accent1" w:themeShade="80"/>
            </w:tcBorders>
            <w:shd w:val="clear" w:color="auto" w:fill="auto"/>
          </w:tcPr>
          <w:p w14:paraId="7D8C9621" w14:textId="77777777" w:rsidR="00AA7F20" w:rsidRPr="004C1E4C" w:rsidRDefault="00AA7F20" w:rsidP="00AA7F20">
            <w:pPr>
              <w:pStyle w:val="08-Tabelageral"/>
              <w:rPr>
                <w:b w:val="0"/>
              </w:rPr>
            </w:pPr>
          </w:p>
        </w:tc>
        <w:tc>
          <w:tcPr>
            <w:tcW w:w="1365" w:type="dxa"/>
            <w:tcBorders>
              <w:top w:val="single" w:sz="2" w:space="0" w:color="1F4E79" w:themeColor="accent1" w:themeShade="80"/>
              <w:bottom w:val="single" w:sz="2" w:space="0" w:color="1F4E79" w:themeColor="accent1" w:themeShade="80"/>
            </w:tcBorders>
            <w:shd w:val="clear" w:color="auto" w:fill="auto"/>
          </w:tcPr>
          <w:p w14:paraId="156873DD" w14:textId="77777777" w:rsidR="00AA7F20" w:rsidRPr="00996913"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707" w:type="dxa"/>
            <w:tcBorders>
              <w:top w:val="single" w:sz="2" w:space="0" w:color="1F4E79" w:themeColor="accent1" w:themeShade="80"/>
              <w:bottom w:val="single" w:sz="2" w:space="0" w:color="1F4E79" w:themeColor="accent1" w:themeShade="80"/>
            </w:tcBorders>
            <w:shd w:val="clear" w:color="auto" w:fill="auto"/>
          </w:tcPr>
          <w:p w14:paraId="6331B322" w14:textId="77777777" w:rsidR="00AA7F20" w:rsidRPr="00996913"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c>
          <w:tcPr>
            <w:tcW w:w="270" w:type="dxa"/>
            <w:tcBorders>
              <w:top w:val="single" w:sz="2" w:space="0" w:color="1F4E79" w:themeColor="accent1" w:themeShade="80"/>
              <w:bottom w:val="single" w:sz="2" w:space="0" w:color="1F4E79" w:themeColor="accent1" w:themeShade="80"/>
            </w:tcBorders>
            <w:shd w:val="clear" w:color="auto" w:fill="auto"/>
            <w:vAlign w:val="center"/>
          </w:tcPr>
          <w:p w14:paraId="04B214FE" w14:textId="77777777" w:rsidR="00AA7F20" w:rsidRPr="00376A8D"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p>
        </w:tc>
        <w:tc>
          <w:tcPr>
            <w:tcW w:w="401" w:type="dxa"/>
            <w:gridSpan w:val="3"/>
            <w:tcBorders>
              <w:top w:val="nil"/>
              <w:bottom w:val="single" w:sz="2" w:space="0" w:color="1F4E79" w:themeColor="accent1" w:themeShade="80"/>
            </w:tcBorders>
            <w:shd w:val="clear" w:color="auto" w:fill="auto"/>
          </w:tcPr>
          <w:p w14:paraId="3EDC0E7E" w14:textId="77777777" w:rsidR="00AA7F20" w:rsidRPr="00376A8D"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p>
        </w:tc>
        <w:tc>
          <w:tcPr>
            <w:tcW w:w="1206" w:type="dxa"/>
            <w:tcBorders>
              <w:top w:val="single" w:sz="2" w:space="0" w:color="1F4E79" w:themeColor="accent1" w:themeShade="80"/>
              <w:bottom w:val="single" w:sz="2" w:space="0" w:color="1F4E79" w:themeColor="accent1" w:themeShade="80"/>
            </w:tcBorders>
            <w:shd w:val="clear" w:color="auto" w:fill="auto"/>
            <w:vAlign w:val="center"/>
          </w:tcPr>
          <w:p w14:paraId="1B24D6C9" w14:textId="77777777" w:rsidR="00AA7F20" w:rsidRPr="00996913"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847" w:type="dxa"/>
            <w:tcBorders>
              <w:top w:val="single" w:sz="2" w:space="0" w:color="1F4E79" w:themeColor="accent1" w:themeShade="80"/>
              <w:bottom w:val="single" w:sz="2" w:space="0" w:color="1F4E79" w:themeColor="accent1" w:themeShade="80"/>
            </w:tcBorders>
            <w:shd w:val="clear" w:color="auto" w:fill="auto"/>
            <w:vAlign w:val="center"/>
          </w:tcPr>
          <w:p w14:paraId="6F509CC8" w14:textId="77777777" w:rsidR="00AA7F20" w:rsidRPr="00996913"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r>
      <w:tr w:rsidR="00AA7F20" w:rsidRPr="00C806B0" w14:paraId="7815926D" w14:textId="77777777" w:rsidTr="00AA7F20">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single" w:sz="2" w:space="0" w:color="1F4E79" w:themeColor="accent1" w:themeShade="80"/>
              <w:bottom w:val="nil"/>
            </w:tcBorders>
            <w:shd w:val="clear" w:color="auto" w:fill="auto"/>
          </w:tcPr>
          <w:p w14:paraId="25A099CF" w14:textId="77777777" w:rsidR="00AA7F20" w:rsidRPr="008057C9" w:rsidRDefault="00AA7F20" w:rsidP="00AA7F20">
            <w:pPr>
              <w:pStyle w:val="08-Tabelageral"/>
              <w:ind w:firstLine="176"/>
              <w:jc w:val="left"/>
              <w:rPr>
                <w:rFonts w:cs="Arial"/>
                <w:b w:val="0"/>
                <w:bCs w:val="0"/>
                <w:color w:val="auto"/>
                <w:szCs w:val="14"/>
              </w:rPr>
            </w:pPr>
            <w:r w:rsidRPr="008057C9">
              <w:rPr>
                <w:rFonts w:cs="Arial"/>
                <w:b w:val="0"/>
                <w:bCs w:val="0"/>
                <w:color w:val="auto"/>
                <w:szCs w:val="14"/>
              </w:rPr>
              <w:t>Banco do Brasil</w:t>
            </w:r>
          </w:p>
        </w:tc>
        <w:tc>
          <w:tcPr>
            <w:tcW w:w="1365" w:type="dxa"/>
            <w:tcBorders>
              <w:top w:val="single" w:sz="2" w:space="0" w:color="1F4E79" w:themeColor="accent1" w:themeShade="80"/>
              <w:bottom w:val="nil"/>
            </w:tcBorders>
            <w:shd w:val="clear" w:color="auto" w:fill="auto"/>
            <w:vAlign w:val="bottom"/>
          </w:tcPr>
          <w:p w14:paraId="1D396715" w14:textId="77777777" w:rsidR="00AA7F20"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r w:rsidRPr="00A651EF">
              <w:t>1</w:t>
            </w:r>
            <w:r>
              <w:t>,</w:t>
            </w:r>
            <w:r w:rsidRPr="00A651EF">
              <w:t>325</w:t>
            </w:r>
            <w:r>
              <w:t>,</w:t>
            </w:r>
            <w:r w:rsidRPr="00A651EF">
              <w:t>000</w:t>
            </w:r>
            <w:r>
              <w:t>,</w:t>
            </w:r>
            <w:r w:rsidRPr="00A651EF">
              <w:t>000</w:t>
            </w:r>
          </w:p>
        </w:tc>
        <w:tc>
          <w:tcPr>
            <w:tcW w:w="707" w:type="dxa"/>
            <w:tcBorders>
              <w:top w:val="single" w:sz="2" w:space="0" w:color="1F4E79" w:themeColor="accent1" w:themeShade="80"/>
              <w:bottom w:val="nil"/>
            </w:tcBorders>
            <w:shd w:val="clear" w:color="auto" w:fill="auto"/>
            <w:vAlign w:val="bottom"/>
          </w:tcPr>
          <w:p w14:paraId="3E3442AE" w14:textId="77777777" w:rsidR="00AA7F20"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r w:rsidRPr="00A651EF">
              <w:t>66</w:t>
            </w:r>
            <w:r>
              <w:t>.</w:t>
            </w:r>
            <w:r w:rsidRPr="00A651EF">
              <w:t>25</w:t>
            </w:r>
          </w:p>
        </w:tc>
        <w:tc>
          <w:tcPr>
            <w:tcW w:w="270" w:type="dxa"/>
            <w:tcBorders>
              <w:top w:val="single" w:sz="2" w:space="0" w:color="1F4E79" w:themeColor="accent1" w:themeShade="80"/>
              <w:bottom w:val="nil"/>
            </w:tcBorders>
            <w:shd w:val="clear" w:color="auto" w:fill="auto"/>
            <w:vAlign w:val="center"/>
          </w:tcPr>
          <w:p w14:paraId="75EEF3EF" w14:textId="77777777" w:rsidR="00AA7F20" w:rsidRPr="00376A8D"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single" w:sz="2" w:space="0" w:color="1F4E79" w:themeColor="accent1" w:themeShade="80"/>
              <w:bottom w:val="nil"/>
            </w:tcBorders>
            <w:shd w:val="clear" w:color="auto" w:fill="auto"/>
            <w:vAlign w:val="bottom"/>
          </w:tcPr>
          <w:p w14:paraId="6B111926" w14:textId="77777777" w:rsidR="00AA7F20" w:rsidRPr="00376A8D"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single" w:sz="2" w:space="0" w:color="1F4E79" w:themeColor="accent1" w:themeShade="80"/>
              <w:bottom w:val="nil"/>
            </w:tcBorders>
            <w:shd w:val="clear" w:color="auto" w:fill="auto"/>
            <w:vAlign w:val="bottom"/>
          </w:tcPr>
          <w:p w14:paraId="09FEB46E" w14:textId="77777777" w:rsidR="00AA7F20" w:rsidRPr="0086152E"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1</w:t>
            </w:r>
            <w:r>
              <w:t>,</w:t>
            </w:r>
            <w:r w:rsidRPr="00A651EF">
              <w:t>325</w:t>
            </w:r>
            <w:r>
              <w:t>,</w:t>
            </w:r>
            <w:r w:rsidRPr="00A651EF">
              <w:t>000</w:t>
            </w:r>
            <w:r>
              <w:t>,</w:t>
            </w:r>
            <w:r w:rsidRPr="00A651EF">
              <w:t>000</w:t>
            </w:r>
          </w:p>
        </w:tc>
        <w:tc>
          <w:tcPr>
            <w:tcW w:w="847" w:type="dxa"/>
            <w:tcBorders>
              <w:top w:val="single" w:sz="2" w:space="0" w:color="1F4E79" w:themeColor="accent1" w:themeShade="80"/>
              <w:bottom w:val="nil"/>
            </w:tcBorders>
            <w:shd w:val="clear" w:color="auto" w:fill="auto"/>
            <w:vAlign w:val="bottom"/>
          </w:tcPr>
          <w:p w14:paraId="0B5C898D" w14:textId="77777777" w:rsidR="00AA7F20" w:rsidRPr="0086152E"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66</w:t>
            </w:r>
            <w:r>
              <w:t>.</w:t>
            </w:r>
            <w:r w:rsidRPr="00A651EF">
              <w:t>25</w:t>
            </w:r>
          </w:p>
        </w:tc>
      </w:tr>
      <w:tr w:rsidR="00AA7F20" w:rsidRPr="00C806B0" w14:paraId="58733E0A" w14:textId="77777777" w:rsidTr="00AA7F20">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6E9F663E" w14:textId="77777777" w:rsidR="00AA7F20" w:rsidRPr="008057C9" w:rsidRDefault="00AA7F20" w:rsidP="00AA7F20">
            <w:pPr>
              <w:pStyle w:val="08-Tabelageral"/>
              <w:ind w:firstLine="176"/>
              <w:jc w:val="left"/>
              <w:rPr>
                <w:rFonts w:cs="Arial"/>
                <w:b w:val="0"/>
                <w:bCs w:val="0"/>
                <w:color w:val="auto"/>
                <w:szCs w:val="14"/>
              </w:rPr>
            </w:pPr>
            <w:r w:rsidRPr="008057C9">
              <w:rPr>
                <w:rFonts w:cs="Arial"/>
                <w:b w:val="0"/>
                <w:bCs w:val="0"/>
                <w:color w:val="auto"/>
                <w:szCs w:val="14"/>
              </w:rPr>
              <w:t>Other stockholders</w:t>
            </w:r>
          </w:p>
        </w:tc>
        <w:tc>
          <w:tcPr>
            <w:tcW w:w="1365" w:type="dxa"/>
            <w:tcBorders>
              <w:top w:val="nil"/>
              <w:bottom w:val="nil"/>
            </w:tcBorders>
            <w:shd w:val="clear" w:color="auto" w:fill="auto"/>
            <w:vAlign w:val="bottom"/>
          </w:tcPr>
          <w:p w14:paraId="74224218" w14:textId="77777777" w:rsidR="00AA7F20"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r w:rsidRPr="003F1B0E">
              <w:t>671</w:t>
            </w:r>
            <w:r>
              <w:t>,</w:t>
            </w:r>
            <w:r w:rsidRPr="003F1B0E">
              <w:t>750</w:t>
            </w:r>
            <w:r>
              <w:t>,</w:t>
            </w:r>
            <w:r w:rsidRPr="003F1B0E">
              <w:t>349</w:t>
            </w:r>
          </w:p>
        </w:tc>
        <w:tc>
          <w:tcPr>
            <w:tcW w:w="707" w:type="dxa"/>
            <w:tcBorders>
              <w:top w:val="nil"/>
              <w:bottom w:val="nil"/>
            </w:tcBorders>
            <w:shd w:val="clear" w:color="auto" w:fill="auto"/>
            <w:vAlign w:val="bottom"/>
          </w:tcPr>
          <w:p w14:paraId="614E905F" w14:textId="77777777" w:rsidR="00AA7F20"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r w:rsidRPr="00A651EF">
              <w:t>33</w:t>
            </w:r>
            <w:r>
              <w:t>.</w:t>
            </w:r>
            <w:r w:rsidRPr="00A651EF">
              <w:t>59</w:t>
            </w:r>
          </w:p>
        </w:tc>
        <w:tc>
          <w:tcPr>
            <w:tcW w:w="270" w:type="dxa"/>
            <w:tcBorders>
              <w:top w:val="nil"/>
              <w:bottom w:val="nil"/>
            </w:tcBorders>
            <w:shd w:val="clear" w:color="auto" w:fill="auto"/>
            <w:vAlign w:val="center"/>
          </w:tcPr>
          <w:p w14:paraId="1E057DE1" w14:textId="77777777" w:rsidR="00AA7F20" w:rsidRPr="00376A8D"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nil"/>
            </w:tcBorders>
            <w:shd w:val="clear" w:color="auto" w:fill="auto"/>
            <w:vAlign w:val="bottom"/>
          </w:tcPr>
          <w:p w14:paraId="53BAF3C2" w14:textId="77777777" w:rsidR="00AA7F20" w:rsidRPr="00376A8D"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46263D35" w14:textId="77777777" w:rsidR="00AA7F20" w:rsidRPr="0086152E"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671</w:t>
            </w:r>
            <w:r>
              <w:t>,</w:t>
            </w:r>
            <w:r w:rsidRPr="00A651EF">
              <w:t>726</w:t>
            </w:r>
            <w:r>
              <w:t>,</w:t>
            </w:r>
            <w:r w:rsidRPr="00A651EF">
              <w:t>433</w:t>
            </w:r>
          </w:p>
        </w:tc>
        <w:tc>
          <w:tcPr>
            <w:tcW w:w="847" w:type="dxa"/>
            <w:tcBorders>
              <w:top w:val="nil"/>
              <w:bottom w:val="nil"/>
            </w:tcBorders>
            <w:shd w:val="clear" w:color="auto" w:fill="auto"/>
            <w:vAlign w:val="bottom"/>
          </w:tcPr>
          <w:p w14:paraId="4406EB07" w14:textId="77777777" w:rsidR="00AA7F20" w:rsidRPr="0086152E"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33</w:t>
            </w:r>
            <w:r>
              <w:t>.</w:t>
            </w:r>
            <w:r w:rsidRPr="00A651EF">
              <w:t>59</w:t>
            </w:r>
          </w:p>
        </w:tc>
      </w:tr>
      <w:tr w:rsidR="00AA7F20" w:rsidRPr="00C806B0" w14:paraId="7A961F04" w14:textId="77777777" w:rsidTr="00AA7F20">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581FDEF2" w14:textId="77777777" w:rsidR="00AA7F20" w:rsidRPr="008057C9" w:rsidRDefault="00AA7F20" w:rsidP="00AA7F20">
            <w:pPr>
              <w:pStyle w:val="08-Tabelageral"/>
              <w:ind w:firstLine="176"/>
              <w:jc w:val="left"/>
              <w:rPr>
                <w:rFonts w:cs="Arial"/>
                <w:b w:val="0"/>
                <w:bCs w:val="0"/>
                <w:color w:val="auto"/>
                <w:szCs w:val="14"/>
              </w:rPr>
            </w:pPr>
            <w:r w:rsidRPr="008057C9">
              <w:rPr>
                <w:rFonts w:cs="Arial"/>
                <w:b w:val="0"/>
                <w:bCs w:val="0"/>
                <w:color w:val="auto"/>
                <w:szCs w:val="14"/>
              </w:rPr>
              <w:t>Treasury shares</w:t>
            </w:r>
          </w:p>
        </w:tc>
        <w:tc>
          <w:tcPr>
            <w:tcW w:w="1365" w:type="dxa"/>
            <w:tcBorders>
              <w:top w:val="nil"/>
              <w:bottom w:val="nil"/>
            </w:tcBorders>
            <w:shd w:val="clear" w:color="auto" w:fill="auto"/>
            <w:vAlign w:val="bottom"/>
          </w:tcPr>
          <w:p w14:paraId="59B8D788" w14:textId="77777777" w:rsidR="00AA7F20"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r w:rsidRPr="003F1B0E">
              <w:t>3</w:t>
            </w:r>
            <w:r>
              <w:t>,</w:t>
            </w:r>
            <w:r w:rsidRPr="003F1B0E">
              <w:t>249</w:t>
            </w:r>
            <w:r>
              <w:t>,</w:t>
            </w:r>
            <w:r w:rsidRPr="003F1B0E">
              <w:t>651</w:t>
            </w:r>
          </w:p>
        </w:tc>
        <w:tc>
          <w:tcPr>
            <w:tcW w:w="707" w:type="dxa"/>
            <w:tcBorders>
              <w:top w:val="nil"/>
              <w:bottom w:val="nil"/>
            </w:tcBorders>
            <w:shd w:val="clear" w:color="auto" w:fill="auto"/>
            <w:vAlign w:val="bottom"/>
          </w:tcPr>
          <w:p w14:paraId="233172A5" w14:textId="77777777" w:rsidR="00AA7F20"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r w:rsidRPr="00A651EF">
              <w:t>0</w:t>
            </w:r>
            <w:r>
              <w:t>.</w:t>
            </w:r>
            <w:r w:rsidRPr="00A651EF">
              <w:t>16</w:t>
            </w:r>
          </w:p>
        </w:tc>
        <w:tc>
          <w:tcPr>
            <w:tcW w:w="270" w:type="dxa"/>
            <w:tcBorders>
              <w:top w:val="nil"/>
              <w:bottom w:val="nil"/>
            </w:tcBorders>
            <w:shd w:val="clear" w:color="auto" w:fill="auto"/>
            <w:vAlign w:val="center"/>
          </w:tcPr>
          <w:p w14:paraId="3B07EF8B" w14:textId="77777777" w:rsidR="00AA7F20" w:rsidRPr="00376A8D"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vAlign w:val="bottom"/>
          </w:tcPr>
          <w:p w14:paraId="3A7D8BE7" w14:textId="77777777" w:rsidR="00AA7F20" w:rsidRPr="00376A8D"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7D6CDFAD" w14:textId="77777777" w:rsidR="00AA7F20" w:rsidRPr="0086152E"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3</w:t>
            </w:r>
            <w:r>
              <w:t>,</w:t>
            </w:r>
            <w:r w:rsidRPr="00A651EF">
              <w:t>273</w:t>
            </w:r>
            <w:r>
              <w:t>,</w:t>
            </w:r>
            <w:r w:rsidRPr="00A651EF">
              <w:t>567</w:t>
            </w:r>
          </w:p>
        </w:tc>
        <w:tc>
          <w:tcPr>
            <w:tcW w:w="847" w:type="dxa"/>
            <w:tcBorders>
              <w:top w:val="nil"/>
              <w:bottom w:val="nil"/>
            </w:tcBorders>
            <w:shd w:val="clear" w:color="auto" w:fill="auto"/>
            <w:vAlign w:val="bottom"/>
          </w:tcPr>
          <w:p w14:paraId="54CDE9FB" w14:textId="77777777" w:rsidR="00AA7F20" w:rsidRPr="0086152E"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0</w:t>
            </w:r>
            <w:r>
              <w:t>.</w:t>
            </w:r>
            <w:r w:rsidRPr="00A651EF">
              <w:t>16</w:t>
            </w:r>
          </w:p>
        </w:tc>
      </w:tr>
      <w:tr w:rsidR="00AA7F20" w:rsidRPr="008057C9" w14:paraId="33411F54" w14:textId="77777777" w:rsidTr="00AA7F20">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6C30DEAD" w14:textId="77777777" w:rsidR="00AA7F20" w:rsidRPr="008057C9" w:rsidRDefault="00AA7F20" w:rsidP="00AA7F20">
            <w:pPr>
              <w:pStyle w:val="08-Tabelageral"/>
              <w:jc w:val="left"/>
              <w:rPr>
                <w:rFonts w:cs="Arial"/>
                <w:bCs w:val="0"/>
                <w:color w:val="auto"/>
                <w:szCs w:val="14"/>
              </w:rPr>
            </w:pPr>
            <w:r w:rsidRPr="008057C9">
              <w:rPr>
                <w:rFonts w:cs="Arial"/>
                <w:bCs w:val="0"/>
                <w:color w:val="auto"/>
                <w:szCs w:val="14"/>
              </w:rPr>
              <w:t>Total</w:t>
            </w:r>
          </w:p>
        </w:tc>
        <w:tc>
          <w:tcPr>
            <w:tcW w:w="1365" w:type="dxa"/>
            <w:tcBorders>
              <w:top w:val="nil"/>
              <w:bottom w:val="nil"/>
            </w:tcBorders>
            <w:shd w:val="clear" w:color="auto" w:fill="auto"/>
            <w:vAlign w:val="center"/>
          </w:tcPr>
          <w:p w14:paraId="29DB875D" w14:textId="77777777" w:rsidR="00AA7F20" w:rsidRPr="008057C9"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707" w:type="dxa"/>
            <w:tcBorders>
              <w:top w:val="nil"/>
              <w:bottom w:val="nil"/>
            </w:tcBorders>
            <w:shd w:val="clear" w:color="auto" w:fill="auto"/>
            <w:vAlign w:val="center"/>
          </w:tcPr>
          <w:p w14:paraId="65E4BFA4" w14:textId="77777777" w:rsidR="00AA7F20" w:rsidRPr="008057C9"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100</w:t>
            </w:r>
          </w:p>
        </w:tc>
        <w:tc>
          <w:tcPr>
            <w:tcW w:w="270" w:type="dxa"/>
            <w:tcBorders>
              <w:top w:val="nil"/>
              <w:bottom w:val="nil"/>
            </w:tcBorders>
            <w:shd w:val="clear" w:color="auto" w:fill="auto"/>
            <w:vAlign w:val="center"/>
          </w:tcPr>
          <w:p w14:paraId="1398F403" w14:textId="77777777" w:rsidR="00AA7F20" w:rsidRPr="008057C9"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b/>
              </w:rPr>
            </w:pPr>
          </w:p>
        </w:tc>
        <w:tc>
          <w:tcPr>
            <w:tcW w:w="372" w:type="dxa"/>
            <w:gridSpan w:val="2"/>
            <w:tcBorders>
              <w:top w:val="nil"/>
              <w:bottom w:val="nil"/>
            </w:tcBorders>
            <w:shd w:val="clear" w:color="auto" w:fill="auto"/>
            <w:vAlign w:val="center"/>
          </w:tcPr>
          <w:p w14:paraId="6DD5CD1C" w14:textId="77777777" w:rsidR="00AA7F20" w:rsidRPr="008057C9"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35" w:type="dxa"/>
            <w:gridSpan w:val="2"/>
            <w:tcBorders>
              <w:top w:val="nil"/>
              <w:bottom w:val="nil"/>
            </w:tcBorders>
            <w:shd w:val="clear" w:color="auto" w:fill="auto"/>
            <w:vAlign w:val="center"/>
          </w:tcPr>
          <w:p w14:paraId="3E2AA9F3" w14:textId="77777777" w:rsidR="00AA7F20" w:rsidRPr="008057C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847" w:type="dxa"/>
            <w:tcBorders>
              <w:top w:val="nil"/>
              <w:bottom w:val="nil"/>
            </w:tcBorders>
            <w:shd w:val="clear" w:color="auto" w:fill="auto"/>
            <w:vAlign w:val="center"/>
          </w:tcPr>
          <w:p w14:paraId="05C6B602" w14:textId="77777777" w:rsidR="00AA7F20" w:rsidRPr="008057C9"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100</w:t>
            </w:r>
          </w:p>
        </w:tc>
      </w:tr>
      <w:tr w:rsidR="00AA7F20" w:rsidRPr="00C806B0" w14:paraId="55001A2B" w14:textId="77777777" w:rsidTr="00AA7F20">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645BA09F" w14:textId="77777777" w:rsidR="00AA7F20" w:rsidRPr="008057C9" w:rsidRDefault="00AA7F20" w:rsidP="00AA7F20">
            <w:pPr>
              <w:pStyle w:val="08-Tabelageral"/>
              <w:ind w:firstLine="176"/>
              <w:jc w:val="left"/>
              <w:rPr>
                <w:rFonts w:cs="Arial"/>
                <w:b w:val="0"/>
                <w:bCs w:val="0"/>
                <w:color w:val="auto"/>
                <w:szCs w:val="14"/>
              </w:rPr>
            </w:pPr>
            <w:r w:rsidRPr="008057C9">
              <w:rPr>
                <w:rFonts w:cs="Arial"/>
                <w:b w:val="0"/>
                <w:bCs w:val="0"/>
                <w:color w:val="auto"/>
                <w:szCs w:val="14"/>
              </w:rPr>
              <w:t>Locals</w:t>
            </w:r>
          </w:p>
        </w:tc>
        <w:tc>
          <w:tcPr>
            <w:tcW w:w="1365" w:type="dxa"/>
            <w:tcBorders>
              <w:top w:val="nil"/>
              <w:bottom w:val="nil"/>
            </w:tcBorders>
            <w:shd w:val="clear" w:color="auto" w:fill="auto"/>
            <w:vAlign w:val="bottom"/>
          </w:tcPr>
          <w:p w14:paraId="2A2DDC10" w14:textId="77777777" w:rsidR="00AA7F20"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r w:rsidRPr="003F1B0E">
              <w:t>1</w:t>
            </w:r>
            <w:r>
              <w:t>,</w:t>
            </w:r>
            <w:r w:rsidRPr="003F1B0E">
              <w:t>534</w:t>
            </w:r>
            <w:r>
              <w:t>,</w:t>
            </w:r>
            <w:r w:rsidRPr="003F1B0E">
              <w:t>536</w:t>
            </w:r>
            <w:r>
              <w:t>,</w:t>
            </w:r>
            <w:r w:rsidRPr="003F1B0E">
              <w:t>952</w:t>
            </w:r>
          </w:p>
        </w:tc>
        <w:tc>
          <w:tcPr>
            <w:tcW w:w="707" w:type="dxa"/>
            <w:tcBorders>
              <w:top w:val="nil"/>
              <w:bottom w:val="nil"/>
            </w:tcBorders>
            <w:shd w:val="clear" w:color="auto" w:fill="auto"/>
            <w:vAlign w:val="bottom"/>
          </w:tcPr>
          <w:p w14:paraId="3C6025A8" w14:textId="77777777" w:rsidR="00AA7F20"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r w:rsidRPr="00A651EF">
              <w:t>76</w:t>
            </w:r>
            <w:r>
              <w:t>.73</w:t>
            </w:r>
          </w:p>
        </w:tc>
        <w:tc>
          <w:tcPr>
            <w:tcW w:w="270" w:type="dxa"/>
            <w:tcBorders>
              <w:top w:val="nil"/>
              <w:bottom w:val="nil"/>
            </w:tcBorders>
            <w:shd w:val="clear" w:color="auto" w:fill="auto"/>
            <w:vAlign w:val="center"/>
          </w:tcPr>
          <w:p w14:paraId="4F9181AF" w14:textId="77777777" w:rsidR="00AA7F20" w:rsidRPr="00376A8D"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vAlign w:val="bottom"/>
          </w:tcPr>
          <w:p w14:paraId="1C2906BF" w14:textId="77777777" w:rsidR="00AA7F20" w:rsidRPr="00376A8D" w:rsidRDefault="00AA7F20" w:rsidP="00AA7F20">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6CF47DA3" w14:textId="77777777" w:rsidR="00AA7F20" w:rsidRPr="0086152E"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1</w:t>
            </w:r>
            <w:r>
              <w:t>,</w:t>
            </w:r>
            <w:r w:rsidRPr="00A651EF">
              <w:t>538</w:t>
            </w:r>
            <w:r>
              <w:t>,</w:t>
            </w:r>
            <w:r w:rsidRPr="00A651EF">
              <w:t>774</w:t>
            </w:r>
            <w:r>
              <w:t>,</w:t>
            </w:r>
            <w:r w:rsidRPr="00A651EF">
              <w:t>783</w:t>
            </w:r>
          </w:p>
        </w:tc>
        <w:tc>
          <w:tcPr>
            <w:tcW w:w="847" w:type="dxa"/>
            <w:tcBorders>
              <w:top w:val="nil"/>
              <w:bottom w:val="nil"/>
            </w:tcBorders>
            <w:shd w:val="clear" w:color="auto" w:fill="auto"/>
            <w:vAlign w:val="bottom"/>
          </w:tcPr>
          <w:p w14:paraId="7A84D584" w14:textId="77777777" w:rsidR="00AA7F20" w:rsidRPr="0086152E"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651EF">
              <w:t>76</w:t>
            </w:r>
            <w:r>
              <w:t>.</w:t>
            </w:r>
            <w:r w:rsidRPr="00A651EF">
              <w:t>94</w:t>
            </w:r>
          </w:p>
        </w:tc>
      </w:tr>
      <w:tr w:rsidR="00AA7F20" w:rsidRPr="00C806B0" w14:paraId="000F11C2" w14:textId="77777777" w:rsidTr="00AA7F20">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single" w:sz="2" w:space="0" w:color="1F4E79" w:themeColor="accent1" w:themeShade="80"/>
            </w:tcBorders>
            <w:shd w:val="clear" w:color="auto" w:fill="auto"/>
          </w:tcPr>
          <w:p w14:paraId="7FF8CF24" w14:textId="77777777" w:rsidR="00AA7F20" w:rsidRPr="008057C9" w:rsidRDefault="00AA7F20" w:rsidP="00AA7F20">
            <w:pPr>
              <w:pStyle w:val="08-Tabelageral"/>
              <w:ind w:firstLine="176"/>
              <w:jc w:val="left"/>
              <w:rPr>
                <w:rFonts w:cs="Arial"/>
                <w:b w:val="0"/>
                <w:bCs w:val="0"/>
                <w:color w:val="auto"/>
                <w:szCs w:val="14"/>
              </w:rPr>
            </w:pPr>
            <w:r w:rsidRPr="008057C9">
              <w:rPr>
                <w:rFonts w:cs="Arial"/>
                <w:b w:val="0"/>
                <w:bCs w:val="0"/>
                <w:color w:val="auto"/>
                <w:szCs w:val="14"/>
              </w:rPr>
              <w:t>Foreign</w:t>
            </w:r>
          </w:p>
        </w:tc>
        <w:tc>
          <w:tcPr>
            <w:tcW w:w="1365" w:type="dxa"/>
            <w:tcBorders>
              <w:top w:val="nil"/>
              <w:bottom w:val="single" w:sz="2" w:space="0" w:color="1F4E79" w:themeColor="accent1" w:themeShade="80"/>
            </w:tcBorders>
            <w:shd w:val="clear" w:color="auto" w:fill="auto"/>
            <w:vAlign w:val="bottom"/>
          </w:tcPr>
          <w:p w14:paraId="072F8B06" w14:textId="77777777" w:rsidR="00AA7F20"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r w:rsidRPr="003F1B0E">
              <w:t>465</w:t>
            </w:r>
            <w:r>
              <w:t>,</w:t>
            </w:r>
            <w:r w:rsidRPr="003F1B0E">
              <w:t>463</w:t>
            </w:r>
            <w:r>
              <w:t>,</w:t>
            </w:r>
            <w:r w:rsidRPr="003F1B0E">
              <w:t>048</w:t>
            </w:r>
          </w:p>
        </w:tc>
        <w:tc>
          <w:tcPr>
            <w:tcW w:w="707" w:type="dxa"/>
            <w:tcBorders>
              <w:top w:val="nil"/>
              <w:bottom w:val="single" w:sz="2" w:space="0" w:color="1F4E79" w:themeColor="accent1" w:themeShade="80"/>
            </w:tcBorders>
            <w:shd w:val="clear" w:color="auto" w:fill="auto"/>
            <w:vAlign w:val="bottom"/>
          </w:tcPr>
          <w:p w14:paraId="45F50ADE" w14:textId="77777777" w:rsidR="00AA7F20"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r w:rsidRPr="00A651EF">
              <w:t>23</w:t>
            </w:r>
            <w:r>
              <w:t>.27</w:t>
            </w:r>
          </w:p>
        </w:tc>
        <w:tc>
          <w:tcPr>
            <w:tcW w:w="270" w:type="dxa"/>
            <w:tcBorders>
              <w:top w:val="nil"/>
              <w:bottom w:val="single" w:sz="2" w:space="0" w:color="1F4E79" w:themeColor="accent1" w:themeShade="80"/>
            </w:tcBorders>
            <w:shd w:val="clear" w:color="auto" w:fill="auto"/>
            <w:vAlign w:val="center"/>
          </w:tcPr>
          <w:p w14:paraId="64AECE7F" w14:textId="77777777" w:rsidR="00AA7F20" w:rsidRPr="00376A8D"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single" w:sz="2" w:space="0" w:color="1F4E79" w:themeColor="accent1" w:themeShade="80"/>
            </w:tcBorders>
            <w:shd w:val="clear" w:color="auto" w:fill="auto"/>
            <w:vAlign w:val="bottom"/>
          </w:tcPr>
          <w:p w14:paraId="2134D4E6" w14:textId="77777777" w:rsidR="00AA7F20" w:rsidRPr="00376A8D" w:rsidRDefault="00AA7F20" w:rsidP="00AA7F20">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single" w:sz="2" w:space="0" w:color="1F4E79" w:themeColor="accent1" w:themeShade="80"/>
            </w:tcBorders>
            <w:shd w:val="clear" w:color="auto" w:fill="auto"/>
            <w:vAlign w:val="bottom"/>
          </w:tcPr>
          <w:p w14:paraId="02D85194" w14:textId="77777777" w:rsidR="00AA7F20" w:rsidRPr="0086152E"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461</w:t>
            </w:r>
            <w:r>
              <w:t>,</w:t>
            </w:r>
            <w:r w:rsidRPr="00A651EF">
              <w:t>225</w:t>
            </w:r>
            <w:r>
              <w:t>,</w:t>
            </w:r>
            <w:r w:rsidRPr="00A651EF">
              <w:t>217</w:t>
            </w:r>
          </w:p>
        </w:tc>
        <w:tc>
          <w:tcPr>
            <w:tcW w:w="847" w:type="dxa"/>
            <w:tcBorders>
              <w:top w:val="nil"/>
              <w:bottom w:val="single" w:sz="2" w:space="0" w:color="1F4E79" w:themeColor="accent1" w:themeShade="80"/>
            </w:tcBorders>
            <w:shd w:val="clear" w:color="auto" w:fill="auto"/>
            <w:vAlign w:val="bottom"/>
          </w:tcPr>
          <w:p w14:paraId="3FBE3BF6" w14:textId="77777777" w:rsidR="00AA7F20" w:rsidRPr="0086152E"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651EF">
              <w:t>23</w:t>
            </w:r>
            <w:r>
              <w:t>.</w:t>
            </w:r>
            <w:r w:rsidRPr="00A651EF">
              <w:t>06</w:t>
            </w:r>
          </w:p>
        </w:tc>
      </w:tr>
    </w:tbl>
    <w:p w14:paraId="5D28EB3C" w14:textId="77777777" w:rsidR="00AA7F20" w:rsidRPr="00F55DD0" w:rsidRDefault="00AA7F20" w:rsidP="00AA7F20">
      <w:pPr>
        <w:pStyle w:val="01-Textonormal"/>
        <w:rPr>
          <w:b/>
          <w:color w:val="1F4E79" w:themeColor="accent1" w:themeShade="80"/>
        </w:rPr>
      </w:pPr>
      <w:r w:rsidRPr="00F55DD0">
        <w:rPr>
          <w:b/>
          <w:color w:val="1F4E79" w:themeColor="accent1" w:themeShade="80"/>
        </w:rPr>
        <w:t xml:space="preserve">g) Treasury shares </w:t>
      </w:r>
    </w:p>
    <w:p w14:paraId="05D539A3" w14:textId="77777777" w:rsidR="00AA7F20" w:rsidRPr="00E2299D" w:rsidRDefault="00AA7F20" w:rsidP="00AA7F20">
      <w:pPr>
        <w:pStyle w:val="01-Textonormal"/>
        <w:rPr>
          <w:b/>
          <w:color w:val="1F4E79" w:themeColor="accent1" w:themeShade="80"/>
          <w:lang w:val="en-US"/>
        </w:rPr>
      </w:pPr>
      <w:r w:rsidRPr="00E2299D">
        <w:rPr>
          <w:b/>
          <w:color w:val="1F4E79" w:themeColor="accent1" w:themeShade="80"/>
          <w:lang w:val="en-US"/>
        </w:rPr>
        <w:t xml:space="preserve">g.1) Share-Based Payment – Variable Wage Program </w:t>
      </w:r>
    </w:p>
    <w:p w14:paraId="6010E559" w14:textId="77777777" w:rsidR="00AA7F20" w:rsidRDefault="00AA7F20" w:rsidP="00AA7F20">
      <w:pPr>
        <w:pStyle w:val="05-Textonormal"/>
        <w:rPr>
          <w:lang w:val="en-US"/>
        </w:rPr>
      </w:pPr>
      <w:r w:rsidRPr="000C008B">
        <w:rPr>
          <w:lang w:val="en-US"/>
        </w:rPr>
        <w:t xml:space="preserve">The Variable </w:t>
      </w:r>
      <w:r>
        <w:rPr>
          <w:lang w:val="en-US"/>
        </w:rPr>
        <w:t>Wage</w:t>
      </w:r>
      <w:r w:rsidRPr="000C008B">
        <w:rPr>
          <w:lang w:val="en-US"/>
        </w:rPr>
        <w:t xml:space="preserve"> Program Board </w:t>
      </w:r>
      <w:r>
        <w:rPr>
          <w:lang w:val="en-US"/>
        </w:rPr>
        <w:t xml:space="preserve">of </w:t>
      </w:r>
      <w:r w:rsidRPr="000C008B">
        <w:rPr>
          <w:lang w:val="en-US"/>
        </w:rPr>
        <w:t xml:space="preserve">BB Seguridade </w:t>
      </w:r>
      <w:r>
        <w:rPr>
          <w:lang w:val="en-US"/>
        </w:rPr>
        <w:t>determined</w:t>
      </w:r>
      <w:r w:rsidRPr="000C008B">
        <w:rPr>
          <w:lang w:val="en-US"/>
        </w:rPr>
        <w:t xml:space="preserve"> that</w:t>
      </w:r>
      <w:r>
        <w:rPr>
          <w:lang w:val="en-US"/>
        </w:rPr>
        <w:t>,</w:t>
      </w:r>
      <w:r w:rsidRPr="000C008B">
        <w:rPr>
          <w:lang w:val="en-US"/>
        </w:rPr>
        <w:t xml:space="preserve"> </w:t>
      </w:r>
      <w:r>
        <w:rPr>
          <w:lang w:val="en-US"/>
        </w:rPr>
        <w:t xml:space="preserve">of </w:t>
      </w:r>
      <w:r w:rsidRPr="000C008B">
        <w:rPr>
          <w:lang w:val="en-US"/>
        </w:rPr>
        <w:t>the total amount allocated to the payment of variable compensation, 50% will be made in shares of BB Seguridade</w:t>
      </w:r>
      <w:r>
        <w:rPr>
          <w:lang w:val="en-US"/>
        </w:rPr>
        <w:t xml:space="preserve"> </w:t>
      </w:r>
      <w:r w:rsidRPr="000C008B">
        <w:rPr>
          <w:lang w:val="en-US"/>
        </w:rPr>
        <w:t xml:space="preserve">(BBSE3). </w:t>
      </w:r>
      <w:r>
        <w:rPr>
          <w:lang w:val="en-US"/>
        </w:rPr>
        <w:t>From t</w:t>
      </w:r>
      <w:r w:rsidRPr="000C008B">
        <w:rPr>
          <w:lang w:val="en-US"/>
        </w:rPr>
        <w:t xml:space="preserve">he total paid in </w:t>
      </w:r>
      <w:r>
        <w:rPr>
          <w:lang w:val="en-US"/>
        </w:rPr>
        <w:t>shares</w:t>
      </w:r>
      <w:r w:rsidRPr="000C008B">
        <w:rPr>
          <w:lang w:val="en-US"/>
        </w:rPr>
        <w:t>, 20% will be immediately transferred to the beneficiary ownership and 80% will be deferred for a period of four years.</w:t>
      </w:r>
    </w:p>
    <w:p w14:paraId="033B7DF3" w14:textId="77777777" w:rsidR="00AA7F20" w:rsidRDefault="00AA7F20" w:rsidP="00AA7F20">
      <w:pPr>
        <w:pStyle w:val="05-Textonormal"/>
        <w:rPr>
          <w:lang w:val="en-US"/>
        </w:rPr>
      </w:pPr>
      <w:r w:rsidRPr="009E41F1">
        <w:rPr>
          <w:lang w:val="en-US"/>
        </w:rPr>
        <w:t>On November 13, 2014, the Brazilian Securities and Exchange Commission (CVM) authorized BB Seguridade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1C5B74FF" w14:textId="77777777" w:rsidR="00AA7F20" w:rsidRDefault="00AA7F20" w:rsidP="00AA7F20">
      <w:pPr>
        <w:pStyle w:val="05-Textonormal"/>
        <w:rPr>
          <w:lang w:val="en-US"/>
        </w:rPr>
      </w:pPr>
      <w:r w:rsidRPr="00275B1D">
        <w:rPr>
          <w:lang w:val="en-US"/>
        </w:rPr>
        <w:t>We present the statement of acquired shares, its distribution and its transfer schedule:</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AA7F20" w:rsidRPr="0093782B" w14:paraId="6DD49AE3" w14:textId="77777777" w:rsidTr="00AA7F20">
        <w:trPr>
          <w:trHeight w:val="238"/>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7BA42A6F" w14:textId="77777777" w:rsidR="00AA7F20" w:rsidRPr="00E2299D" w:rsidRDefault="00AA7F20" w:rsidP="00AA7F20">
            <w:pPr>
              <w:pStyle w:val="08-Tabelageral"/>
              <w:jc w:val="center"/>
              <w:rPr>
                <w:b/>
                <w:lang w:val="en-US"/>
              </w:rPr>
            </w:pPr>
          </w:p>
        </w:tc>
        <w:tc>
          <w:tcPr>
            <w:tcW w:w="1388" w:type="dxa"/>
            <w:tcBorders>
              <w:top w:val="single" w:sz="2" w:space="0" w:color="1F4E79" w:themeColor="accent1" w:themeShade="80"/>
              <w:bottom w:val="single" w:sz="2" w:space="0" w:color="1F4E79" w:themeColor="accent1" w:themeShade="80"/>
            </w:tcBorders>
            <w:shd w:val="clear" w:color="auto" w:fill="auto"/>
          </w:tcPr>
          <w:p w14:paraId="63FCE653" w14:textId="77777777" w:rsidR="00AA7F20" w:rsidRPr="0093782B" w:rsidRDefault="00AA7F20" w:rsidP="00AA7F20">
            <w:pPr>
              <w:pStyle w:val="08-Tabelageral"/>
              <w:jc w:val="center"/>
              <w:rPr>
                <w:b/>
              </w:rPr>
            </w:pPr>
            <w:r w:rsidRPr="0093782B">
              <w:rPr>
                <w:b/>
              </w:rPr>
              <w:t>201</w:t>
            </w:r>
            <w:r>
              <w:rPr>
                <w:b/>
              </w:rPr>
              <w:t>9</w:t>
            </w:r>
            <w:r w:rsidRPr="0093782B">
              <w:rPr>
                <w:b/>
              </w:rPr>
              <w:t xml:space="preserve"> Program</w:t>
            </w:r>
          </w:p>
        </w:tc>
        <w:tc>
          <w:tcPr>
            <w:tcW w:w="1424" w:type="dxa"/>
            <w:tcBorders>
              <w:top w:val="single" w:sz="2" w:space="0" w:color="1F4E79" w:themeColor="accent1" w:themeShade="80"/>
              <w:bottom w:val="single" w:sz="2" w:space="0" w:color="1F4E79" w:themeColor="accent1" w:themeShade="80"/>
            </w:tcBorders>
            <w:shd w:val="clear" w:color="auto" w:fill="auto"/>
          </w:tcPr>
          <w:p w14:paraId="781CDDAF" w14:textId="77777777" w:rsidR="00AA7F20" w:rsidRPr="0093782B" w:rsidRDefault="00AA7F20" w:rsidP="00AA7F20">
            <w:pPr>
              <w:pStyle w:val="08-Tabelageral"/>
              <w:jc w:val="center"/>
              <w:rPr>
                <w:b/>
              </w:rPr>
            </w:pPr>
            <w:r w:rsidRPr="0093782B">
              <w:rPr>
                <w:b/>
              </w:rPr>
              <w:t>20</w:t>
            </w:r>
            <w:r>
              <w:rPr>
                <w:b/>
              </w:rPr>
              <w:t>20</w:t>
            </w:r>
            <w:r w:rsidRPr="0093782B">
              <w:rPr>
                <w:b/>
              </w:rPr>
              <w:t xml:space="preserve"> Program</w:t>
            </w:r>
          </w:p>
        </w:tc>
        <w:tc>
          <w:tcPr>
            <w:tcW w:w="1384" w:type="dxa"/>
            <w:tcBorders>
              <w:top w:val="single" w:sz="2" w:space="0" w:color="1F4E79" w:themeColor="accent1" w:themeShade="80"/>
              <w:bottom w:val="single" w:sz="2" w:space="0" w:color="1F4E79" w:themeColor="accent1" w:themeShade="80"/>
            </w:tcBorders>
            <w:shd w:val="clear" w:color="auto" w:fill="auto"/>
          </w:tcPr>
          <w:p w14:paraId="0671731F" w14:textId="77777777" w:rsidR="00AA7F20" w:rsidRPr="0093782B" w:rsidRDefault="00AA7F20" w:rsidP="00AA7F20">
            <w:pPr>
              <w:pStyle w:val="08-Tabelageral"/>
              <w:jc w:val="center"/>
              <w:rPr>
                <w:b/>
              </w:rPr>
            </w:pPr>
            <w:r w:rsidRPr="0093782B">
              <w:rPr>
                <w:b/>
              </w:rPr>
              <w:t>20</w:t>
            </w:r>
            <w:r>
              <w:rPr>
                <w:b/>
              </w:rPr>
              <w:t>21</w:t>
            </w:r>
            <w:r w:rsidRPr="0093782B">
              <w:rPr>
                <w:b/>
              </w:rPr>
              <w:t xml:space="preserve"> Program</w:t>
            </w:r>
          </w:p>
        </w:tc>
        <w:tc>
          <w:tcPr>
            <w:tcW w:w="1505" w:type="dxa"/>
            <w:tcBorders>
              <w:top w:val="single" w:sz="2" w:space="0" w:color="1F4E79" w:themeColor="accent1" w:themeShade="80"/>
              <w:bottom w:val="single" w:sz="2" w:space="0" w:color="1F4E79" w:themeColor="accent1" w:themeShade="80"/>
            </w:tcBorders>
            <w:shd w:val="clear" w:color="auto" w:fill="auto"/>
          </w:tcPr>
          <w:p w14:paraId="495A1925" w14:textId="77777777" w:rsidR="00AA7F20" w:rsidRPr="0093782B" w:rsidRDefault="00AA7F20" w:rsidP="00AA7F20">
            <w:pPr>
              <w:pStyle w:val="08-Tabelageral"/>
              <w:jc w:val="center"/>
              <w:rPr>
                <w:b/>
              </w:rPr>
            </w:pPr>
            <w:r w:rsidRPr="0093782B">
              <w:rPr>
                <w:b/>
              </w:rPr>
              <w:t>202</w:t>
            </w:r>
            <w:r>
              <w:rPr>
                <w:b/>
              </w:rPr>
              <w:t>2</w:t>
            </w:r>
            <w:r w:rsidRPr="0093782B">
              <w:rPr>
                <w:b/>
              </w:rPr>
              <w:t xml:space="preserve"> Program</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208372B7" w14:textId="77777777" w:rsidR="00AA7F20" w:rsidRPr="0093782B" w:rsidRDefault="00AA7F20" w:rsidP="00AA7F20">
            <w:pPr>
              <w:pStyle w:val="08-Tabelageral"/>
              <w:rPr>
                <w:b/>
              </w:rPr>
            </w:pPr>
            <w:r w:rsidRPr="0093782B">
              <w:rPr>
                <w:b/>
              </w:rPr>
              <w:t>Total</w:t>
            </w:r>
          </w:p>
        </w:tc>
      </w:tr>
      <w:tr w:rsidR="00AA7F20" w:rsidRPr="00056C3B" w14:paraId="6E48C21F" w14:textId="77777777" w:rsidTr="00AA7F20">
        <w:trPr>
          <w:trHeight w:val="238"/>
        </w:trPr>
        <w:tc>
          <w:tcPr>
            <w:tcW w:w="2629" w:type="dxa"/>
            <w:tcBorders>
              <w:top w:val="single" w:sz="2" w:space="0" w:color="1F4E79" w:themeColor="accent1" w:themeShade="80"/>
            </w:tcBorders>
            <w:shd w:val="clear" w:color="auto" w:fill="auto"/>
            <w:vAlign w:val="center"/>
          </w:tcPr>
          <w:p w14:paraId="1046F074" w14:textId="77777777" w:rsidR="00AA7F20" w:rsidRPr="00056C3B" w:rsidRDefault="00AA7F20" w:rsidP="00AA7F20">
            <w:pPr>
              <w:pStyle w:val="070-TabelaPadro"/>
              <w:spacing w:line="276" w:lineRule="auto"/>
              <w:ind w:left="-108" w:firstLine="426"/>
              <w:jc w:val="left"/>
              <w:rPr>
                <w:bCs/>
              </w:rPr>
            </w:pPr>
            <w:r w:rsidRPr="00B4618F">
              <w:t>Shares Distributed</w:t>
            </w:r>
          </w:p>
        </w:tc>
        <w:tc>
          <w:tcPr>
            <w:tcW w:w="1388" w:type="dxa"/>
            <w:tcBorders>
              <w:top w:val="single" w:sz="2" w:space="0" w:color="1F4E79" w:themeColor="accent1" w:themeShade="80"/>
            </w:tcBorders>
            <w:shd w:val="clear" w:color="auto" w:fill="auto"/>
          </w:tcPr>
          <w:p w14:paraId="0C833A88" w14:textId="77777777" w:rsidR="00AA7F20" w:rsidRPr="00056C3B" w:rsidRDefault="00AA7F20" w:rsidP="00AA7F20">
            <w:pPr>
              <w:pStyle w:val="08-Tabelageral"/>
              <w:ind w:left="113"/>
              <w:rPr>
                <w:rFonts w:cs="Arial"/>
                <w:bCs/>
                <w:szCs w:val="14"/>
              </w:rPr>
            </w:pPr>
            <w:r w:rsidRPr="00C5580B">
              <w:rPr>
                <w:rFonts w:cs="Arial"/>
                <w:bCs/>
                <w:szCs w:val="14"/>
                <w:lang w:eastAsia="en-US"/>
              </w:rPr>
              <w:t>22</w:t>
            </w:r>
            <w:r>
              <w:rPr>
                <w:rFonts w:cs="Arial"/>
                <w:bCs/>
                <w:szCs w:val="14"/>
                <w:lang w:eastAsia="en-US"/>
              </w:rPr>
              <w:t>,</w:t>
            </w:r>
            <w:r w:rsidRPr="00C5580B">
              <w:rPr>
                <w:rFonts w:cs="Arial"/>
                <w:bCs/>
                <w:szCs w:val="14"/>
                <w:lang w:eastAsia="en-US"/>
              </w:rPr>
              <w:t>668</w:t>
            </w:r>
          </w:p>
        </w:tc>
        <w:tc>
          <w:tcPr>
            <w:tcW w:w="1424" w:type="dxa"/>
            <w:tcBorders>
              <w:top w:val="single" w:sz="2" w:space="0" w:color="1F4E79" w:themeColor="accent1" w:themeShade="80"/>
            </w:tcBorders>
            <w:shd w:val="clear" w:color="auto" w:fill="auto"/>
          </w:tcPr>
          <w:p w14:paraId="21692336" w14:textId="77777777" w:rsidR="00AA7F20" w:rsidRPr="00056C3B" w:rsidRDefault="00AA7F20" w:rsidP="00AA7F20">
            <w:pPr>
              <w:pStyle w:val="08-Tabelageral"/>
              <w:ind w:left="113"/>
              <w:rPr>
                <w:rFonts w:cs="Arial"/>
                <w:bCs/>
                <w:szCs w:val="14"/>
              </w:rPr>
            </w:pPr>
            <w:r w:rsidRPr="00C5580B">
              <w:rPr>
                <w:rFonts w:cs="Arial"/>
                <w:bCs/>
                <w:szCs w:val="14"/>
              </w:rPr>
              <w:t>13</w:t>
            </w:r>
            <w:r>
              <w:rPr>
                <w:rFonts w:cs="Arial"/>
                <w:bCs/>
                <w:szCs w:val="14"/>
              </w:rPr>
              <w:t>,</w:t>
            </w:r>
            <w:r w:rsidRPr="00C5580B">
              <w:rPr>
                <w:rFonts w:cs="Arial"/>
                <w:bCs/>
                <w:szCs w:val="14"/>
              </w:rPr>
              <w:t>486</w:t>
            </w:r>
          </w:p>
        </w:tc>
        <w:tc>
          <w:tcPr>
            <w:tcW w:w="1384" w:type="dxa"/>
            <w:tcBorders>
              <w:top w:val="single" w:sz="2" w:space="0" w:color="1F4E79" w:themeColor="accent1" w:themeShade="80"/>
            </w:tcBorders>
            <w:shd w:val="clear" w:color="auto" w:fill="auto"/>
          </w:tcPr>
          <w:p w14:paraId="5978A41C" w14:textId="77777777" w:rsidR="00AA7F20" w:rsidRPr="00056C3B" w:rsidRDefault="00AA7F20" w:rsidP="00AA7F20">
            <w:pPr>
              <w:pStyle w:val="08-Tabelageral"/>
              <w:ind w:left="113"/>
              <w:rPr>
                <w:rFonts w:cs="Arial"/>
                <w:bCs/>
                <w:szCs w:val="14"/>
              </w:rPr>
            </w:pPr>
            <w:r w:rsidRPr="00C5580B">
              <w:rPr>
                <w:rFonts w:cs="Arial"/>
                <w:bCs/>
                <w:szCs w:val="14"/>
                <w:lang w:eastAsia="en-US"/>
              </w:rPr>
              <w:t>10</w:t>
            </w:r>
            <w:r>
              <w:rPr>
                <w:rFonts w:cs="Arial"/>
                <w:bCs/>
                <w:szCs w:val="14"/>
                <w:lang w:eastAsia="en-US"/>
              </w:rPr>
              <w:t>,</w:t>
            </w:r>
            <w:r w:rsidRPr="00C5580B">
              <w:rPr>
                <w:rFonts w:cs="Arial"/>
                <w:bCs/>
                <w:szCs w:val="14"/>
                <w:lang w:eastAsia="en-US"/>
              </w:rPr>
              <w:t>087</w:t>
            </w:r>
          </w:p>
        </w:tc>
        <w:tc>
          <w:tcPr>
            <w:tcW w:w="1505" w:type="dxa"/>
            <w:tcBorders>
              <w:top w:val="single" w:sz="2" w:space="0" w:color="1F4E79" w:themeColor="accent1" w:themeShade="80"/>
            </w:tcBorders>
            <w:shd w:val="clear" w:color="auto" w:fill="auto"/>
          </w:tcPr>
          <w:p w14:paraId="043CA9AE" w14:textId="77777777" w:rsidR="00AA7F20" w:rsidRPr="00056C3B" w:rsidRDefault="00AA7F20" w:rsidP="00AA7F20">
            <w:pPr>
              <w:pStyle w:val="08-Tabelageral"/>
              <w:ind w:left="113"/>
              <w:rPr>
                <w:rFonts w:cs="Arial"/>
                <w:bCs/>
                <w:szCs w:val="14"/>
              </w:rPr>
            </w:pPr>
            <w:r w:rsidRPr="00C5580B">
              <w:rPr>
                <w:rFonts w:cs="Arial"/>
                <w:bCs/>
                <w:szCs w:val="14"/>
              </w:rPr>
              <w:t>5</w:t>
            </w:r>
            <w:r>
              <w:rPr>
                <w:rFonts w:cs="Arial"/>
                <w:bCs/>
                <w:szCs w:val="14"/>
              </w:rPr>
              <w:t>,451</w:t>
            </w:r>
          </w:p>
        </w:tc>
        <w:tc>
          <w:tcPr>
            <w:tcW w:w="1309" w:type="dxa"/>
            <w:tcBorders>
              <w:top w:val="single" w:sz="2" w:space="0" w:color="1F4E79" w:themeColor="accent1" w:themeShade="80"/>
            </w:tcBorders>
            <w:shd w:val="clear" w:color="auto" w:fill="auto"/>
          </w:tcPr>
          <w:p w14:paraId="26463415" w14:textId="77777777" w:rsidR="00AA7F20" w:rsidRPr="00062947" w:rsidRDefault="00AA7F20" w:rsidP="00AA7F20">
            <w:pPr>
              <w:pStyle w:val="08-Tabelageral"/>
              <w:ind w:left="113"/>
              <w:rPr>
                <w:rFonts w:cs="Arial"/>
                <w:b/>
                <w:szCs w:val="14"/>
              </w:rPr>
            </w:pPr>
            <w:r w:rsidRPr="00C5580B">
              <w:rPr>
                <w:rFonts w:cs="Arial"/>
                <w:b/>
                <w:szCs w:val="14"/>
              </w:rPr>
              <w:t>51</w:t>
            </w:r>
            <w:r>
              <w:rPr>
                <w:rFonts w:cs="Arial"/>
                <w:b/>
                <w:szCs w:val="14"/>
              </w:rPr>
              <w:t>,</w:t>
            </w:r>
            <w:r w:rsidRPr="00C5580B">
              <w:rPr>
                <w:rFonts w:cs="Arial"/>
                <w:b/>
                <w:szCs w:val="14"/>
              </w:rPr>
              <w:t>692</w:t>
            </w:r>
          </w:p>
        </w:tc>
      </w:tr>
      <w:tr w:rsidR="00AA7F20" w:rsidRPr="00056C3B" w14:paraId="2CE461BF" w14:textId="77777777" w:rsidTr="00AA7F20">
        <w:trPr>
          <w:trHeight w:val="238"/>
        </w:trPr>
        <w:tc>
          <w:tcPr>
            <w:tcW w:w="2629" w:type="dxa"/>
            <w:shd w:val="clear" w:color="auto" w:fill="auto"/>
          </w:tcPr>
          <w:p w14:paraId="784C1DD0" w14:textId="77777777" w:rsidR="00AA7F20" w:rsidRPr="00056C3B" w:rsidRDefault="00AA7F20" w:rsidP="00AA7F20">
            <w:pPr>
              <w:pStyle w:val="070-TabelaPadro"/>
              <w:spacing w:line="276" w:lineRule="auto"/>
              <w:ind w:left="-108" w:firstLine="426"/>
              <w:jc w:val="left"/>
              <w:rPr>
                <w:bCs/>
              </w:rPr>
            </w:pPr>
            <w:r w:rsidRPr="00B4618F">
              <w:t>Shares to Distribute</w:t>
            </w:r>
          </w:p>
        </w:tc>
        <w:tc>
          <w:tcPr>
            <w:tcW w:w="1388" w:type="dxa"/>
            <w:shd w:val="clear" w:color="auto" w:fill="auto"/>
          </w:tcPr>
          <w:p w14:paraId="1B20ACD3" w14:textId="77777777" w:rsidR="00AA7F20" w:rsidRPr="00056C3B" w:rsidRDefault="00AA7F20" w:rsidP="00AA7F20">
            <w:pPr>
              <w:pStyle w:val="08-Tabelageral"/>
              <w:ind w:left="113"/>
              <w:rPr>
                <w:rFonts w:cs="Arial"/>
                <w:bCs/>
                <w:szCs w:val="14"/>
              </w:rPr>
            </w:pPr>
            <w:r w:rsidRPr="00C5580B">
              <w:rPr>
                <w:rFonts w:cs="Arial"/>
                <w:bCs/>
                <w:szCs w:val="14"/>
              </w:rPr>
              <w:t>5</w:t>
            </w:r>
            <w:r>
              <w:rPr>
                <w:rFonts w:cs="Arial"/>
                <w:bCs/>
                <w:szCs w:val="14"/>
              </w:rPr>
              <w:t>,</w:t>
            </w:r>
            <w:r w:rsidRPr="00C5580B">
              <w:rPr>
                <w:rFonts w:cs="Arial"/>
                <w:bCs/>
                <w:szCs w:val="14"/>
              </w:rPr>
              <w:t>665</w:t>
            </w:r>
          </w:p>
        </w:tc>
        <w:tc>
          <w:tcPr>
            <w:tcW w:w="1424" w:type="dxa"/>
            <w:shd w:val="clear" w:color="auto" w:fill="auto"/>
          </w:tcPr>
          <w:p w14:paraId="4F92E2A8" w14:textId="77777777" w:rsidR="00AA7F20" w:rsidRPr="00056C3B" w:rsidRDefault="00AA7F20" w:rsidP="00AA7F20">
            <w:pPr>
              <w:pStyle w:val="08-Tabelageral"/>
              <w:ind w:left="113"/>
              <w:rPr>
                <w:rFonts w:cs="Arial"/>
                <w:bCs/>
                <w:szCs w:val="14"/>
              </w:rPr>
            </w:pPr>
            <w:r w:rsidRPr="00C5580B">
              <w:rPr>
                <w:rFonts w:cs="Arial"/>
                <w:bCs/>
                <w:szCs w:val="14"/>
              </w:rPr>
              <w:t>8</w:t>
            </w:r>
            <w:r>
              <w:rPr>
                <w:rFonts w:cs="Arial"/>
                <w:bCs/>
                <w:szCs w:val="14"/>
              </w:rPr>
              <w:t>,</w:t>
            </w:r>
            <w:r w:rsidRPr="00C5580B">
              <w:rPr>
                <w:rFonts w:cs="Arial"/>
                <w:bCs/>
                <w:szCs w:val="14"/>
              </w:rPr>
              <w:t>974</w:t>
            </w:r>
          </w:p>
        </w:tc>
        <w:tc>
          <w:tcPr>
            <w:tcW w:w="1384" w:type="dxa"/>
            <w:shd w:val="clear" w:color="auto" w:fill="auto"/>
          </w:tcPr>
          <w:p w14:paraId="510E3639" w14:textId="77777777" w:rsidR="00AA7F20" w:rsidRPr="00056C3B" w:rsidRDefault="00AA7F20" w:rsidP="00AA7F20">
            <w:pPr>
              <w:pStyle w:val="08-Tabelageral"/>
              <w:ind w:left="113"/>
              <w:rPr>
                <w:rFonts w:cs="Arial"/>
                <w:bCs/>
                <w:szCs w:val="14"/>
              </w:rPr>
            </w:pPr>
            <w:r w:rsidRPr="00C5580B">
              <w:rPr>
                <w:rFonts w:cs="Arial"/>
                <w:bCs/>
                <w:szCs w:val="14"/>
              </w:rPr>
              <w:t>15</w:t>
            </w:r>
            <w:r>
              <w:rPr>
                <w:rFonts w:cs="Arial"/>
                <w:bCs/>
                <w:szCs w:val="14"/>
              </w:rPr>
              <w:t>,</w:t>
            </w:r>
            <w:r w:rsidRPr="00C5580B">
              <w:rPr>
                <w:rFonts w:cs="Arial"/>
                <w:bCs/>
                <w:szCs w:val="14"/>
              </w:rPr>
              <w:t>111</w:t>
            </w:r>
          </w:p>
        </w:tc>
        <w:tc>
          <w:tcPr>
            <w:tcW w:w="1505" w:type="dxa"/>
            <w:shd w:val="clear" w:color="auto" w:fill="auto"/>
          </w:tcPr>
          <w:p w14:paraId="294317D4" w14:textId="77777777" w:rsidR="00AA7F20" w:rsidRPr="00056C3B" w:rsidRDefault="00AA7F20" w:rsidP="00AA7F20">
            <w:pPr>
              <w:pStyle w:val="08-Tabelageral"/>
              <w:ind w:left="113"/>
              <w:rPr>
                <w:rFonts w:cs="Arial"/>
                <w:bCs/>
                <w:szCs w:val="14"/>
              </w:rPr>
            </w:pPr>
            <w:r w:rsidRPr="00C5580B">
              <w:rPr>
                <w:rFonts w:cs="Arial"/>
                <w:bCs/>
                <w:szCs w:val="14"/>
              </w:rPr>
              <w:t>21</w:t>
            </w:r>
            <w:r>
              <w:rPr>
                <w:rFonts w:cs="Arial"/>
                <w:bCs/>
                <w:szCs w:val="14"/>
              </w:rPr>
              <w:t>,</w:t>
            </w:r>
            <w:r w:rsidRPr="00C5580B">
              <w:rPr>
                <w:rFonts w:cs="Arial"/>
                <w:bCs/>
                <w:szCs w:val="14"/>
              </w:rPr>
              <w:t>752</w:t>
            </w:r>
          </w:p>
        </w:tc>
        <w:tc>
          <w:tcPr>
            <w:tcW w:w="1309" w:type="dxa"/>
            <w:shd w:val="clear" w:color="auto" w:fill="auto"/>
          </w:tcPr>
          <w:p w14:paraId="0DF5E1CE" w14:textId="77777777" w:rsidR="00AA7F20" w:rsidRPr="00062947" w:rsidRDefault="00AA7F20" w:rsidP="00AA7F20">
            <w:pPr>
              <w:pStyle w:val="08-Tabelageral"/>
              <w:ind w:left="113"/>
              <w:rPr>
                <w:rFonts w:cs="Arial"/>
                <w:b/>
                <w:szCs w:val="14"/>
              </w:rPr>
            </w:pPr>
            <w:r w:rsidRPr="00C5580B">
              <w:rPr>
                <w:rFonts w:cs="Arial"/>
                <w:b/>
                <w:szCs w:val="14"/>
              </w:rPr>
              <w:t>51</w:t>
            </w:r>
            <w:r>
              <w:rPr>
                <w:rFonts w:cs="Arial"/>
                <w:b/>
                <w:szCs w:val="14"/>
              </w:rPr>
              <w:t>,</w:t>
            </w:r>
            <w:r w:rsidRPr="00C5580B">
              <w:rPr>
                <w:rFonts w:cs="Arial"/>
                <w:b/>
                <w:szCs w:val="14"/>
              </w:rPr>
              <w:t>502</w:t>
            </w:r>
          </w:p>
        </w:tc>
      </w:tr>
      <w:tr w:rsidR="00AA7F20" w:rsidRPr="00810C05" w14:paraId="16348A0E" w14:textId="77777777" w:rsidTr="00AA7F20">
        <w:trPr>
          <w:trHeight w:val="238"/>
        </w:trPr>
        <w:tc>
          <w:tcPr>
            <w:tcW w:w="2629" w:type="dxa"/>
            <w:shd w:val="clear" w:color="auto" w:fill="auto"/>
          </w:tcPr>
          <w:p w14:paraId="5086A1EB" w14:textId="77777777" w:rsidR="00AA7F20" w:rsidRPr="00810C05" w:rsidRDefault="00AA7F20" w:rsidP="00AA7F20">
            <w:pPr>
              <w:pStyle w:val="070-TabelaPadro"/>
              <w:spacing w:line="276" w:lineRule="auto"/>
              <w:jc w:val="left"/>
              <w:rPr>
                <w:b/>
                <w:bCs/>
              </w:rPr>
            </w:pPr>
            <w:r w:rsidRPr="00810C05">
              <w:rPr>
                <w:b/>
                <w:bCs/>
              </w:rPr>
              <w:t>Total Program Shares</w:t>
            </w:r>
          </w:p>
        </w:tc>
        <w:tc>
          <w:tcPr>
            <w:tcW w:w="1388" w:type="dxa"/>
            <w:shd w:val="clear" w:color="auto" w:fill="auto"/>
          </w:tcPr>
          <w:p w14:paraId="57FEA3CA" w14:textId="77777777" w:rsidR="00AA7F20" w:rsidRPr="00810C05" w:rsidRDefault="00AA7F20" w:rsidP="00AA7F20">
            <w:pPr>
              <w:pStyle w:val="08-Tabelageral"/>
              <w:ind w:left="113"/>
              <w:rPr>
                <w:rFonts w:cs="Arial"/>
                <w:b/>
                <w:bCs/>
                <w:szCs w:val="14"/>
              </w:rPr>
            </w:pPr>
            <w:r w:rsidRPr="00C5580B">
              <w:rPr>
                <w:rFonts w:cs="Arial"/>
                <w:b/>
                <w:szCs w:val="14"/>
                <w:lang w:eastAsia="en-US"/>
              </w:rPr>
              <w:t>28</w:t>
            </w:r>
            <w:r>
              <w:rPr>
                <w:rFonts w:cs="Arial"/>
                <w:b/>
                <w:szCs w:val="14"/>
                <w:lang w:eastAsia="en-US"/>
              </w:rPr>
              <w:t>,</w:t>
            </w:r>
            <w:r w:rsidRPr="00C5580B">
              <w:rPr>
                <w:rFonts w:cs="Arial"/>
                <w:b/>
                <w:szCs w:val="14"/>
                <w:lang w:eastAsia="en-US"/>
              </w:rPr>
              <w:t>333</w:t>
            </w:r>
          </w:p>
        </w:tc>
        <w:tc>
          <w:tcPr>
            <w:tcW w:w="1424" w:type="dxa"/>
            <w:shd w:val="clear" w:color="auto" w:fill="auto"/>
          </w:tcPr>
          <w:p w14:paraId="5EDE5A0B" w14:textId="77777777" w:rsidR="00AA7F20" w:rsidRPr="00810C05" w:rsidRDefault="00AA7F20" w:rsidP="00AA7F20">
            <w:pPr>
              <w:pStyle w:val="08-Tabelageral"/>
              <w:ind w:left="113"/>
              <w:rPr>
                <w:rFonts w:cs="Arial"/>
                <w:b/>
                <w:bCs/>
                <w:szCs w:val="14"/>
              </w:rPr>
            </w:pPr>
            <w:r w:rsidRPr="00C5580B">
              <w:rPr>
                <w:rFonts w:cs="Arial"/>
                <w:b/>
                <w:szCs w:val="14"/>
                <w:lang w:eastAsia="en-US"/>
              </w:rPr>
              <w:t>22</w:t>
            </w:r>
            <w:r>
              <w:rPr>
                <w:rFonts w:cs="Arial"/>
                <w:b/>
                <w:szCs w:val="14"/>
                <w:lang w:eastAsia="en-US"/>
              </w:rPr>
              <w:t>,</w:t>
            </w:r>
            <w:r w:rsidRPr="00C5580B">
              <w:rPr>
                <w:rFonts w:cs="Arial"/>
                <w:b/>
                <w:szCs w:val="14"/>
                <w:lang w:eastAsia="en-US"/>
              </w:rPr>
              <w:t>460</w:t>
            </w:r>
          </w:p>
        </w:tc>
        <w:tc>
          <w:tcPr>
            <w:tcW w:w="1384" w:type="dxa"/>
            <w:shd w:val="clear" w:color="auto" w:fill="auto"/>
          </w:tcPr>
          <w:p w14:paraId="133133C9" w14:textId="77777777" w:rsidR="00AA7F20" w:rsidRPr="00810C05" w:rsidRDefault="00AA7F20" w:rsidP="00AA7F20">
            <w:pPr>
              <w:pStyle w:val="08-Tabelageral"/>
              <w:ind w:left="113"/>
              <w:rPr>
                <w:rFonts w:cs="Arial"/>
                <w:b/>
                <w:bCs/>
                <w:szCs w:val="14"/>
              </w:rPr>
            </w:pPr>
            <w:r w:rsidRPr="00C5580B">
              <w:rPr>
                <w:rFonts w:cs="Arial"/>
                <w:b/>
                <w:szCs w:val="14"/>
                <w:lang w:eastAsia="en-US"/>
              </w:rPr>
              <w:t>25</w:t>
            </w:r>
            <w:r>
              <w:rPr>
                <w:rFonts w:cs="Arial"/>
                <w:b/>
                <w:szCs w:val="14"/>
                <w:lang w:eastAsia="en-US"/>
              </w:rPr>
              <w:t>,</w:t>
            </w:r>
            <w:r w:rsidRPr="00C5580B">
              <w:rPr>
                <w:rFonts w:cs="Arial"/>
                <w:b/>
                <w:szCs w:val="14"/>
                <w:lang w:eastAsia="en-US"/>
              </w:rPr>
              <w:t>198</w:t>
            </w:r>
          </w:p>
        </w:tc>
        <w:tc>
          <w:tcPr>
            <w:tcW w:w="1505" w:type="dxa"/>
            <w:shd w:val="clear" w:color="auto" w:fill="auto"/>
          </w:tcPr>
          <w:p w14:paraId="619C6D0D" w14:textId="77777777" w:rsidR="00AA7F20" w:rsidRPr="00810C05" w:rsidRDefault="00AA7F20" w:rsidP="00AA7F20">
            <w:pPr>
              <w:pStyle w:val="08-Tabelageral"/>
              <w:ind w:left="113"/>
              <w:rPr>
                <w:rFonts w:cs="Arial"/>
                <w:b/>
                <w:bCs/>
                <w:szCs w:val="14"/>
              </w:rPr>
            </w:pPr>
            <w:r w:rsidRPr="00C5580B">
              <w:rPr>
                <w:rFonts w:cs="Arial"/>
                <w:b/>
                <w:szCs w:val="14"/>
              </w:rPr>
              <w:t>27</w:t>
            </w:r>
            <w:r>
              <w:rPr>
                <w:rFonts w:cs="Arial"/>
                <w:b/>
                <w:szCs w:val="14"/>
              </w:rPr>
              <w:t>,</w:t>
            </w:r>
            <w:r w:rsidRPr="00C5580B">
              <w:rPr>
                <w:rFonts w:cs="Arial"/>
                <w:b/>
                <w:szCs w:val="14"/>
              </w:rPr>
              <w:t>203</w:t>
            </w:r>
          </w:p>
        </w:tc>
        <w:tc>
          <w:tcPr>
            <w:tcW w:w="1309" w:type="dxa"/>
            <w:shd w:val="clear" w:color="auto" w:fill="auto"/>
          </w:tcPr>
          <w:p w14:paraId="49106D0E" w14:textId="77777777" w:rsidR="00AA7F20" w:rsidRPr="00810C05" w:rsidRDefault="00AA7F20" w:rsidP="00AA7F20">
            <w:pPr>
              <w:pStyle w:val="08-Tabelageral"/>
              <w:ind w:left="113"/>
              <w:rPr>
                <w:rFonts w:cs="Arial"/>
                <w:b/>
                <w:bCs/>
                <w:szCs w:val="14"/>
              </w:rPr>
            </w:pPr>
            <w:r w:rsidRPr="00C5580B">
              <w:rPr>
                <w:rFonts w:cs="Arial"/>
                <w:b/>
                <w:szCs w:val="14"/>
              </w:rPr>
              <w:t>103</w:t>
            </w:r>
            <w:r>
              <w:rPr>
                <w:rFonts w:cs="Arial"/>
                <w:b/>
                <w:szCs w:val="14"/>
              </w:rPr>
              <w:t>,</w:t>
            </w:r>
            <w:r w:rsidRPr="00C5580B">
              <w:rPr>
                <w:rFonts w:cs="Arial"/>
                <w:b/>
                <w:szCs w:val="14"/>
              </w:rPr>
              <w:t>194</w:t>
            </w:r>
          </w:p>
        </w:tc>
      </w:tr>
      <w:tr w:rsidR="00AA7F20" w:rsidRPr="00733251" w14:paraId="56F59B6C" w14:textId="77777777" w:rsidTr="00AA7F20">
        <w:trPr>
          <w:trHeight w:val="238"/>
        </w:trPr>
        <w:tc>
          <w:tcPr>
            <w:tcW w:w="2629" w:type="dxa"/>
            <w:shd w:val="clear" w:color="auto" w:fill="auto"/>
          </w:tcPr>
          <w:p w14:paraId="78A0F800" w14:textId="77777777" w:rsidR="00AA7F20" w:rsidRPr="00A84550" w:rsidRDefault="00AA7F20" w:rsidP="00AA7F20">
            <w:pPr>
              <w:pStyle w:val="070-TabelaPadro"/>
              <w:spacing w:line="276" w:lineRule="auto"/>
              <w:jc w:val="left"/>
              <w:rPr>
                <w:b/>
              </w:rPr>
            </w:pPr>
          </w:p>
        </w:tc>
        <w:tc>
          <w:tcPr>
            <w:tcW w:w="1388" w:type="dxa"/>
            <w:shd w:val="clear" w:color="auto" w:fill="auto"/>
          </w:tcPr>
          <w:p w14:paraId="52570BB0" w14:textId="77777777" w:rsidR="00AA7F20" w:rsidRPr="00E31A92" w:rsidRDefault="00AA7F20" w:rsidP="00AA7F20">
            <w:pPr>
              <w:pStyle w:val="08-Tabelageral"/>
              <w:ind w:left="113"/>
              <w:rPr>
                <w:rFonts w:cs="Arial"/>
                <w:szCs w:val="14"/>
              </w:rPr>
            </w:pPr>
          </w:p>
        </w:tc>
        <w:tc>
          <w:tcPr>
            <w:tcW w:w="1424" w:type="dxa"/>
            <w:shd w:val="clear" w:color="auto" w:fill="auto"/>
          </w:tcPr>
          <w:p w14:paraId="70684A28" w14:textId="77777777" w:rsidR="00AA7F20" w:rsidRPr="00E31A92" w:rsidRDefault="00AA7F20" w:rsidP="00AA7F20">
            <w:pPr>
              <w:pStyle w:val="08-Tabelageral"/>
              <w:ind w:left="113"/>
              <w:rPr>
                <w:rFonts w:cs="Arial"/>
                <w:szCs w:val="14"/>
              </w:rPr>
            </w:pPr>
          </w:p>
        </w:tc>
        <w:tc>
          <w:tcPr>
            <w:tcW w:w="1384" w:type="dxa"/>
            <w:shd w:val="clear" w:color="auto" w:fill="auto"/>
          </w:tcPr>
          <w:p w14:paraId="6BF1DDF5" w14:textId="77777777" w:rsidR="00AA7F20" w:rsidRPr="00E31A92" w:rsidRDefault="00AA7F20" w:rsidP="00AA7F20">
            <w:pPr>
              <w:pStyle w:val="08-Tabelageral"/>
              <w:ind w:left="113"/>
              <w:rPr>
                <w:rFonts w:cs="Arial"/>
                <w:szCs w:val="14"/>
              </w:rPr>
            </w:pPr>
          </w:p>
        </w:tc>
        <w:tc>
          <w:tcPr>
            <w:tcW w:w="1505" w:type="dxa"/>
            <w:shd w:val="clear" w:color="auto" w:fill="auto"/>
          </w:tcPr>
          <w:p w14:paraId="38DD02E8" w14:textId="77777777" w:rsidR="00AA7F20" w:rsidRPr="00090360" w:rsidRDefault="00AA7F20" w:rsidP="00AA7F20">
            <w:pPr>
              <w:pStyle w:val="08-Tabelageral"/>
              <w:ind w:left="113"/>
              <w:rPr>
                <w:rFonts w:cs="Arial"/>
                <w:szCs w:val="14"/>
              </w:rPr>
            </w:pPr>
          </w:p>
        </w:tc>
        <w:tc>
          <w:tcPr>
            <w:tcW w:w="1309" w:type="dxa"/>
            <w:shd w:val="clear" w:color="auto" w:fill="auto"/>
          </w:tcPr>
          <w:p w14:paraId="11C53E59" w14:textId="77777777" w:rsidR="00AA7F20" w:rsidRPr="00E31A92" w:rsidRDefault="00AA7F20" w:rsidP="00AA7F20">
            <w:pPr>
              <w:pStyle w:val="08-Tabelageral"/>
              <w:ind w:left="113"/>
              <w:rPr>
                <w:rFonts w:cs="Arial"/>
                <w:b/>
                <w:szCs w:val="14"/>
              </w:rPr>
            </w:pPr>
          </w:p>
        </w:tc>
      </w:tr>
      <w:tr w:rsidR="00AA7F20" w:rsidRPr="00733251" w14:paraId="02E489E8" w14:textId="77777777" w:rsidTr="00AA7F20">
        <w:trPr>
          <w:trHeight w:val="238"/>
        </w:trPr>
        <w:tc>
          <w:tcPr>
            <w:tcW w:w="2629" w:type="dxa"/>
            <w:shd w:val="clear" w:color="auto" w:fill="auto"/>
          </w:tcPr>
          <w:p w14:paraId="275855D4" w14:textId="77777777" w:rsidR="00AA7F20" w:rsidRPr="00056C3B" w:rsidRDefault="00AA7F20" w:rsidP="00AA7F20">
            <w:pPr>
              <w:pStyle w:val="070-TabelaPadro"/>
              <w:spacing w:line="276" w:lineRule="auto"/>
              <w:ind w:left="-108"/>
              <w:jc w:val="left"/>
              <w:rPr>
                <w:bCs/>
              </w:rPr>
            </w:pPr>
            <w:r w:rsidRPr="00B14041">
              <w:t>Minimum</w:t>
            </w:r>
            <w:r>
              <w:t xml:space="preserve"> cost</w:t>
            </w:r>
          </w:p>
        </w:tc>
        <w:tc>
          <w:tcPr>
            <w:tcW w:w="1388" w:type="dxa"/>
            <w:shd w:val="clear" w:color="auto" w:fill="auto"/>
          </w:tcPr>
          <w:p w14:paraId="02E16675" w14:textId="77777777" w:rsidR="00AA7F20" w:rsidRPr="00E31A92" w:rsidRDefault="00AA7F20" w:rsidP="00AA7F20">
            <w:pPr>
              <w:pStyle w:val="08-Tabelageral"/>
              <w:ind w:left="113"/>
              <w:rPr>
                <w:rFonts w:cs="Arial"/>
                <w:b/>
                <w:szCs w:val="14"/>
              </w:rPr>
            </w:pPr>
            <w:r w:rsidRPr="0079602B">
              <w:rPr>
                <w:rFonts w:cs="Arial"/>
                <w:szCs w:val="14"/>
                <w:lang w:eastAsia="en-US"/>
              </w:rPr>
              <w:t>31</w:t>
            </w:r>
            <w:r>
              <w:rPr>
                <w:rFonts w:cs="Arial"/>
                <w:szCs w:val="14"/>
                <w:lang w:eastAsia="en-US"/>
              </w:rPr>
              <w:t>.</w:t>
            </w:r>
            <w:r w:rsidRPr="0079602B">
              <w:rPr>
                <w:rFonts w:cs="Arial"/>
                <w:szCs w:val="14"/>
                <w:lang w:eastAsia="en-US"/>
              </w:rPr>
              <w:t>93</w:t>
            </w:r>
          </w:p>
        </w:tc>
        <w:tc>
          <w:tcPr>
            <w:tcW w:w="1424" w:type="dxa"/>
            <w:shd w:val="clear" w:color="auto" w:fill="auto"/>
          </w:tcPr>
          <w:p w14:paraId="1C245213" w14:textId="77777777" w:rsidR="00AA7F20" w:rsidRPr="00E31A92" w:rsidRDefault="00AA7F20" w:rsidP="00AA7F20">
            <w:pPr>
              <w:pStyle w:val="08-Tabelageral"/>
              <w:ind w:left="113"/>
              <w:rPr>
                <w:rFonts w:cs="Arial"/>
                <w:b/>
                <w:szCs w:val="14"/>
              </w:rPr>
            </w:pPr>
            <w:r w:rsidRPr="00C5580B">
              <w:rPr>
                <w:rFonts w:cs="Arial"/>
                <w:szCs w:val="14"/>
                <w:lang w:eastAsia="en-US"/>
              </w:rPr>
              <w:t>24</w:t>
            </w:r>
            <w:r>
              <w:rPr>
                <w:rFonts w:cs="Arial"/>
                <w:szCs w:val="14"/>
                <w:lang w:eastAsia="en-US"/>
              </w:rPr>
              <w:t>.</w:t>
            </w:r>
            <w:r w:rsidRPr="00C5580B">
              <w:rPr>
                <w:rFonts w:cs="Arial"/>
                <w:szCs w:val="14"/>
                <w:lang w:eastAsia="en-US"/>
              </w:rPr>
              <w:t>37</w:t>
            </w:r>
          </w:p>
        </w:tc>
        <w:tc>
          <w:tcPr>
            <w:tcW w:w="1384" w:type="dxa"/>
            <w:shd w:val="clear" w:color="auto" w:fill="auto"/>
          </w:tcPr>
          <w:p w14:paraId="386D65E4" w14:textId="77777777" w:rsidR="00AA7F20" w:rsidRPr="00E31A92" w:rsidRDefault="00AA7F20" w:rsidP="00AA7F20">
            <w:pPr>
              <w:pStyle w:val="08-Tabelageral"/>
              <w:ind w:left="113"/>
              <w:rPr>
                <w:rFonts w:cs="Arial"/>
                <w:b/>
                <w:szCs w:val="14"/>
              </w:rPr>
            </w:pPr>
            <w:r w:rsidRPr="00C5580B">
              <w:rPr>
                <w:rFonts w:cs="Arial"/>
                <w:bCs/>
                <w:szCs w:val="14"/>
              </w:rPr>
              <w:t>26</w:t>
            </w:r>
            <w:r>
              <w:rPr>
                <w:rFonts w:cs="Arial"/>
                <w:bCs/>
                <w:szCs w:val="14"/>
              </w:rPr>
              <w:t>.</w:t>
            </w:r>
            <w:r w:rsidRPr="00C5580B">
              <w:rPr>
                <w:rFonts w:cs="Arial"/>
                <w:bCs/>
                <w:szCs w:val="14"/>
              </w:rPr>
              <w:t>12</w:t>
            </w:r>
          </w:p>
        </w:tc>
        <w:tc>
          <w:tcPr>
            <w:tcW w:w="1505" w:type="dxa"/>
            <w:shd w:val="clear" w:color="auto" w:fill="auto"/>
          </w:tcPr>
          <w:p w14:paraId="57EAB524" w14:textId="77777777" w:rsidR="00AA7F20" w:rsidRPr="00E31A92" w:rsidRDefault="00AA7F20" w:rsidP="00AA7F20">
            <w:pPr>
              <w:pStyle w:val="08-Tabelageral"/>
              <w:ind w:left="113"/>
              <w:rPr>
                <w:rFonts w:cs="Arial"/>
                <w:b/>
                <w:szCs w:val="14"/>
              </w:rPr>
            </w:pPr>
            <w:r w:rsidRPr="00C5580B">
              <w:rPr>
                <w:rFonts w:cs="Arial"/>
                <w:b/>
                <w:szCs w:val="14"/>
              </w:rPr>
              <w:t>34</w:t>
            </w:r>
            <w:r>
              <w:rPr>
                <w:rFonts w:cs="Arial"/>
                <w:b/>
                <w:szCs w:val="14"/>
              </w:rPr>
              <w:t>.</w:t>
            </w:r>
            <w:r w:rsidRPr="00C5580B">
              <w:rPr>
                <w:rFonts w:cs="Arial"/>
                <w:b/>
                <w:szCs w:val="14"/>
              </w:rPr>
              <w:t>87</w:t>
            </w:r>
          </w:p>
        </w:tc>
        <w:tc>
          <w:tcPr>
            <w:tcW w:w="1309" w:type="dxa"/>
            <w:shd w:val="clear" w:color="auto" w:fill="auto"/>
          </w:tcPr>
          <w:p w14:paraId="623413B2" w14:textId="77777777" w:rsidR="00AA7F20" w:rsidRPr="00AC6F81" w:rsidRDefault="00AA7F20" w:rsidP="00AA7F20">
            <w:pPr>
              <w:pStyle w:val="08-Tabelageral"/>
              <w:ind w:left="113"/>
              <w:rPr>
                <w:rFonts w:cs="Arial"/>
                <w:b/>
                <w:szCs w:val="14"/>
              </w:rPr>
            </w:pPr>
            <w:r w:rsidRPr="00C5580B">
              <w:rPr>
                <w:rFonts w:cs="Arial"/>
                <w:bCs/>
                <w:szCs w:val="14"/>
                <w:lang w:eastAsia="en-US"/>
              </w:rPr>
              <w:t>--</w:t>
            </w:r>
          </w:p>
        </w:tc>
      </w:tr>
      <w:tr w:rsidR="00AA7F20" w:rsidRPr="00733251" w14:paraId="110F4021" w14:textId="77777777" w:rsidTr="00AA7F20">
        <w:trPr>
          <w:trHeight w:val="238"/>
        </w:trPr>
        <w:tc>
          <w:tcPr>
            <w:tcW w:w="2629" w:type="dxa"/>
            <w:tcBorders>
              <w:bottom w:val="nil"/>
            </w:tcBorders>
            <w:shd w:val="clear" w:color="auto" w:fill="auto"/>
            <w:vAlign w:val="center"/>
          </w:tcPr>
          <w:p w14:paraId="148B2E86" w14:textId="77777777" w:rsidR="00AA7F20" w:rsidRPr="00056C3B" w:rsidRDefault="00AA7F20" w:rsidP="00AA7F20">
            <w:pPr>
              <w:pStyle w:val="070-TabelaPadro"/>
              <w:spacing w:line="276" w:lineRule="auto"/>
              <w:ind w:left="-108"/>
              <w:jc w:val="left"/>
              <w:rPr>
                <w:bCs/>
              </w:rPr>
            </w:pPr>
            <w:r>
              <w:t>Averege</w:t>
            </w:r>
            <w:r w:rsidRPr="00B14041">
              <w:t xml:space="preserve"> cost</w:t>
            </w:r>
          </w:p>
        </w:tc>
        <w:tc>
          <w:tcPr>
            <w:tcW w:w="1388" w:type="dxa"/>
            <w:tcBorders>
              <w:bottom w:val="nil"/>
            </w:tcBorders>
            <w:shd w:val="clear" w:color="auto" w:fill="auto"/>
          </w:tcPr>
          <w:p w14:paraId="3A8488B9" w14:textId="77777777" w:rsidR="00AA7F20" w:rsidRPr="00E31A92" w:rsidRDefault="00AA7F20" w:rsidP="00AA7F20">
            <w:pPr>
              <w:pStyle w:val="08-Tabelageral"/>
              <w:ind w:left="113"/>
              <w:rPr>
                <w:rFonts w:cs="Arial"/>
                <w:szCs w:val="14"/>
              </w:rPr>
            </w:pPr>
            <w:r w:rsidRPr="0079602B">
              <w:rPr>
                <w:rFonts w:cs="Arial"/>
                <w:szCs w:val="14"/>
                <w:lang w:eastAsia="en-US"/>
              </w:rPr>
              <w:t>31</w:t>
            </w:r>
            <w:r>
              <w:rPr>
                <w:rFonts w:cs="Arial"/>
                <w:szCs w:val="14"/>
                <w:lang w:eastAsia="en-US"/>
              </w:rPr>
              <w:t>.</w:t>
            </w:r>
            <w:r w:rsidRPr="0079602B">
              <w:rPr>
                <w:rFonts w:cs="Arial"/>
                <w:szCs w:val="14"/>
                <w:lang w:eastAsia="en-US"/>
              </w:rPr>
              <w:t>93</w:t>
            </w:r>
          </w:p>
        </w:tc>
        <w:tc>
          <w:tcPr>
            <w:tcW w:w="1424" w:type="dxa"/>
            <w:tcBorders>
              <w:bottom w:val="nil"/>
            </w:tcBorders>
            <w:shd w:val="clear" w:color="auto" w:fill="auto"/>
          </w:tcPr>
          <w:p w14:paraId="097DFAFA" w14:textId="77777777" w:rsidR="00AA7F20" w:rsidRPr="00E31A92" w:rsidRDefault="00AA7F20" w:rsidP="00AA7F20">
            <w:pPr>
              <w:pStyle w:val="08-Tabelageral"/>
              <w:ind w:left="113"/>
              <w:rPr>
                <w:rFonts w:cs="Arial"/>
                <w:szCs w:val="14"/>
              </w:rPr>
            </w:pPr>
            <w:r w:rsidRPr="00C5580B">
              <w:rPr>
                <w:rFonts w:cs="Arial"/>
                <w:szCs w:val="14"/>
                <w:lang w:eastAsia="en-US"/>
              </w:rPr>
              <w:t>24</w:t>
            </w:r>
            <w:r>
              <w:rPr>
                <w:rFonts w:cs="Arial"/>
                <w:szCs w:val="14"/>
                <w:lang w:eastAsia="en-US"/>
              </w:rPr>
              <w:t>.</w:t>
            </w:r>
            <w:r w:rsidRPr="00C5580B">
              <w:rPr>
                <w:rFonts w:cs="Arial"/>
                <w:szCs w:val="14"/>
                <w:lang w:eastAsia="en-US"/>
              </w:rPr>
              <w:t>37</w:t>
            </w:r>
          </w:p>
        </w:tc>
        <w:tc>
          <w:tcPr>
            <w:tcW w:w="1384" w:type="dxa"/>
            <w:tcBorders>
              <w:bottom w:val="nil"/>
            </w:tcBorders>
            <w:shd w:val="clear" w:color="auto" w:fill="auto"/>
          </w:tcPr>
          <w:p w14:paraId="4111ED29" w14:textId="77777777" w:rsidR="00AA7F20" w:rsidRPr="00E31A92" w:rsidRDefault="00AA7F20" w:rsidP="00AA7F20">
            <w:pPr>
              <w:pStyle w:val="08-Tabelageral"/>
              <w:ind w:left="113"/>
              <w:rPr>
                <w:rFonts w:cs="Arial"/>
                <w:szCs w:val="14"/>
              </w:rPr>
            </w:pPr>
            <w:r w:rsidRPr="00C5580B">
              <w:rPr>
                <w:rFonts w:cs="Arial"/>
                <w:szCs w:val="14"/>
              </w:rPr>
              <w:t>26</w:t>
            </w:r>
            <w:r>
              <w:rPr>
                <w:rFonts w:cs="Arial"/>
                <w:szCs w:val="14"/>
              </w:rPr>
              <w:t>.</w:t>
            </w:r>
            <w:r w:rsidRPr="00C5580B">
              <w:rPr>
                <w:rFonts w:cs="Arial"/>
                <w:szCs w:val="14"/>
              </w:rPr>
              <w:t>12</w:t>
            </w:r>
          </w:p>
        </w:tc>
        <w:tc>
          <w:tcPr>
            <w:tcW w:w="1505" w:type="dxa"/>
            <w:tcBorders>
              <w:bottom w:val="nil"/>
            </w:tcBorders>
            <w:shd w:val="clear" w:color="auto" w:fill="auto"/>
          </w:tcPr>
          <w:p w14:paraId="67C41B67" w14:textId="77777777" w:rsidR="00AA7F20" w:rsidRPr="00E31A92" w:rsidRDefault="00AA7F20" w:rsidP="00AA7F20">
            <w:pPr>
              <w:pStyle w:val="08-Tabelageral"/>
              <w:ind w:left="113"/>
              <w:rPr>
                <w:rFonts w:cs="Arial"/>
                <w:szCs w:val="14"/>
              </w:rPr>
            </w:pPr>
            <w:r w:rsidRPr="00C5580B">
              <w:rPr>
                <w:rFonts w:cs="Arial"/>
                <w:szCs w:val="14"/>
              </w:rPr>
              <w:t>34</w:t>
            </w:r>
            <w:r>
              <w:rPr>
                <w:rFonts w:cs="Arial"/>
                <w:szCs w:val="14"/>
              </w:rPr>
              <w:t>.</w:t>
            </w:r>
            <w:r w:rsidRPr="00C5580B">
              <w:rPr>
                <w:rFonts w:cs="Arial"/>
                <w:szCs w:val="14"/>
              </w:rPr>
              <w:t>87</w:t>
            </w:r>
          </w:p>
        </w:tc>
        <w:tc>
          <w:tcPr>
            <w:tcW w:w="1309" w:type="dxa"/>
            <w:tcBorders>
              <w:bottom w:val="nil"/>
            </w:tcBorders>
            <w:shd w:val="clear" w:color="auto" w:fill="auto"/>
          </w:tcPr>
          <w:p w14:paraId="695C32A1" w14:textId="77777777" w:rsidR="00AA7F20" w:rsidRPr="00AC6F81" w:rsidRDefault="00AA7F20" w:rsidP="00AA7F20">
            <w:pPr>
              <w:pStyle w:val="08-Tabelageral"/>
              <w:ind w:left="113"/>
              <w:rPr>
                <w:rFonts w:cs="Arial"/>
                <w:b/>
                <w:szCs w:val="14"/>
              </w:rPr>
            </w:pPr>
            <w:r w:rsidRPr="00C5580B">
              <w:rPr>
                <w:rFonts w:cs="Arial"/>
                <w:bCs/>
                <w:szCs w:val="14"/>
                <w:lang w:eastAsia="en-US"/>
              </w:rPr>
              <w:t>--</w:t>
            </w:r>
          </w:p>
        </w:tc>
      </w:tr>
      <w:tr w:rsidR="00AA7F20" w:rsidRPr="00733251" w14:paraId="5567FEF8" w14:textId="77777777" w:rsidTr="00AA7F20">
        <w:trPr>
          <w:trHeight w:val="238"/>
        </w:trPr>
        <w:tc>
          <w:tcPr>
            <w:tcW w:w="2629" w:type="dxa"/>
            <w:tcBorders>
              <w:top w:val="nil"/>
              <w:bottom w:val="single" w:sz="2" w:space="0" w:color="1F4E79" w:themeColor="accent1" w:themeShade="80"/>
            </w:tcBorders>
            <w:shd w:val="clear" w:color="auto" w:fill="auto"/>
          </w:tcPr>
          <w:p w14:paraId="111BEC36" w14:textId="77777777" w:rsidR="00AA7F20" w:rsidRPr="00056C3B" w:rsidRDefault="00AA7F20" w:rsidP="00AA7F20">
            <w:pPr>
              <w:pStyle w:val="070-TabelaPadro"/>
              <w:spacing w:line="276" w:lineRule="auto"/>
              <w:ind w:left="-108"/>
              <w:jc w:val="left"/>
              <w:rPr>
                <w:bCs/>
              </w:rPr>
            </w:pPr>
            <w:r>
              <w:t>Max</w:t>
            </w:r>
            <w:r w:rsidRPr="00B14041">
              <w:t>imum cost</w:t>
            </w:r>
          </w:p>
        </w:tc>
        <w:tc>
          <w:tcPr>
            <w:tcW w:w="1388" w:type="dxa"/>
            <w:tcBorders>
              <w:top w:val="nil"/>
              <w:bottom w:val="single" w:sz="2" w:space="0" w:color="1F4E79" w:themeColor="accent1" w:themeShade="80"/>
            </w:tcBorders>
            <w:shd w:val="clear" w:color="auto" w:fill="auto"/>
          </w:tcPr>
          <w:p w14:paraId="77418C43" w14:textId="77777777" w:rsidR="00AA7F20" w:rsidRPr="00E31A92" w:rsidRDefault="00AA7F20" w:rsidP="00AA7F20">
            <w:pPr>
              <w:pStyle w:val="08-Tabelageral"/>
              <w:ind w:left="113"/>
              <w:rPr>
                <w:rFonts w:cs="Arial"/>
                <w:szCs w:val="14"/>
              </w:rPr>
            </w:pPr>
            <w:r w:rsidRPr="0079602B">
              <w:rPr>
                <w:rFonts w:cs="Arial"/>
                <w:szCs w:val="14"/>
                <w:lang w:eastAsia="en-US"/>
              </w:rPr>
              <w:t>31</w:t>
            </w:r>
            <w:r>
              <w:rPr>
                <w:rFonts w:cs="Arial"/>
                <w:szCs w:val="14"/>
                <w:lang w:eastAsia="en-US"/>
              </w:rPr>
              <w:t>.</w:t>
            </w:r>
            <w:r w:rsidRPr="0079602B">
              <w:rPr>
                <w:rFonts w:cs="Arial"/>
                <w:szCs w:val="14"/>
                <w:lang w:eastAsia="en-US"/>
              </w:rPr>
              <w:t>93</w:t>
            </w:r>
          </w:p>
        </w:tc>
        <w:tc>
          <w:tcPr>
            <w:tcW w:w="1424" w:type="dxa"/>
            <w:tcBorders>
              <w:top w:val="nil"/>
              <w:bottom w:val="single" w:sz="2" w:space="0" w:color="1F4E79" w:themeColor="accent1" w:themeShade="80"/>
            </w:tcBorders>
            <w:shd w:val="clear" w:color="auto" w:fill="auto"/>
          </w:tcPr>
          <w:p w14:paraId="28AECC78" w14:textId="77777777" w:rsidR="00AA7F20" w:rsidRPr="00E31A92" w:rsidRDefault="00AA7F20" w:rsidP="00AA7F20">
            <w:pPr>
              <w:pStyle w:val="08-Tabelageral"/>
              <w:ind w:left="113"/>
              <w:rPr>
                <w:rFonts w:cs="Arial"/>
                <w:szCs w:val="14"/>
              </w:rPr>
            </w:pPr>
            <w:r w:rsidRPr="00C5580B">
              <w:rPr>
                <w:rFonts w:cs="Arial"/>
                <w:szCs w:val="14"/>
                <w:lang w:eastAsia="en-US"/>
              </w:rPr>
              <w:t>24</w:t>
            </w:r>
            <w:r>
              <w:rPr>
                <w:rFonts w:cs="Arial"/>
                <w:szCs w:val="14"/>
                <w:lang w:eastAsia="en-US"/>
              </w:rPr>
              <w:t>.</w:t>
            </w:r>
            <w:r w:rsidRPr="00C5580B">
              <w:rPr>
                <w:rFonts w:cs="Arial"/>
                <w:szCs w:val="14"/>
                <w:lang w:eastAsia="en-US"/>
              </w:rPr>
              <w:t>37</w:t>
            </w:r>
          </w:p>
        </w:tc>
        <w:tc>
          <w:tcPr>
            <w:tcW w:w="1384" w:type="dxa"/>
            <w:tcBorders>
              <w:top w:val="nil"/>
              <w:bottom w:val="single" w:sz="2" w:space="0" w:color="1F4E79" w:themeColor="accent1" w:themeShade="80"/>
            </w:tcBorders>
            <w:shd w:val="clear" w:color="auto" w:fill="auto"/>
          </w:tcPr>
          <w:p w14:paraId="54E6E13F" w14:textId="77777777" w:rsidR="00AA7F20" w:rsidRPr="00E31A92" w:rsidRDefault="00AA7F20" w:rsidP="00AA7F20">
            <w:pPr>
              <w:pStyle w:val="08-Tabelageral"/>
              <w:ind w:left="113"/>
              <w:rPr>
                <w:rFonts w:cs="Arial"/>
                <w:szCs w:val="14"/>
              </w:rPr>
            </w:pPr>
            <w:r w:rsidRPr="00C5580B">
              <w:rPr>
                <w:rFonts w:cs="Arial"/>
                <w:szCs w:val="14"/>
              </w:rPr>
              <w:t>26</w:t>
            </w:r>
            <w:r>
              <w:rPr>
                <w:rFonts w:cs="Arial"/>
                <w:szCs w:val="14"/>
              </w:rPr>
              <w:t>.</w:t>
            </w:r>
            <w:r w:rsidRPr="00C5580B">
              <w:rPr>
                <w:rFonts w:cs="Arial"/>
                <w:szCs w:val="14"/>
              </w:rPr>
              <w:t>12</w:t>
            </w:r>
          </w:p>
        </w:tc>
        <w:tc>
          <w:tcPr>
            <w:tcW w:w="1505" w:type="dxa"/>
            <w:tcBorders>
              <w:top w:val="nil"/>
              <w:bottom w:val="single" w:sz="2" w:space="0" w:color="1F4E79" w:themeColor="accent1" w:themeShade="80"/>
            </w:tcBorders>
            <w:shd w:val="clear" w:color="auto" w:fill="auto"/>
          </w:tcPr>
          <w:p w14:paraId="385C1CEE" w14:textId="77777777" w:rsidR="00AA7F20" w:rsidRPr="00E31A92" w:rsidRDefault="00AA7F20" w:rsidP="00AA7F20">
            <w:pPr>
              <w:pStyle w:val="08-Tabelageral"/>
              <w:ind w:left="113"/>
              <w:rPr>
                <w:rFonts w:cs="Arial"/>
                <w:szCs w:val="14"/>
              </w:rPr>
            </w:pPr>
            <w:r w:rsidRPr="00C5580B">
              <w:rPr>
                <w:rFonts w:cs="Arial"/>
                <w:szCs w:val="14"/>
              </w:rPr>
              <w:t>34</w:t>
            </w:r>
            <w:r>
              <w:rPr>
                <w:rFonts w:cs="Arial"/>
                <w:szCs w:val="14"/>
              </w:rPr>
              <w:t>.</w:t>
            </w:r>
            <w:r w:rsidRPr="00C5580B">
              <w:rPr>
                <w:rFonts w:cs="Arial"/>
                <w:szCs w:val="14"/>
              </w:rPr>
              <w:t>87</w:t>
            </w:r>
          </w:p>
        </w:tc>
        <w:tc>
          <w:tcPr>
            <w:tcW w:w="1309" w:type="dxa"/>
            <w:tcBorders>
              <w:top w:val="nil"/>
              <w:bottom w:val="single" w:sz="2" w:space="0" w:color="1F4E79" w:themeColor="accent1" w:themeShade="80"/>
            </w:tcBorders>
            <w:shd w:val="clear" w:color="auto" w:fill="auto"/>
          </w:tcPr>
          <w:p w14:paraId="40CEB7A5" w14:textId="77777777" w:rsidR="00AA7F20" w:rsidRPr="00AC6F81" w:rsidRDefault="00AA7F20" w:rsidP="00AA7F20">
            <w:pPr>
              <w:pStyle w:val="08-Tabelageral"/>
              <w:ind w:left="113"/>
              <w:rPr>
                <w:rFonts w:cs="Arial"/>
                <w:b/>
                <w:szCs w:val="14"/>
              </w:rPr>
            </w:pPr>
            <w:r w:rsidRPr="00C5580B">
              <w:rPr>
                <w:rFonts w:cs="Arial"/>
                <w:bCs/>
                <w:szCs w:val="14"/>
                <w:lang w:eastAsia="en-US"/>
              </w:rPr>
              <w:t>--</w:t>
            </w:r>
          </w:p>
        </w:tc>
      </w:tr>
    </w:tbl>
    <w:p w14:paraId="11AD5B9E" w14:textId="77777777" w:rsidR="00AA7F20" w:rsidRDefault="00AA7F20" w:rsidP="00AA7F20">
      <w:pPr>
        <w:pStyle w:val="01-TtulodeNota"/>
        <w:shd w:val="clear" w:color="auto" w:fill="FFFFFF" w:themeFill="background1"/>
        <w:rPr>
          <w:color w:val="1F4E79" w:themeColor="accent1" w:themeShade="80"/>
        </w:rPr>
      </w:pP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AA7F20" w:rsidRPr="009E6BBD" w14:paraId="23B3AABA" w14:textId="77777777" w:rsidTr="00AA7F20">
        <w:trPr>
          <w:gridAfter w:val="1"/>
          <w:wAfter w:w="12" w:type="dxa"/>
          <w:trHeight w:val="238"/>
        </w:trPr>
        <w:tc>
          <w:tcPr>
            <w:tcW w:w="9627" w:type="dxa"/>
            <w:gridSpan w:val="7"/>
            <w:tcBorders>
              <w:top w:val="single" w:sz="4" w:space="0" w:color="1F4E79" w:themeColor="accent1" w:themeShade="80"/>
              <w:bottom w:val="single" w:sz="4" w:space="0" w:color="1F4E79" w:themeColor="accent1" w:themeShade="80"/>
            </w:tcBorders>
            <w:shd w:val="clear" w:color="auto" w:fill="auto"/>
          </w:tcPr>
          <w:p w14:paraId="42A088FA" w14:textId="77777777" w:rsidR="00AA7F20" w:rsidRPr="009E6BBD" w:rsidRDefault="00AA7F20" w:rsidP="00AA7F20">
            <w:pPr>
              <w:pStyle w:val="08-Tabelageral"/>
              <w:ind w:left="113"/>
              <w:jc w:val="center"/>
              <w:rPr>
                <w:b/>
                <w:bCs/>
              </w:rPr>
            </w:pPr>
            <w:r w:rsidRPr="009E6BBD">
              <w:rPr>
                <w:b/>
                <w:bCs/>
              </w:rPr>
              <w:t>Estimated Schedule Transfers</w:t>
            </w:r>
          </w:p>
        </w:tc>
      </w:tr>
      <w:tr w:rsidR="00AA7F20" w:rsidRPr="00733251" w14:paraId="36660F60" w14:textId="77777777" w:rsidTr="00AA7F20">
        <w:trPr>
          <w:trHeight w:val="238"/>
        </w:trPr>
        <w:tc>
          <w:tcPr>
            <w:tcW w:w="2217" w:type="dxa"/>
            <w:tcBorders>
              <w:top w:val="single" w:sz="4" w:space="0" w:color="8EAADB" w:themeColor="accent5" w:themeTint="99"/>
            </w:tcBorders>
            <w:shd w:val="clear" w:color="auto" w:fill="auto"/>
          </w:tcPr>
          <w:p w14:paraId="3EA9551F" w14:textId="77777777" w:rsidR="00AA7F20" w:rsidRPr="00733251" w:rsidRDefault="00AA7F20" w:rsidP="00AA7F20">
            <w:pPr>
              <w:pStyle w:val="070-TabelaPadro"/>
              <w:spacing w:line="276" w:lineRule="auto"/>
              <w:jc w:val="left"/>
            </w:pPr>
          </w:p>
        </w:tc>
        <w:tc>
          <w:tcPr>
            <w:tcW w:w="1095" w:type="dxa"/>
            <w:tcBorders>
              <w:top w:val="single" w:sz="4" w:space="0" w:color="8EAADB" w:themeColor="accent5" w:themeTint="99"/>
            </w:tcBorders>
            <w:shd w:val="clear" w:color="auto" w:fill="auto"/>
          </w:tcPr>
          <w:p w14:paraId="01335EE8" w14:textId="77777777" w:rsidR="00AA7F20" w:rsidRPr="00E1087E" w:rsidRDefault="00AA7F20" w:rsidP="00AA7F20">
            <w:pPr>
              <w:pStyle w:val="08-Tabelageral"/>
              <w:ind w:left="113"/>
              <w:rPr>
                <w:rFonts w:cs="Arial"/>
                <w:b/>
                <w:bCs/>
                <w:szCs w:val="14"/>
              </w:rPr>
            </w:pPr>
            <w:r w:rsidRPr="00E1087E">
              <w:rPr>
                <w:rFonts w:cs="Arial"/>
                <w:b/>
                <w:bCs/>
                <w:szCs w:val="14"/>
              </w:rPr>
              <w:t>Per</w:t>
            </w:r>
            <w:r>
              <w:rPr>
                <w:rFonts w:cs="Arial"/>
                <w:b/>
                <w:bCs/>
                <w:szCs w:val="14"/>
              </w:rPr>
              <w:t>i</w:t>
            </w:r>
            <w:r w:rsidRPr="00E1087E">
              <w:rPr>
                <w:rFonts w:cs="Arial"/>
                <w:b/>
                <w:bCs/>
                <w:szCs w:val="14"/>
              </w:rPr>
              <w:t>o</w:t>
            </w:r>
            <w:r>
              <w:rPr>
                <w:rFonts w:cs="Arial"/>
                <w:b/>
                <w:bCs/>
                <w:szCs w:val="14"/>
              </w:rPr>
              <w:t>d</w:t>
            </w:r>
          </w:p>
        </w:tc>
        <w:tc>
          <w:tcPr>
            <w:tcW w:w="1296" w:type="dxa"/>
            <w:tcBorders>
              <w:top w:val="single" w:sz="4" w:space="0" w:color="8EAADB" w:themeColor="accent5" w:themeTint="99"/>
            </w:tcBorders>
            <w:shd w:val="clear" w:color="auto" w:fill="auto"/>
          </w:tcPr>
          <w:p w14:paraId="2ACC9930" w14:textId="77777777" w:rsidR="00AA7F20" w:rsidRPr="00E31A92" w:rsidRDefault="00AA7F20" w:rsidP="00AA7F20">
            <w:pPr>
              <w:pStyle w:val="08-Tabelageral"/>
              <w:ind w:left="113"/>
              <w:rPr>
                <w:rFonts w:cs="Arial"/>
                <w:szCs w:val="14"/>
              </w:rPr>
            </w:pPr>
            <w:r w:rsidRPr="0093782B">
              <w:rPr>
                <w:b/>
              </w:rPr>
              <w:t>201</w:t>
            </w:r>
            <w:r>
              <w:rPr>
                <w:b/>
              </w:rPr>
              <w:t>9</w:t>
            </w:r>
            <w:r w:rsidRPr="0093782B">
              <w:rPr>
                <w:b/>
              </w:rPr>
              <w:t xml:space="preserve"> Program</w:t>
            </w:r>
          </w:p>
        </w:tc>
        <w:tc>
          <w:tcPr>
            <w:tcW w:w="1297" w:type="dxa"/>
            <w:tcBorders>
              <w:top w:val="single" w:sz="4" w:space="0" w:color="8EAADB" w:themeColor="accent5" w:themeTint="99"/>
            </w:tcBorders>
            <w:shd w:val="clear" w:color="auto" w:fill="auto"/>
          </w:tcPr>
          <w:p w14:paraId="061D950B" w14:textId="77777777" w:rsidR="00AA7F20" w:rsidRPr="00E31A92" w:rsidRDefault="00AA7F20" w:rsidP="00AA7F20">
            <w:pPr>
              <w:pStyle w:val="08-Tabelageral"/>
              <w:ind w:left="113"/>
              <w:rPr>
                <w:rFonts w:cs="Arial"/>
                <w:szCs w:val="14"/>
              </w:rPr>
            </w:pPr>
            <w:r w:rsidRPr="0093782B">
              <w:rPr>
                <w:b/>
              </w:rPr>
              <w:t>20</w:t>
            </w:r>
            <w:r>
              <w:rPr>
                <w:b/>
              </w:rPr>
              <w:t xml:space="preserve">20 </w:t>
            </w:r>
            <w:r w:rsidRPr="0093782B">
              <w:rPr>
                <w:b/>
              </w:rPr>
              <w:t>Program</w:t>
            </w:r>
          </w:p>
        </w:tc>
        <w:tc>
          <w:tcPr>
            <w:tcW w:w="1297" w:type="dxa"/>
            <w:tcBorders>
              <w:top w:val="single" w:sz="4" w:space="0" w:color="8EAADB" w:themeColor="accent5" w:themeTint="99"/>
            </w:tcBorders>
            <w:shd w:val="clear" w:color="auto" w:fill="auto"/>
          </w:tcPr>
          <w:p w14:paraId="37EB745E" w14:textId="77777777" w:rsidR="00AA7F20" w:rsidRPr="00E31A92" w:rsidRDefault="00AA7F20" w:rsidP="00AA7F20">
            <w:pPr>
              <w:pStyle w:val="08-Tabelageral"/>
              <w:ind w:left="113"/>
              <w:rPr>
                <w:rFonts w:cs="Arial"/>
                <w:szCs w:val="14"/>
              </w:rPr>
            </w:pPr>
            <w:r w:rsidRPr="0093782B">
              <w:rPr>
                <w:b/>
              </w:rPr>
              <w:t>20</w:t>
            </w:r>
            <w:r>
              <w:rPr>
                <w:b/>
              </w:rPr>
              <w:t>21</w:t>
            </w:r>
            <w:r w:rsidRPr="0093782B">
              <w:rPr>
                <w:b/>
              </w:rPr>
              <w:t xml:space="preserve"> Program</w:t>
            </w:r>
          </w:p>
        </w:tc>
        <w:tc>
          <w:tcPr>
            <w:tcW w:w="1297" w:type="dxa"/>
            <w:tcBorders>
              <w:top w:val="single" w:sz="4" w:space="0" w:color="8EAADB" w:themeColor="accent5" w:themeTint="99"/>
            </w:tcBorders>
            <w:shd w:val="clear" w:color="auto" w:fill="auto"/>
          </w:tcPr>
          <w:p w14:paraId="5EDC002B" w14:textId="77777777" w:rsidR="00AA7F20" w:rsidRPr="00E31A92" w:rsidRDefault="00AA7F20" w:rsidP="00AA7F20">
            <w:pPr>
              <w:pStyle w:val="08-Tabelageral"/>
              <w:ind w:left="113"/>
              <w:rPr>
                <w:rFonts w:cs="Arial"/>
                <w:szCs w:val="14"/>
              </w:rPr>
            </w:pPr>
            <w:r w:rsidRPr="0093782B">
              <w:rPr>
                <w:b/>
              </w:rPr>
              <w:t>202</w:t>
            </w:r>
            <w:r>
              <w:rPr>
                <w:b/>
              </w:rPr>
              <w:t>2</w:t>
            </w:r>
            <w:r w:rsidRPr="0093782B">
              <w:rPr>
                <w:b/>
              </w:rPr>
              <w:t xml:space="preserve"> Program</w:t>
            </w:r>
          </w:p>
        </w:tc>
        <w:tc>
          <w:tcPr>
            <w:tcW w:w="1140" w:type="dxa"/>
            <w:gridSpan w:val="2"/>
            <w:tcBorders>
              <w:top w:val="single" w:sz="4" w:space="0" w:color="8EAADB" w:themeColor="accent5" w:themeTint="99"/>
            </w:tcBorders>
            <w:shd w:val="clear" w:color="auto" w:fill="auto"/>
          </w:tcPr>
          <w:p w14:paraId="38FF54D4" w14:textId="77777777" w:rsidR="00AA7F20" w:rsidRPr="00056C3B" w:rsidRDefault="00AA7F20" w:rsidP="00AA7F20">
            <w:pPr>
              <w:pStyle w:val="08-Tabelageral"/>
              <w:ind w:left="113"/>
              <w:rPr>
                <w:b/>
                <w:bCs/>
              </w:rPr>
            </w:pPr>
            <w:r>
              <w:rPr>
                <w:b/>
                <w:bCs/>
              </w:rPr>
              <w:t>Total</w:t>
            </w:r>
          </w:p>
        </w:tc>
      </w:tr>
      <w:tr w:rsidR="00AA7F20" w:rsidRPr="00733251" w14:paraId="367BF497" w14:textId="77777777" w:rsidTr="00AA7F20">
        <w:trPr>
          <w:trHeight w:val="238"/>
        </w:trPr>
        <w:tc>
          <w:tcPr>
            <w:tcW w:w="2217" w:type="dxa"/>
            <w:shd w:val="clear" w:color="auto" w:fill="auto"/>
          </w:tcPr>
          <w:p w14:paraId="04689EDC" w14:textId="77777777" w:rsidR="00AA7F20" w:rsidRPr="00E31A92" w:rsidRDefault="00AA7F20" w:rsidP="00AA7F20">
            <w:pPr>
              <w:pStyle w:val="070-TabelaPadro"/>
              <w:spacing w:line="276" w:lineRule="auto"/>
              <w:ind w:firstLine="318"/>
              <w:jc w:val="left"/>
              <w:rPr>
                <w:b/>
              </w:rPr>
            </w:pPr>
            <w:r w:rsidRPr="00B4618F">
              <w:t>Shares to Distribute</w:t>
            </w:r>
          </w:p>
        </w:tc>
        <w:tc>
          <w:tcPr>
            <w:tcW w:w="1095" w:type="dxa"/>
            <w:shd w:val="clear" w:color="auto" w:fill="auto"/>
          </w:tcPr>
          <w:p w14:paraId="3CA30E40" w14:textId="77777777" w:rsidR="00AA7F20" w:rsidRPr="00062947" w:rsidRDefault="00AA7F20" w:rsidP="00AA7F20">
            <w:pPr>
              <w:pStyle w:val="08-Tabelageral"/>
              <w:ind w:left="113"/>
              <w:rPr>
                <w:rFonts w:cs="Arial"/>
                <w:bCs/>
                <w:szCs w:val="14"/>
              </w:rPr>
            </w:pPr>
            <w:r w:rsidRPr="00B8356C">
              <w:t>March 202</w:t>
            </w:r>
            <w:r>
              <w:t>4</w:t>
            </w:r>
          </w:p>
        </w:tc>
        <w:tc>
          <w:tcPr>
            <w:tcW w:w="1296" w:type="dxa"/>
            <w:shd w:val="clear" w:color="auto" w:fill="auto"/>
          </w:tcPr>
          <w:p w14:paraId="56668D28" w14:textId="77777777" w:rsidR="00AA7F20" w:rsidRPr="00062947" w:rsidRDefault="00AA7F20" w:rsidP="00AA7F20">
            <w:pPr>
              <w:pStyle w:val="08-Tabelageral"/>
              <w:ind w:left="113"/>
              <w:rPr>
                <w:rFonts w:cs="Arial"/>
                <w:bCs/>
                <w:szCs w:val="14"/>
              </w:rPr>
            </w:pPr>
            <w:r w:rsidRPr="00FE1988">
              <w:rPr>
                <w:rFonts w:cs="Arial"/>
                <w:bCs/>
                <w:szCs w:val="14"/>
                <w:lang w:eastAsia="en-US"/>
              </w:rPr>
              <w:t>5</w:t>
            </w:r>
            <w:r>
              <w:rPr>
                <w:rFonts w:cs="Arial"/>
                <w:bCs/>
                <w:szCs w:val="14"/>
                <w:lang w:eastAsia="en-US"/>
              </w:rPr>
              <w:t>,</w:t>
            </w:r>
            <w:r w:rsidRPr="00FE1988">
              <w:rPr>
                <w:rFonts w:cs="Arial"/>
                <w:bCs/>
                <w:szCs w:val="14"/>
                <w:lang w:eastAsia="en-US"/>
              </w:rPr>
              <w:t>665</w:t>
            </w:r>
          </w:p>
        </w:tc>
        <w:tc>
          <w:tcPr>
            <w:tcW w:w="1297" w:type="dxa"/>
            <w:shd w:val="clear" w:color="auto" w:fill="auto"/>
          </w:tcPr>
          <w:p w14:paraId="3742248E" w14:textId="77777777" w:rsidR="00AA7F20" w:rsidRPr="00062947" w:rsidRDefault="00AA7F20" w:rsidP="00AA7F20">
            <w:pPr>
              <w:pStyle w:val="08-Tabelageral"/>
              <w:ind w:left="113"/>
              <w:rPr>
                <w:rFonts w:cs="Arial"/>
                <w:bCs/>
                <w:szCs w:val="14"/>
              </w:rPr>
            </w:pPr>
            <w:r w:rsidRPr="00FE1988">
              <w:rPr>
                <w:rFonts w:cs="Arial"/>
                <w:bCs/>
                <w:szCs w:val="14"/>
                <w:lang w:eastAsia="en-US"/>
              </w:rPr>
              <w:t>4</w:t>
            </w:r>
            <w:r>
              <w:rPr>
                <w:rFonts w:cs="Arial"/>
                <w:bCs/>
                <w:szCs w:val="14"/>
                <w:lang w:eastAsia="en-US"/>
              </w:rPr>
              <w:t>,</w:t>
            </w:r>
            <w:r w:rsidRPr="00FE1988">
              <w:rPr>
                <w:rFonts w:cs="Arial"/>
                <w:bCs/>
                <w:szCs w:val="14"/>
                <w:lang w:eastAsia="en-US"/>
              </w:rPr>
              <w:t>487</w:t>
            </w:r>
          </w:p>
        </w:tc>
        <w:tc>
          <w:tcPr>
            <w:tcW w:w="1297" w:type="dxa"/>
            <w:shd w:val="clear" w:color="auto" w:fill="auto"/>
          </w:tcPr>
          <w:p w14:paraId="7F811A13" w14:textId="77777777" w:rsidR="00AA7F20" w:rsidRPr="00062947" w:rsidRDefault="00AA7F20" w:rsidP="00AA7F20">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037</w:t>
            </w:r>
          </w:p>
        </w:tc>
        <w:tc>
          <w:tcPr>
            <w:tcW w:w="1297" w:type="dxa"/>
            <w:shd w:val="clear" w:color="auto" w:fill="auto"/>
          </w:tcPr>
          <w:p w14:paraId="16D2377A" w14:textId="77777777" w:rsidR="00AA7F20" w:rsidRPr="00062947" w:rsidRDefault="00AA7F20" w:rsidP="00AA7F20">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shd w:val="clear" w:color="auto" w:fill="auto"/>
            <w:vAlign w:val="bottom"/>
          </w:tcPr>
          <w:p w14:paraId="19A6FE71" w14:textId="77777777" w:rsidR="00AA7F20" w:rsidRPr="00187166" w:rsidRDefault="00AA7F20" w:rsidP="00AA7F20">
            <w:pPr>
              <w:pStyle w:val="08-Tabelageral"/>
              <w:ind w:left="113"/>
              <w:rPr>
                <w:rFonts w:cs="Arial"/>
                <w:b/>
                <w:szCs w:val="14"/>
              </w:rPr>
            </w:pPr>
            <w:r w:rsidRPr="00C5580B">
              <w:rPr>
                <w:rFonts w:cs="Arial"/>
                <w:bCs/>
                <w:szCs w:val="14"/>
              </w:rPr>
              <w:t>20</w:t>
            </w:r>
            <w:r>
              <w:rPr>
                <w:rFonts w:cs="Arial"/>
                <w:bCs/>
                <w:szCs w:val="14"/>
              </w:rPr>
              <w:t>,</w:t>
            </w:r>
            <w:r w:rsidRPr="00C5580B">
              <w:rPr>
                <w:rFonts w:cs="Arial"/>
                <w:bCs/>
                <w:szCs w:val="14"/>
              </w:rPr>
              <w:t>627</w:t>
            </w:r>
          </w:p>
        </w:tc>
      </w:tr>
      <w:tr w:rsidR="00AA7F20" w:rsidRPr="00733251" w14:paraId="40856EDA" w14:textId="77777777" w:rsidTr="00AA7F20">
        <w:trPr>
          <w:trHeight w:val="238"/>
        </w:trPr>
        <w:tc>
          <w:tcPr>
            <w:tcW w:w="2217" w:type="dxa"/>
            <w:shd w:val="clear" w:color="auto" w:fill="auto"/>
          </w:tcPr>
          <w:p w14:paraId="4C631FE5" w14:textId="77777777" w:rsidR="00AA7F20" w:rsidRPr="00E31A92" w:rsidRDefault="00AA7F20" w:rsidP="00AA7F20">
            <w:pPr>
              <w:pStyle w:val="070-TabelaPadro"/>
              <w:spacing w:line="276" w:lineRule="auto"/>
              <w:ind w:firstLine="318"/>
              <w:jc w:val="left"/>
            </w:pPr>
            <w:r w:rsidRPr="00B4618F">
              <w:t>Shares to Distribute</w:t>
            </w:r>
          </w:p>
        </w:tc>
        <w:tc>
          <w:tcPr>
            <w:tcW w:w="1095" w:type="dxa"/>
            <w:shd w:val="clear" w:color="auto" w:fill="auto"/>
          </w:tcPr>
          <w:p w14:paraId="11CB6245" w14:textId="77777777" w:rsidR="00AA7F20" w:rsidRPr="00062947" w:rsidRDefault="00AA7F20" w:rsidP="00AA7F20">
            <w:pPr>
              <w:pStyle w:val="08-Tabelageral"/>
              <w:ind w:left="113"/>
              <w:rPr>
                <w:rFonts w:cs="Arial"/>
                <w:bCs/>
                <w:szCs w:val="14"/>
              </w:rPr>
            </w:pPr>
            <w:r w:rsidRPr="00B8356C">
              <w:t>March 202</w:t>
            </w:r>
            <w:r>
              <w:t>5</w:t>
            </w:r>
          </w:p>
        </w:tc>
        <w:tc>
          <w:tcPr>
            <w:tcW w:w="1296" w:type="dxa"/>
            <w:shd w:val="clear" w:color="auto" w:fill="auto"/>
          </w:tcPr>
          <w:p w14:paraId="4285AEE2" w14:textId="77777777" w:rsidR="00AA7F20" w:rsidRPr="00062947" w:rsidRDefault="00AA7F20" w:rsidP="00AA7F20">
            <w:pPr>
              <w:pStyle w:val="08-Tabelageral"/>
              <w:ind w:left="113"/>
              <w:rPr>
                <w:rFonts w:cs="Arial"/>
                <w:bCs/>
                <w:szCs w:val="14"/>
              </w:rPr>
            </w:pPr>
            <w:r w:rsidRPr="00FE1988">
              <w:rPr>
                <w:rFonts w:cs="Arial"/>
                <w:bCs/>
                <w:szCs w:val="14"/>
                <w:lang w:eastAsia="en-US"/>
              </w:rPr>
              <w:t>--</w:t>
            </w:r>
          </w:p>
        </w:tc>
        <w:tc>
          <w:tcPr>
            <w:tcW w:w="1297" w:type="dxa"/>
            <w:shd w:val="clear" w:color="auto" w:fill="auto"/>
          </w:tcPr>
          <w:p w14:paraId="1D92E853" w14:textId="77777777" w:rsidR="00AA7F20" w:rsidRPr="00062947" w:rsidRDefault="00AA7F20" w:rsidP="00AA7F20">
            <w:pPr>
              <w:pStyle w:val="08-Tabelageral"/>
              <w:ind w:left="113"/>
              <w:rPr>
                <w:rFonts w:cs="Arial"/>
                <w:bCs/>
                <w:szCs w:val="14"/>
              </w:rPr>
            </w:pPr>
            <w:r w:rsidRPr="00FE1988">
              <w:rPr>
                <w:rFonts w:cs="Arial"/>
                <w:bCs/>
                <w:szCs w:val="14"/>
                <w:lang w:eastAsia="en-US"/>
              </w:rPr>
              <w:t>4</w:t>
            </w:r>
            <w:r>
              <w:rPr>
                <w:rFonts w:cs="Arial"/>
                <w:bCs/>
                <w:szCs w:val="14"/>
                <w:lang w:eastAsia="en-US"/>
              </w:rPr>
              <w:t>,</w:t>
            </w:r>
            <w:r w:rsidRPr="00FE1988">
              <w:rPr>
                <w:rFonts w:cs="Arial"/>
                <w:bCs/>
                <w:szCs w:val="14"/>
                <w:lang w:eastAsia="en-US"/>
              </w:rPr>
              <w:t>487</w:t>
            </w:r>
          </w:p>
        </w:tc>
        <w:tc>
          <w:tcPr>
            <w:tcW w:w="1297" w:type="dxa"/>
            <w:shd w:val="clear" w:color="auto" w:fill="auto"/>
          </w:tcPr>
          <w:p w14:paraId="27E771ED" w14:textId="77777777" w:rsidR="00AA7F20" w:rsidRPr="00062947" w:rsidRDefault="00AA7F20" w:rsidP="00AA7F20">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037</w:t>
            </w:r>
          </w:p>
        </w:tc>
        <w:tc>
          <w:tcPr>
            <w:tcW w:w="1297" w:type="dxa"/>
            <w:shd w:val="clear" w:color="auto" w:fill="auto"/>
          </w:tcPr>
          <w:p w14:paraId="750A464B" w14:textId="77777777" w:rsidR="00AA7F20" w:rsidRPr="00062947" w:rsidRDefault="00AA7F20" w:rsidP="00AA7F20">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shd w:val="clear" w:color="auto" w:fill="auto"/>
            <w:vAlign w:val="bottom"/>
          </w:tcPr>
          <w:p w14:paraId="2637AA1A" w14:textId="77777777" w:rsidR="00AA7F20" w:rsidRPr="00187166" w:rsidRDefault="00AA7F20" w:rsidP="00AA7F20">
            <w:pPr>
              <w:pStyle w:val="08-Tabelageral"/>
              <w:ind w:left="113"/>
              <w:rPr>
                <w:rFonts w:cs="Arial"/>
                <w:b/>
                <w:szCs w:val="14"/>
              </w:rPr>
            </w:pPr>
            <w:r w:rsidRPr="00C5580B">
              <w:rPr>
                <w:rFonts w:cs="Arial"/>
                <w:bCs/>
                <w:szCs w:val="14"/>
              </w:rPr>
              <w:t>14</w:t>
            </w:r>
            <w:r>
              <w:rPr>
                <w:rFonts w:cs="Arial"/>
                <w:bCs/>
                <w:szCs w:val="14"/>
              </w:rPr>
              <w:t>,</w:t>
            </w:r>
            <w:r w:rsidRPr="00C5580B">
              <w:rPr>
                <w:rFonts w:cs="Arial"/>
                <w:bCs/>
                <w:szCs w:val="14"/>
              </w:rPr>
              <w:t>962</w:t>
            </w:r>
          </w:p>
        </w:tc>
      </w:tr>
      <w:tr w:rsidR="00AA7F20" w:rsidRPr="00733251" w14:paraId="147767AE" w14:textId="77777777" w:rsidTr="00AA7F20">
        <w:trPr>
          <w:trHeight w:val="238"/>
        </w:trPr>
        <w:tc>
          <w:tcPr>
            <w:tcW w:w="2217" w:type="dxa"/>
            <w:shd w:val="clear" w:color="auto" w:fill="auto"/>
          </w:tcPr>
          <w:p w14:paraId="59FA7F01" w14:textId="77777777" w:rsidR="00AA7F20" w:rsidRPr="00E31A92" w:rsidRDefault="00AA7F20" w:rsidP="00AA7F20">
            <w:pPr>
              <w:pStyle w:val="070-TabelaPadro"/>
              <w:spacing w:line="276" w:lineRule="auto"/>
              <w:ind w:firstLine="318"/>
              <w:jc w:val="left"/>
              <w:rPr>
                <w:b/>
              </w:rPr>
            </w:pPr>
            <w:r w:rsidRPr="00B4618F">
              <w:t>Shares to Distribute</w:t>
            </w:r>
          </w:p>
        </w:tc>
        <w:tc>
          <w:tcPr>
            <w:tcW w:w="1095" w:type="dxa"/>
            <w:shd w:val="clear" w:color="auto" w:fill="auto"/>
          </w:tcPr>
          <w:p w14:paraId="79E73315" w14:textId="77777777" w:rsidR="00AA7F20" w:rsidRPr="00062947" w:rsidRDefault="00AA7F20" w:rsidP="00AA7F20">
            <w:pPr>
              <w:pStyle w:val="08-Tabelageral"/>
              <w:ind w:left="113"/>
              <w:rPr>
                <w:rFonts w:cs="Arial"/>
                <w:bCs/>
                <w:szCs w:val="14"/>
              </w:rPr>
            </w:pPr>
            <w:r w:rsidRPr="00B8356C">
              <w:t>March 202</w:t>
            </w:r>
            <w:r>
              <w:t>6</w:t>
            </w:r>
          </w:p>
        </w:tc>
        <w:tc>
          <w:tcPr>
            <w:tcW w:w="1296" w:type="dxa"/>
            <w:shd w:val="clear" w:color="auto" w:fill="auto"/>
          </w:tcPr>
          <w:p w14:paraId="359FB825" w14:textId="77777777" w:rsidR="00AA7F20" w:rsidRPr="00062947" w:rsidRDefault="00AA7F20" w:rsidP="00AA7F20">
            <w:pPr>
              <w:pStyle w:val="08-Tabelageral"/>
              <w:ind w:left="113"/>
              <w:rPr>
                <w:rFonts w:cs="Arial"/>
                <w:bCs/>
                <w:szCs w:val="14"/>
              </w:rPr>
            </w:pPr>
            <w:r w:rsidRPr="00FE1988">
              <w:rPr>
                <w:rFonts w:cs="Arial"/>
                <w:bCs/>
                <w:szCs w:val="14"/>
                <w:lang w:eastAsia="en-US"/>
              </w:rPr>
              <w:t>--</w:t>
            </w:r>
          </w:p>
        </w:tc>
        <w:tc>
          <w:tcPr>
            <w:tcW w:w="1297" w:type="dxa"/>
            <w:shd w:val="clear" w:color="auto" w:fill="auto"/>
          </w:tcPr>
          <w:p w14:paraId="4B6845AC" w14:textId="77777777" w:rsidR="00AA7F20" w:rsidRPr="00062947" w:rsidRDefault="00AA7F20" w:rsidP="00AA7F20">
            <w:pPr>
              <w:pStyle w:val="08-Tabelageral"/>
              <w:ind w:left="113"/>
              <w:rPr>
                <w:rFonts w:cs="Arial"/>
                <w:bCs/>
                <w:szCs w:val="14"/>
              </w:rPr>
            </w:pPr>
            <w:r w:rsidRPr="00FE1988">
              <w:rPr>
                <w:rFonts w:cs="Arial"/>
                <w:bCs/>
                <w:szCs w:val="14"/>
                <w:lang w:eastAsia="en-US"/>
              </w:rPr>
              <w:t>--</w:t>
            </w:r>
          </w:p>
        </w:tc>
        <w:tc>
          <w:tcPr>
            <w:tcW w:w="1297" w:type="dxa"/>
            <w:shd w:val="clear" w:color="auto" w:fill="auto"/>
          </w:tcPr>
          <w:p w14:paraId="7A45B657" w14:textId="77777777" w:rsidR="00AA7F20" w:rsidRPr="00062947" w:rsidRDefault="00AA7F20" w:rsidP="00AA7F20">
            <w:pPr>
              <w:pStyle w:val="08-Tabelageral"/>
              <w:ind w:left="113"/>
              <w:rPr>
                <w:rFonts w:cs="Arial"/>
                <w:bCs/>
                <w:szCs w:val="14"/>
              </w:rPr>
            </w:pPr>
            <w:r w:rsidRPr="00FE1988">
              <w:rPr>
                <w:rFonts w:cs="Arial"/>
                <w:szCs w:val="14"/>
              </w:rPr>
              <w:t>5</w:t>
            </w:r>
            <w:r>
              <w:rPr>
                <w:rFonts w:cs="Arial"/>
                <w:szCs w:val="14"/>
              </w:rPr>
              <w:t>,</w:t>
            </w:r>
            <w:r w:rsidRPr="00FE1988">
              <w:rPr>
                <w:rFonts w:cs="Arial"/>
                <w:szCs w:val="14"/>
              </w:rPr>
              <w:t>037</w:t>
            </w:r>
          </w:p>
        </w:tc>
        <w:tc>
          <w:tcPr>
            <w:tcW w:w="1297" w:type="dxa"/>
            <w:shd w:val="clear" w:color="auto" w:fill="auto"/>
          </w:tcPr>
          <w:p w14:paraId="5F712628" w14:textId="77777777" w:rsidR="00AA7F20" w:rsidRPr="00062947" w:rsidRDefault="00AA7F20" w:rsidP="00AA7F20">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shd w:val="clear" w:color="auto" w:fill="auto"/>
            <w:vAlign w:val="bottom"/>
          </w:tcPr>
          <w:p w14:paraId="12D1C4CB" w14:textId="77777777" w:rsidR="00AA7F20" w:rsidRPr="00187166" w:rsidRDefault="00AA7F20" w:rsidP="00AA7F20">
            <w:pPr>
              <w:pStyle w:val="08-Tabelageral"/>
              <w:ind w:left="113"/>
              <w:rPr>
                <w:rFonts w:cs="Arial"/>
                <w:b/>
                <w:szCs w:val="14"/>
              </w:rPr>
            </w:pPr>
            <w:r w:rsidRPr="00C5580B">
              <w:rPr>
                <w:rFonts w:cs="Arial"/>
                <w:bCs/>
                <w:szCs w:val="14"/>
              </w:rPr>
              <w:t>10</w:t>
            </w:r>
            <w:r>
              <w:rPr>
                <w:rFonts w:cs="Arial"/>
                <w:bCs/>
                <w:szCs w:val="14"/>
              </w:rPr>
              <w:t>,</w:t>
            </w:r>
            <w:r w:rsidRPr="00C5580B">
              <w:rPr>
                <w:rFonts w:cs="Arial"/>
                <w:bCs/>
                <w:szCs w:val="14"/>
              </w:rPr>
              <w:t>475</w:t>
            </w:r>
          </w:p>
        </w:tc>
      </w:tr>
      <w:tr w:rsidR="00AA7F20" w:rsidRPr="00733251" w14:paraId="4C304214" w14:textId="77777777" w:rsidTr="00AA7F20">
        <w:trPr>
          <w:trHeight w:val="238"/>
        </w:trPr>
        <w:tc>
          <w:tcPr>
            <w:tcW w:w="2217" w:type="dxa"/>
            <w:tcBorders>
              <w:bottom w:val="nil"/>
            </w:tcBorders>
            <w:shd w:val="clear" w:color="auto" w:fill="auto"/>
          </w:tcPr>
          <w:p w14:paraId="43D14013" w14:textId="77777777" w:rsidR="00AA7F20" w:rsidRPr="00E31A92" w:rsidRDefault="00AA7F20" w:rsidP="00AA7F20">
            <w:pPr>
              <w:pStyle w:val="070-TabelaPadro"/>
              <w:spacing w:line="276" w:lineRule="auto"/>
              <w:ind w:firstLine="318"/>
              <w:jc w:val="left"/>
              <w:rPr>
                <w:b/>
              </w:rPr>
            </w:pPr>
            <w:r w:rsidRPr="00B4618F">
              <w:t>Shares to Distribute</w:t>
            </w:r>
          </w:p>
        </w:tc>
        <w:tc>
          <w:tcPr>
            <w:tcW w:w="1095" w:type="dxa"/>
            <w:tcBorders>
              <w:bottom w:val="nil"/>
            </w:tcBorders>
            <w:shd w:val="clear" w:color="auto" w:fill="auto"/>
          </w:tcPr>
          <w:p w14:paraId="4D93E5C7" w14:textId="77777777" w:rsidR="00AA7F20" w:rsidRPr="00062947" w:rsidRDefault="00AA7F20" w:rsidP="00AA7F20">
            <w:pPr>
              <w:pStyle w:val="08-Tabelageral"/>
              <w:ind w:left="113"/>
              <w:rPr>
                <w:rFonts w:cs="Arial"/>
                <w:bCs/>
                <w:szCs w:val="14"/>
              </w:rPr>
            </w:pPr>
            <w:r w:rsidRPr="00B8356C">
              <w:t>March 202</w:t>
            </w:r>
            <w:r>
              <w:t>7</w:t>
            </w:r>
          </w:p>
        </w:tc>
        <w:tc>
          <w:tcPr>
            <w:tcW w:w="1296" w:type="dxa"/>
            <w:tcBorders>
              <w:bottom w:val="nil"/>
            </w:tcBorders>
            <w:shd w:val="clear" w:color="auto" w:fill="auto"/>
          </w:tcPr>
          <w:p w14:paraId="3DE2EB12" w14:textId="77777777" w:rsidR="00AA7F20" w:rsidRPr="00062947" w:rsidRDefault="00AA7F20" w:rsidP="00AA7F20">
            <w:pPr>
              <w:pStyle w:val="08-Tabelageral"/>
              <w:ind w:left="113"/>
              <w:rPr>
                <w:rFonts w:cs="Arial"/>
                <w:bCs/>
                <w:szCs w:val="14"/>
              </w:rPr>
            </w:pPr>
            <w:r w:rsidRPr="00FE1988">
              <w:rPr>
                <w:rFonts w:cs="Arial"/>
                <w:bCs/>
                <w:szCs w:val="14"/>
                <w:lang w:eastAsia="en-US"/>
              </w:rPr>
              <w:t>--</w:t>
            </w:r>
          </w:p>
        </w:tc>
        <w:tc>
          <w:tcPr>
            <w:tcW w:w="1297" w:type="dxa"/>
            <w:tcBorders>
              <w:bottom w:val="nil"/>
            </w:tcBorders>
            <w:shd w:val="clear" w:color="auto" w:fill="auto"/>
          </w:tcPr>
          <w:p w14:paraId="4560DAF8" w14:textId="77777777" w:rsidR="00AA7F20" w:rsidRPr="00062947" w:rsidRDefault="00AA7F20" w:rsidP="00AA7F20">
            <w:pPr>
              <w:pStyle w:val="08-Tabelageral"/>
              <w:ind w:left="113"/>
              <w:rPr>
                <w:rFonts w:cs="Arial"/>
                <w:bCs/>
                <w:szCs w:val="14"/>
              </w:rPr>
            </w:pPr>
            <w:r w:rsidRPr="00FE1988">
              <w:rPr>
                <w:rFonts w:cs="Arial"/>
                <w:bCs/>
                <w:szCs w:val="14"/>
                <w:lang w:eastAsia="en-US"/>
              </w:rPr>
              <w:t>--</w:t>
            </w:r>
          </w:p>
        </w:tc>
        <w:tc>
          <w:tcPr>
            <w:tcW w:w="1297" w:type="dxa"/>
            <w:tcBorders>
              <w:bottom w:val="nil"/>
            </w:tcBorders>
            <w:shd w:val="clear" w:color="auto" w:fill="auto"/>
          </w:tcPr>
          <w:p w14:paraId="2FBD363C" w14:textId="77777777" w:rsidR="00AA7F20" w:rsidRPr="00062947" w:rsidRDefault="00AA7F20" w:rsidP="00AA7F20">
            <w:pPr>
              <w:pStyle w:val="08-Tabelageral"/>
              <w:ind w:left="113"/>
              <w:rPr>
                <w:rFonts w:cs="Arial"/>
                <w:bCs/>
                <w:szCs w:val="14"/>
              </w:rPr>
            </w:pPr>
            <w:r w:rsidRPr="00FE1988">
              <w:rPr>
                <w:rFonts w:cs="Arial"/>
                <w:bCs/>
                <w:szCs w:val="14"/>
                <w:lang w:eastAsia="en-US"/>
              </w:rPr>
              <w:t>--</w:t>
            </w:r>
          </w:p>
        </w:tc>
        <w:tc>
          <w:tcPr>
            <w:tcW w:w="1297" w:type="dxa"/>
            <w:tcBorders>
              <w:bottom w:val="nil"/>
            </w:tcBorders>
            <w:shd w:val="clear" w:color="auto" w:fill="auto"/>
          </w:tcPr>
          <w:p w14:paraId="08D662FC" w14:textId="77777777" w:rsidR="00AA7F20" w:rsidRPr="00062947" w:rsidRDefault="00AA7F20" w:rsidP="00AA7F20">
            <w:pPr>
              <w:pStyle w:val="08-Tabelageral"/>
              <w:ind w:left="113"/>
              <w:rPr>
                <w:rFonts w:cs="Arial"/>
                <w:bCs/>
                <w:szCs w:val="14"/>
              </w:rPr>
            </w:pPr>
            <w:r w:rsidRPr="00FE1988">
              <w:rPr>
                <w:rFonts w:cs="Arial"/>
                <w:bCs/>
                <w:szCs w:val="14"/>
              </w:rPr>
              <w:t>5</w:t>
            </w:r>
            <w:r>
              <w:rPr>
                <w:rFonts w:cs="Arial"/>
                <w:bCs/>
                <w:szCs w:val="14"/>
              </w:rPr>
              <w:t>,</w:t>
            </w:r>
            <w:r w:rsidRPr="00FE1988">
              <w:rPr>
                <w:rFonts w:cs="Arial"/>
                <w:bCs/>
                <w:szCs w:val="14"/>
              </w:rPr>
              <w:t>438</w:t>
            </w:r>
          </w:p>
        </w:tc>
        <w:tc>
          <w:tcPr>
            <w:tcW w:w="1140" w:type="dxa"/>
            <w:gridSpan w:val="2"/>
            <w:tcBorders>
              <w:bottom w:val="nil"/>
            </w:tcBorders>
            <w:shd w:val="clear" w:color="auto" w:fill="auto"/>
            <w:vAlign w:val="bottom"/>
          </w:tcPr>
          <w:p w14:paraId="23A00017" w14:textId="77777777" w:rsidR="00AA7F20" w:rsidRPr="00187166" w:rsidRDefault="00AA7F20" w:rsidP="00AA7F20">
            <w:pPr>
              <w:pStyle w:val="08-Tabelageral"/>
              <w:ind w:left="113"/>
              <w:rPr>
                <w:rFonts w:cs="Arial"/>
                <w:b/>
                <w:szCs w:val="14"/>
              </w:rPr>
            </w:pPr>
            <w:r w:rsidRPr="00C5580B">
              <w:rPr>
                <w:rFonts w:cs="Arial"/>
                <w:bCs/>
                <w:szCs w:val="14"/>
              </w:rPr>
              <w:t>5</w:t>
            </w:r>
            <w:r>
              <w:rPr>
                <w:rFonts w:cs="Arial"/>
                <w:bCs/>
                <w:szCs w:val="14"/>
              </w:rPr>
              <w:t>,</w:t>
            </w:r>
            <w:r w:rsidRPr="00C5580B">
              <w:rPr>
                <w:rFonts w:cs="Arial"/>
                <w:bCs/>
                <w:szCs w:val="14"/>
              </w:rPr>
              <w:t>438</w:t>
            </w:r>
          </w:p>
        </w:tc>
      </w:tr>
      <w:tr w:rsidR="00AA7F20" w:rsidRPr="00733251" w14:paraId="65D35E8C" w14:textId="77777777" w:rsidTr="00AA7F20">
        <w:trPr>
          <w:trHeight w:val="238"/>
        </w:trPr>
        <w:tc>
          <w:tcPr>
            <w:tcW w:w="2217" w:type="dxa"/>
            <w:tcBorders>
              <w:top w:val="nil"/>
              <w:bottom w:val="single" w:sz="2" w:space="0" w:color="1F4E79" w:themeColor="accent1" w:themeShade="80"/>
            </w:tcBorders>
            <w:shd w:val="clear" w:color="auto" w:fill="auto"/>
          </w:tcPr>
          <w:p w14:paraId="7263DD4B" w14:textId="77777777" w:rsidR="00AA7F20" w:rsidRPr="00E2299D" w:rsidRDefault="00AA7F20" w:rsidP="00AA7F20">
            <w:pPr>
              <w:pStyle w:val="070-TabelaPadro"/>
              <w:spacing w:line="276" w:lineRule="auto"/>
              <w:jc w:val="left"/>
              <w:rPr>
                <w:b/>
                <w:bCs/>
                <w:lang w:val="en-US"/>
              </w:rPr>
            </w:pPr>
            <w:r w:rsidRPr="00E2299D">
              <w:rPr>
                <w:b/>
                <w:bCs/>
                <w:lang w:val="en-US"/>
              </w:rPr>
              <w:t>Total shares to be distributed</w:t>
            </w:r>
          </w:p>
        </w:tc>
        <w:tc>
          <w:tcPr>
            <w:tcW w:w="1095" w:type="dxa"/>
            <w:tcBorders>
              <w:top w:val="nil"/>
              <w:bottom w:val="single" w:sz="2" w:space="0" w:color="1F4E79" w:themeColor="accent1" w:themeShade="80"/>
            </w:tcBorders>
            <w:shd w:val="clear" w:color="auto" w:fill="auto"/>
          </w:tcPr>
          <w:p w14:paraId="7C2D72E4" w14:textId="77777777" w:rsidR="00AA7F20" w:rsidRPr="00E2299D" w:rsidRDefault="00AA7F20" w:rsidP="00AA7F20">
            <w:pPr>
              <w:pStyle w:val="08-Tabelageral"/>
              <w:ind w:left="113"/>
              <w:rPr>
                <w:rFonts w:cs="Arial"/>
                <w:b/>
                <w:szCs w:val="14"/>
                <w:lang w:val="en-US"/>
              </w:rPr>
            </w:pPr>
          </w:p>
        </w:tc>
        <w:tc>
          <w:tcPr>
            <w:tcW w:w="1296" w:type="dxa"/>
            <w:tcBorders>
              <w:top w:val="nil"/>
              <w:bottom w:val="single" w:sz="2" w:space="0" w:color="1F4E79" w:themeColor="accent1" w:themeShade="80"/>
            </w:tcBorders>
            <w:shd w:val="clear" w:color="auto" w:fill="auto"/>
          </w:tcPr>
          <w:p w14:paraId="769D7D5A" w14:textId="77777777" w:rsidR="00AA7F20" w:rsidRPr="00090360" w:rsidRDefault="00AA7F20" w:rsidP="00AA7F20">
            <w:pPr>
              <w:pStyle w:val="08-Tabelageral"/>
              <w:ind w:left="113"/>
              <w:rPr>
                <w:rFonts w:cs="Arial"/>
                <w:b/>
                <w:szCs w:val="14"/>
              </w:rPr>
            </w:pPr>
            <w:r w:rsidRPr="00FE1988">
              <w:rPr>
                <w:rFonts w:cs="Arial"/>
                <w:b/>
                <w:szCs w:val="14"/>
              </w:rPr>
              <w:t>5</w:t>
            </w:r>
            <w:r>
              <w:rPr>
                <w:rFonts w:cs="Arial"/>
                <w:b/>
                <w:szCs w:val="14"/>
              </w:rPr>
              <w:t>,</w:t>
            </w:r>
            <w:r w:rsidRPr="00FE1988">
              <w:rPr>
                <w:rFonts w:cs="Arial"/>
                <w:b/>
                <w:szCs w:val="14"/>
              </w:rPr>
              <w:t>665</w:t>
            </w:r>
          </w:p>
        </w:tc>
        <w:tc>
          <w:tcPr>
            <w:tcW w:w="1297" w:type="dxa"/>
            <w:tcBorders>
              <w:top w:val="nil"/>
              <w:bottom w:val="single" w:sz="2" w:space="0" w:color="1F4E79" w:themeColor="accent1" w:themeShade="80"/>
            </w:tcBorders>
            <w:shd w:val="clear" w:color="auto" w:fill="auto"/>
          </w:tcPr>
          <w:p w14:paraId="12DECE86" w14:textId="77777777" w:rsidR="00AA7F20" w:rsidRPr="00090360" w:rsidRDefault="00AA7F20" w:rsidP="00AA7F20">
            <w:pPr>
              <w:pStyle w:val="08-Tabelageral"/>
              <w:ind w:left="113"/>
              <w:rPr>
                <w:rFonts w:cs="Arial"/>
                <w:b/>
                <w:szCs w:val="14"/>
              </w:rPr>
            </w:pPr>
            <w:r w:rsidRPr="00FE1988">
              <w:rPr>
                <w:rFonts w:cs="Arial"/>
                <w:b/>
                <w:szCs w:val="14"/>
              </w:rPr>
              <w:t>8</w:t>
            </w:r>
            <w:r>
              <w:rPr>
                <w:rFonts w:cs="Arial"/>
                <w:b/>
                <w:szCs w:val="14"/>
              </w:rPr>
              <w:t>,</w:t>
            </w:r>
            <w:r w:rsidRPr="00FE1988">
              <w:rPr>
                <w:rFonts w:cs="Arial"/>
                <w:b/>
                <w:szCs w:val="14"/>
              </w:rPr>
              <w:t>974</w:t>
            </w:r>
          </w:p>
        </w:tc>
        <w:tc>
          <w:tcPr>
            <w:tcW w:w="1297" w:type="dxa"/>
            <w:tcBorders>
              <w:top w:val="nil"/>
              <w:bottom w:val="single" w:sz="2" w:space="0" w:color="1F4E79" w:themeColor="accent1" w:themeShade="80"/>
            </w:tcBorders>
            <w:shd w:val="clear" w:color="auto" w:fill="auto"/>
          </w:tcPr>
          <w:p w14:paraId="08A5A2A8" w14:textId="77777777" w:rsidR="00AA7F20" w:rsidRPr="00090360" w:rsidRDefault="00AA7F20" w:rsidP="00AA7F20">
            <w:pPr>
              <w:pStyle w:val="08-Tabelageral"/>
              <w:ind w:left="113"/>
              <w:rPr>
                <w:rFonts w:cs="Arial"/>
                <w:b/>
                <w:szCs w:val="14"/>
              </w:rPr>
            </w:pPr>
            <w:r w:rsidRPr="00FE1988">
              <w:rPr>
                <w:rFonts w:cs="Arial"/>
                <w:b/>
                <w:szCs w:val="14"/>
              </w:rPr>
              <w:t>15</w:t>
            </w:r>
            <w:r>
              <w:rPr>
                <w:rFonts w:cs="Arial"/>
                <w:b/>
                <w:szCs w:val="14"/>
              </w:rPr>
              <w:t>,</w:t>
            </w:r>
            <w:r w:rsidRPr="00FE1988">
              <w:rPr>
                <w:rFonts w:cs="Arial"/>
                <w:b/>
                <w:szCs w:val="14"/>
              </w:rPr>
              <w:t>111</w:t>
            </w:r>
          </w:p>
        </w:tc>
        <w:tc>
          <w:tcPr>
            <w:tcW w:w="1297" w:type="dxa"/>
            <w:tcBorders>
              <w:top w:val="nil"/>
              <w:bottom w:val="single" w:sz="2" w:space="0" w:color="1F4E79" w:themeColor="accent1" w:themeShade="80"/>
            </w:tcBorders>
            <w:shd w:val="clear" w:color="auto" w:fill="auto"/>
          </w:tcPr>
          <w:p w14:paraId="555DAE71" w14:textId="77777777" w:rsidR="00AA7F20" w:rsidRPr="00090360" w:rsidRDefault="00AA7F20" w:rsidP="00AA7F20">
            <w:pPr>
              <w:pStyle w:val="08-Tabelageral"/>
              <w:ind w:left="113"/>
              <w:rPr>
                <w:rFonts w:cs="Arial"/>
                <w:b/>
                <w:szCs w:val="14"/>
              </w:rPr>
            </w:pPr>
            <w:r w:rsidRPr="00FE1988">
              <w:rPr>
                <w:rFonts w:cs="Arial"/>
                <w:b/>
                <w:szCs w:val="14"/>
              </w:rPr>
              <w:t>21</w:t>
            </w:r>
            <w:r>
              <w:rPr>
                <w:rFonts w:cs="Arial"/>
                <w:b/>
                <w:szCs w:val="14"/>
              </w:rPr>
              <w:t>,</w:t>
            </w:r>
            <w:r w:rsidRPr="00FE1988">
              <w:rPr>
                <w:rFonts w:cs="Arial"/>
                <w:b/>
                <w:szCs w:val="14"/>
              </w:rPr>
              <w:t>752</w:t>
            </w:r>
          </w:p>
        </w:tc>
        <w:tc>
          <w:tcPr>
            <w:tcW w:w="1140" w:type="dxa"/>
            <w:gridSpan w:val="2"/>
            <w:tcBorders>
              <w:top w:val="nil"/>
              <w:bottom w:val="single" w:sz="2" w:space="0" w:color="1F4E79" w:themeColor="accent1" w:themeShade="80"/>
            </w:tcBorders>
            <w:shd w:val="clear" w:color="auto" w:fill="auto"/>
          </w:tcPr>
          <w:p w14:paraId="05FA13B9" w14:textId="77777777" w:rsidR="00AA7F20" w:rsidRPr="00187166" w:rsidRDefault="00AA7F20" w:rsidP="00AA7F20">
            <w:pPr>
              <w:pStyle w:val="08-Tabelageral"/>
              <w:ind w:left="113"/>
              <w:rPr>
                <w:rFonts w:cs="Arial"/>
                <w:b/>
                <w:szCs w:val="14"/>
              </w:rPr>
            </w:pPr>
            <w:r>
              <w:rPr>
                <w:rFonts w:cs="Arial"/>
                <w:b/>
                <w:szCs w:val="14"/>
              </w:rPr>
              <w:t>51,502</w:t>
            </w:r>
          </w:p>
        </w:tc>
      </w:tr>
    </w:tbl>
    <w:p w14:paraId="78DEFF7E" w14:textId="77777777" w:rsidR="00AA7F20" w:rsidRPr="008C592B" w:rsidRDefault="00AA7F20" w:rsidP="00AA7F20">
      <w:pPr>
        <w:pStyle w:val="04-TtuloNegrito"/>
        <w:rPr>
          <w:color w:val="1F4E79" w:themeColor="accent1" w:themeShade="80"/>
          <w:sz w:val="18"/>
          <w:szCs w:val="18"/>
        </w:rPr>
      </w:pPr>
      <w:r w:rsidRPr="008C592B">
        <w:rPr>
          <w:color w:val="1F4E79" w:themeColor="accent1" w:themeShade="80"/>
          <w:sz w:val="18"/>
          <w:szCs w:val="18"/>
        </w:rPr>
        <w:t xml:space="preserve">g.2) </w:t>
      </w:r>
      <w:r w:rsidRPr="008C592B">
        <w:rPr>
          <w:color w:val="1F4E79" w:themeColor="accent1" w:themeShade="80"/>
          <w:sz w:val="18"/>
          <w:szCs w:val="18"/>
          <w:lang w:val="en-US"/>
        </w:rPr>
        <w:t>Repurcharse Program</w:t>
      </w:r>
    </w:p>
    <w:p w14:paraId="1DFC6E6D" w14:textId="77777777" w:rsidR="00AA7F20" w:rsidRPr="00874D6A" w:rsidRDefault="00AA7F20" w:rsidP="00AA7F20">
      <w:pPr>
        <w:pStyle w:val="01-Textonormal"/>
        <w:rPr>
          <w:lang w:val="en-US"/>
        </w:rPr>
      </w:pPr>
      <w:r w:rsidRPr="00874D6A">
        <w:rPr>
          <w:lang w:val="en-US"/>
        </w:rPr>
        <w:t>On October 15, 2015, the Board of Directors approved the Buyback Program for up to 10,000,000 shares issued by the company to be held in treasury and subsequently sold or cancelled. The term was up to 365 days from the approval date, in line with the limit stipulated by CVM Instruction 567. The Buyback Program ended on 10.14.2016 and 3,360,000 shares were acquired in the amount of R$ 82,201 thousand, with a minimum, average and maximum cost per share of R$</w:t>
      </w:r>
      <w:r>
        <w:rPr>
          <w:lang w:val="en-US"/>
        </w:rPr>
        <w:t xml:space="preserve"> </w:t>
      </w:r>
      <w:r w:rsidRPr="00874D6A">
        <w:rPr>
          <w:lang w:val="en-US"/>
        </w:rPr>
        <w:t>21.09, R$</w:t>
      </w:r>
      <w:r>
        <w:rPr>
          <w:lang w:val="en-US"/>
        </w:rPr>
        <w:t xml:space="preserve"> </w:t>
      </w:r>
      <w:r w:rsidRPr="00874D6A">
        <w:rPr>
          <w:lang w:val="en-US"/>
        </w:rPr>
        <w:t>24.46 and R$</w:t>
      </w:r>
      <w:r>
        <w:rPr>
          <w:lang w:val="en-US"/>
        </w:rPr>
        <w:t xml:space="preserve"> </w:t>
      </w:r>
      <w:r w:rsidRPr="00874D6A">
        <w:rPr>
          <w:lang w:val="en-US"/>
        </w:rPr>
        <w:t>27.76, respectively. The following programs did not carry out share buybacks, and the last program, the IV Buyback Program, ended on 10.31.2019. The Company, to date, has not approved a new Buyback Program.</w:t>
      </w:r>
    </w:p>
    <w:p w14:paraId="78250391" w14:textId="77777777" w:rsidR="00AA7F20" w:rsidRDefault="00AA7F20" w:rsidP="00AA7F20">
      <w:pPr>
        <w:pStyle w:val="01-Textonormal"/>
        <w:rPr>
          <w:lang w:val="en-US"/>
        </w:rPr>
      </w:pPr>
      <w:r w:rsidRPr="00874D6A">
        <w:rPr>
          <w:lang w:val="en-US"/>
        </w:rPr>
        <w:t>On October 30, 2019, the General Shareholders' Meeting authorized the trading of shares issued by BB Seguridade held in treasury, specifically for employee awards and variable compensation of the Company's directors, up to the limit of 3,359,550 shares, and authorized the Board of Directors to define and implement the best way and time to carry out said negotiation.</w:t>
      </w:r>
    </w:p>
    <w:p w14:paraId="3F06C5D1" w14:textId="77777777" w:rsidR="00AA7F20" w:rsidRPr="00E2299D" w:rsidRDefault="00AA7F20" w:rsidP="00AA7F20">
      <w:pPr>
        <w:pStyle w:val="01-Textonormal"/>
        <w:rPr>
          <w:b/>
          <w:color w:val="1F4E79" w:themeColor="accent1" w:themeShade="80"/>
          <w:lang w:val="en-US"/>
        </w:rPr>
      </w:pPr>
      <w:r w:rsidRPr="00E2299D">
        <w:rPr>
          <w:b/>
          <w:color w:val="1F4E79" w:themeColor="accent1" w:themeShade="80"/>
          <w:lang w:val="en-US"/>
        </w:rPr>
        <w:t>g.3) Employee Reward</w:t>
      </w:r>
      <w:r>
        <w:rPr>
          <w:b/>
          <w:color w:val="1F4E79" w:themeColor="accent1" w:themeShade="80"/>
          <w:lang w:val="en-US"/>
        </w:rPr>
        <w:t>s</w:t>
      </w:r>
      <w:r w:rsidRPr="00E2299D">
        <w:rPr>
          <w:b/>
          <w:color w:val="1F4E79" w:themeColor="accent1" w:themeShade="80"/>
          <w:lang w:val="en-US"/>
        </w:rPr>
        <w:t xml:space="preserve"> Program</w:t>
      </w:r>
    </w:p>
    <w:p w14:paraId="01DFAB63" w14:textId="77777777" w:rsidR="00AA7F20" w:rsidRPr="008F0257" w:rsidRDefault="00AA7F20" w:rsidP="00AA7F20">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Seguros employees in non-statutory positions, with outstanding performance in the Development and Career Committee. Considering the new wording of § 4 of art. 457 of the CLT, amended by Law No. 13,467/2017, the program is classified as an award and there is no incidence of labor and social security charges.</w:t>
      </w:r>
    </w:p>
    <w:p w14:paraId="7CBE9AE0" w14:textId="77777777" w:rsidR="00AA7F20" w:rsidRPr="008F0257" w:rsidRDefault="00AA7F20" w:rsidP="00AA7F20">
      <w:pPr>
        <w:pStyle w:val="01-Textonormal"/>
        <w:rPr>
          <w:lang w:val="en-US"/>
        </w:rPr>
      </w:pPr>
      <w:r w:rsidRPr="008F0257">
        <w:rPr>
          <w:lang w:val="en-US"/>
        </w:rPr>
        <w:lastRenderedPageBreak/>
        <w:t>On October 28, 2022, the Board of Directors approved an update to the program rules, which maintained the same objective and the same legal framework.</w:t>
      </w:r>
    </w:p>
    <w:p w14:paraId="37488022" w14:textId="77777777" w:rsidR="00AA7F20" w:rsidRDefault="00AA7F20" w:rsidP="00AA7F20">
      <w:pPr>
        <w:pStyle w:val="01-Textonormal"/>
        <w:rPr>
          <w:lang w:val="en-US"/>
        </w:rPr>
      </w:pPr>
      <w:r w:rsidRPr="008F0257">
        <w:rPr>
          <w:lang w:val="en-US"/>
        </w:rPr>
        <w:t>The activation of the program occurs annually and is conditioned to the achievement of the score defined in the work agreement defined by the company. The target audience is limited to a maximum of 40% of employees per position, in the case of managerial or equivalent functions, and per position and per board, in the case of technical functions. The criteria for choosing employees involves the assessment of technical and behavioral skills, achievement of goals and management style. The award is credited 100% (one hundred percent) in cash, after due payment of Income Tax, in a single installment, within 30 days after the results of the Development and Career Commission are published.</w:t>
      </w:r>
    </w:p>
    <w:p w14:paraId="73687363" w14:textId="77777777" w:rsidR="00AA7F20" w:rsidRPr="00F55DD0" w:rsidRDefault="00AA7F20" w:rsidP="00AA7F20">
      <w:pPr>
        <w:pStyle w:val="01-Textonormal"/>
        <w:rPr>
          <w:rFonts w:cs="Arial"/>
          <w:b/>
          <w:color w:val="1F4E79" w:themeColor="accent1" w:themeShade="80"/>
        </w:rPr>
      </w:pPr>
      <w:r w:rsidRPr="00F55DD0">
        <w:rPr>
          <w:b/>
          <w:color w:val="1F4E79" w:themeColor="accent1" w:themeShade="80"/>
        </w:rPr>
        <w:t xml:space="preserve">g.4) Number of Treasury Shares </w:t>
      </w:r>
    </w:p>
    <w:tbl>
      <w:tblPr>
        <w:tblStyle w:val="TabeladeLista6Colorida-nfase5"/>
        <w:tblW w:w="9639" w:type="dxa"/>
        <w:tblLook w:val="04A0" w:firstRow="1" w:lastRow="0" w:firstColumn="1" w:lastColumn="0" w:noHBand="0" w:noVBand="1"/>
      </w:tblPr>
      <w:tblGrid>
        <w:gridCol w:w="7088"/>
        <w:gridCol w:w="1276"/>
        <w:gridCol w:w="1275"/>
      </w:tblGrid>
      <w:tr w:rsidR="00AA7F20" w14:paraId="4F9B818B" w14:textId="77777777" w:rsidTr="00AA7F20">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4E79" w:themeColor="accent1" w:themeShade="80"/>
            </w:tcBorders>
            <w:shd w:val="clear" w:color="auto" w:fill="auto"/>
            <w:vAlign w:val="center"/>
          </w:tcPr>
          <w:p w14:paraId="091F9168" w14:textId="77777777" w:rsidR="00AA7F20" w:rsidRPr="00F22E66" w:rsidRDefault="00AA7F20" w:rsidP="00AA7F20">
            <w:pPr>
              <w:rPr>
                <w:rFonts w:cs="Arial"/>
                <w:b w:val="0"/>
                <w:sz w:val="14"/>
                <w:szCs w:val="14"/>
              </w:rPr>
            </w:pPr>
            <w:r>
              <w:rPr>
                <w:rFonts w:cs="Arial"/>
                <w:kern w:val="2"/>
                <w:sz w:val="14"/>
                <w:szCs w:val="14"/>
              </w:rPr>
              <w:t>D</w:t>
            </w:r>
            <w:r w:rsidRPr="00746120">
              <w:rPr>
                <w:rFonts w:cs="Arial"/>
                <w:kern w:val="2"/>
                <w:sz w:val="14"/>
                <w:szCs w:val="14"/>
              </w:rPr>
              <w:t>escription</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1B1A00C0" w14:textId="77777777" w:rsidR="00AA7F20" w:rsidRPr="0038031F" w:rsidRDefault="00AA7F20" w:rsidP="00AA7F20">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AA7F20" w:rsidRPr="001D6BE8" w14:paraId="4005FF02" w14:textId="77777777" w:rsidTr="00AA7F2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4E79" w:themeColor="accent1" w:themeShade="80"/>
            </w:tcBorders>
            <w:shd w:val="clear" w:color="auto" w:fill="auto"/>
          </w:tcPr>
          <w:p w14:paraId="1BC58964" w14:textId="77777777" w:rsidR="00AA7F20" w:rsidRPr="001D6BE8" w:rsidRDefault="00AA7F20" w:rsidP="00AA7F20">
            <w:pPr>
              <w:pStyle w:val="08-Tabelageral"/>
              <w:rPr>
                <w:rFonts w:cs="Arial"/>
                <w:b w:val="0"/>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4347748" w14:textId="77777777" w:rsidR="00AA7F20" w:rsidRPr="001D6BE8"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Mar 31, 2023</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6BD0B03D" w14:textId="77777777" w:rsidR="00AA7F20" w:rsidRPr="00B253DA" w:rsidRDefault="00AA7F20" w:rsidP="00AA7F20">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rPr>
              <w:t>Dec 31, 2022</w:t>
            </w:r>
          </w:p>
        </w:tc>
      </w:tr>
      <w:tr w:rsidR="00AA7F20" w:rsidRPr="002F79A6" w14:paraId="6F2535DD" w14:textId="77777777" w:rsidTr="00AA7F20">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tcPr>
          <w:p w14:paraId="4114CA77" w14:textId="77777777" w:rsidR="00AA7F20" w:rsidRPr="004B332C" w:rsidRDefault="00AA7F20" w:rsidP="00AA7F20">
            <w:pPr>
              <w:pStyle w:val="08-Tabelageral"/>
              <w:tabs>
                <w:tab w:val="left" w:pos="264"/>
              </w:tabs>
              <w:ind w:firstLine="318"/>
              <w:jc w:val="left"/>
              <w:rPr>
                <w:rFonts w:cs="Arial"/>
                <w:b w:val="0"/>
                <w:bCs w:val="0"/>
                <w:color w:val="auto"/>
                <w:szCs w:val="14"/>
              </w:rPr>
            </w:pPr>
            <w:r w:rsidRPr="004B332C">
              <w:rPr>
                <w:rFonts w:cs="Arial"/>
                <w:b w:val="0"/>
                <w:bCs w:val="0"/>
                <w:color w:val="auto"/>
                <w:szCs w:val="14"/>
              </w:rPr>
              <w:t>Variable Wage Program</w:t>
            </w:r>
          </w:p>
        </w:tc>
        <w:tc>
          <w:tcPr>
            <w:tcW w:w="1276" w:type="dxa"/>
            <w:tcBorders>
              <w:top w:val="single" w:sz="2" w:space="0" w:color="1F4E79" w:themeColor="accent1" w:themeShade="80"/>
              <w:bottom w:val="nil"/>
            </w:tcBorders>
            <w:shd w:val="clear" w:color="auto" w:fill="auto"/>
          </w:tcPr>
          <w:p w14:paraId="55A80FCB" w14:textId="77777777" w:rsidR="00AA7F20" w:rsidRPr="007569D3"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51,502</w:t>
            </w:r>
          </w:p>
        </w:tc>
        <w:tc>
          <w:tcPr>
            <w:tcW w:w="1275" w:type="dxa"/>
            <w:tcBorders>
              <w:top w:val="single" w:sz="2" w:space="0" w:color="1F4E79" w:themeColor="accent1" w:themeShade="80"/>
              <w:bottom w:val="nil"/>
            </w:tcBorders>
            <w:shd w:val="clear" w:color="auto" w:fill="auto"/>
          </w:tcPr>
          <w:p w14:paraId="2B72D369" w14:textId="77777777" w:rsidR="00AA7F20" w:rsidRPr="00324C24"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EF515A">
              <w:rPr>
                <w:rFonts w:cs="Arial"/>
                <w:szCs w:val="14"/>
              </w:rPr>
              <w:t>48</w:t>
            </w:r>
            <w:r>
              <w:rPr>
                <w:rFonts w:cs="Arial"/>
                <w:szCs w:val="14"/>
              </w:rPr>
              <w:t>,</w:t>
            </w:r>
            <w:r w:rsidRPr="00EF515A">
              <w:rPr>
                <w:rFonts w:cs="Arial"/>
                <w:szCs w:val="14"/>
              </w:rPr>
              <w:t>215</w:t>
            </w:r>
          </w:p>
        </w:tc>
      </w:tr>
      <w:tr w:rsidR="00AA7F20" w:rsidRPr="002F79A6" w14:paraId="0F5B05C6" w14:textId="77777777" w:rsidTr="00AA7F20">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01904D82" w14:textId="77777777" w:rsidR="00AA7F20" w:rsidRPr="004B332C" w:rsidRDefault="00AA7F20" w:rsidP="00AA7F20">
            <w:pPr>
              <w:pStyle w:val="08-Tabelageral"/>
              <w:tabs>
                <w:tab w:val="left" w:pos="264"/>
                <w:tab w:val="left" w:pos="1936"/>
              </w:tabs>
              <w:ind w:firstLine="318"/>
              <w:jc w:val="left"/>
              <w:rPr>
                <w:rFonts w:cs="Arial"/>
                <w:b w:val="0"/>
                <w:bCs w:val="0"/>
                <w:color w:val="auto"/>
                <w:szCs w:val="14"/>
              </w:rPr>
            </w:pPr>
            <w:r w:rsidRPr="004B332C">
              <w:rPr>
                <w:rFonts w:cs="Arial"/>
                <w:b w:val="0"/>
                <w:bCs w:val="0"/>
                <w:color w:val="auto"/>
                <w:szCs w:val="14"/>
              </w:rPr>
              <w:t>Repurcharse Program</w:t>
            </w:r>
            <w:r>
              <w:rPr>
                <w:rFonts w:cs="Arial"/>
                <w:b w:val="0"/>
                <w:bCs w:val="0"/>
                <w:color w:val="auto"/>
                <w:szCs w:val="14"/>
              </w:rPr>
              <w:t xml:space="preserve"> </w:t>
            </w:r>
            <w:r w:rsidRPr="00A96722">
              <w:rPr>
                <w:rFonts w:cs="Arial"/>
                <w:b w:val="0"/>
                <w:bCs w:val="0"/>
                <w:color w:val="auto"/>
                <w:sz w:val="12"/>
                <w:szCs w:val="12"/>
                <w:vertAlign w:val="superscript"/>
              </w:rPr>
              <w:t>(1)</w:t>
            </w:r>
            <w:r>
              <w:rPr>
                <w:rFonts w:cs="Arial"/>
                <w:b w:val="0"/>
                <w:bCs w:val="0"/>
                <w:color w:val="auto"/>
                <w:szCs w:val="14"/>
              </w:rPr>
              <w:tab/>
            </w:r>
          </w:p>
        </w:tc>
        <w:tc>
          <w:tcPr>
            <w:tcW w:w="1276" w:type="dxa"/>
            <w:tcBorders>
              <w:top w:val="nil"/>
              <w:bottom w:val="nil"/>
            </w:tcBorders>
            <w:shd w:val="clear" w:color="auto" w:fill="auto"/>
          </w:tcPr>
          <w:p w14:paraId="17FA2F33" w14:textId="77777777" w:rsidR="00AA7F20" w:rsidRPr="007569D3"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3,198,149</w:t>
            </w:r>
          </w:p>
        </w:tc>
        <w:tc>
          <w:tcPr>
            <w:tcW w:w="1275" w:type="dxa"/>
            <w:tcBorders>
              <w:top w:val="nil"/>
              <w:bottom w:val="nil"/>
            </w:tcBorders>
            <w:shd w:val="clear" w:color="auto" w:fill="auto"/>
          </w:tcPr>
          <w:p w14:paraId="73F16921" w14:textId="77777777" w:rsidR="00AA7F20" w:rsidRPr="00324C24" w:rsidRDefault="00AA7F20" w:rsidP="00AA7F2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EF515A">
              <w:rPr>
                <w:rFonts w:cs="Arial"/>
                <w:szCs w:val="14"/>
              </w:rPr>
              <w:t>3</w:t>
            </w:r>
            <w:r>
              <w:rPr>
                <w:rFonts w:cs="Arial"/>
                <w:szCs w:val="14"/>
              </w:rPr>
              <w:t>,</w:t>
            </w:r>
            <w:r w:rsidRPr="00EF515A">
              <w:rPr>
                <w:rFonts w:cs="Arial"/>
                <w:szCs w:val="14"/>
              </w:rPr>
              <w:t>225</w:t>
            </w:r>
            <w:r>
              <w:rPr>
                <w:rFonts w:cs="Arial"/>
                <w:szCs w:val="14"/>
              </w:rPr>
              <w:t>,</w:t>
            </w:r>
            <w:r w:rsidRPr="00EF515A">
              <w:rPr>
                <w:rFonts w:cs="Arial"/>
                <w:szCs w:val="14"/>
              </w:rPr>
              <w:t>352</w:t>
            </w:r>
          </w:p>
        </w:tc>
      </w:tr>
      <w:tr w:rsidR="00AA7F20" w:rsidRPr="00F139E2" w14:paraId="2685D3B7" w14:textId="77777777" w:rsidTr="00AA7F20">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31F932A8" w14:textId="77777777" w:rsidR="00AA7F20" w:rsidRPr="00F139E2" w:rsidRDefault="00AA7F20" w:rsidP="00AA7F20">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4E79" w:themeColor="accent1" w:themeShade="80"/>
            </w:tcBorders>
            <w:shd w:val="clear" w:color="auto" w:fill="auto"/>
          </w:tcPr>
          <w:p w14:paraId="40191393" w14:textId="77777777" w:rsidR="00AA7F20" w:rsidRPr="00F139E2"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szCs w:val="14"/>
              </w:rPr>
              <w:t>3,249,651</w:t>
            </w:r>
          </w:p>
        </w:tc>
        <w:tc>
          <w:tcPr>
            <w:tcW w:w="1275" w:type="dxa"/>
            <w:tcBorders>
              <w:top w:val="nil"/>
              <w:bottom w:val="single" w:sz="2" w:space="0" w:color="1F4E79" w:themeColor="accent1" w:themeShade="80"/>
            </w:tcBorders>
            <w:shd w:val="clear" w:color="auto" w:fill="auto"/>
          </w:tcPr>
          <w:p w14:paraId="1D10BF41" w14:textId="77777777" w:rsidR="00AA7F20" w:rsidRPr="00F139E2" w:rsidRDefault="00AA7F20" w:rsidP="00AA7F20">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EF515A">
              <w:rPr>
                <w:rFonts w:cs="Arial"/>
                <w:b/>
                <w:szCs w:val="14"/>
              </w:rPr>
              <w:t>3</w:t>
            </w:r>
            <w:r>
              <w:rPr>
                <w:rFonts w:cs="Arial"/>
                <w:b/>
                <w:szCs w:val="14"/>
              </w:rPr>
              <w:t>,</w:t>
            </w:r>
            <w:r w:rsidRPr="00EF515A">
              <w:rPr>
                <w:rFonts w:cs="Arial"/>
                <w:b/>
                <w:szCs w:val="14"/>
              </w:rPr>
              <w:t>273</w:t>
            </w:r>
            <w:r>
              <w:rPr>
                <w:rFonts w:cs="Arial"/>
                <w:b/>
                <w:szCs w:val="14"/>
              </w:rPr>
              <w:t>,</w:t>
            </w:r>
            <w:r w:rsidRPr="00EF515A">
              <w:rPr>
                <w:rFonts w:cs="Arial"/>
                <w:b/>
                <w:szCs w:val="14"/>
              </w:rPr>
              <w:t>567</w:t>
            </w:r>
          </w:p>
        </w:tc>
      </w:tr>
    </w:tbl>
    <w:p w14:paraId="7717E8AC" w14:textId="77777777" w:rsidR="00AA7F20" w:rsidRPr="001B4FAE" w:rsidRDefault="00AA7F20" w:rsidP="00AA7F20">
      <w:pPr>
        <w:pStyle w:val="04-TtuloNegrito"/>
        <w:keepNext/>
        <w:rPr>
          <w:b w:val="0"/>
          <w:sz w:val="14"/>
          <w:szCs w:val="18"/>
        </w:rPr>
      </w:pPr>
      <w:r w:rsidRPr="001B4FAE">
        <w:rPr>
          <w:b w:val="0"/>
          <w:sz w:val="14"/>
          <w:szCs w:val="18"/>
        </w:rPr>
        <w:t>(1) The variation in the balance in the interval results from the transfer of 27,203 shares from the Buyback Program to the Variable Compensation Program for Directors.</w:t>
      </w:r>
    </w:p>
    <w:p w14:paraId="6B45FC7A" w14:textId="77777777" w:rsidR="00AA7F20" w:rsidRPr="00F42C27" w:rsidRDefault="00AA7F20" w:rsidP="00AA7F20">
      <w:pPr>
        <w:pStyle w:val="04-TtuloNegrito"/>
        <w:keepNext/>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Pr>
          <w:b w:val="0"/>
          <w:sz w:val="18"/>
          <w:szCs w:val="18"/>
          <w:lang w:val="en-US"/>
        </w:rPr>
        <w:t>79</w:t>
      </w:r>
      <w:r w:rsidRPr="00E2299D">
        <w:rPr>
          <w:b w:val="0"/>
          <w:bCs/>
          <w:sz w:val="18"/>
          <w:szCs w:val="18"/>
          <w:lang w:val="en-US"/>
        </w:rPr>
        <w:t>,</w:t>
      </w:r>
      <w:r>
        <w:rPr>
          <w:b w:val="0"/>
          <w:bCs/>
          <w:sz w:val="18"/>
          <w:szCs w:val="18"/>
          <w:lang w:val="en-US"/>
        </w:rPr>
        <w:t>758</w:t>
      </w:r>
      <w:r w:rsidRPr="00E2299D">
        <w:rPr>
          <w:b w:val="0"/>
          <w:bCs/>
          <w:sz w:val="18"/>
          <w:szCs w:val="18"/>
          <w:lang w:val="en-US"/>
        </w:rPr>
        <w:t xml:space="preserve"> </w:t>
      </w:r>
      <w:r w:rsidRPr="00AB50BA">
        <w:rPr>
          <w:b w:val="0"/>
          <w:sz w:val="18"/>
          <w:szCs w:val="18"/>
          <w:lang w:val="en-US"/>
        </w:rPr>
        <w:t>thousand and the exchange price</w:t>
      </w:r>
      <w:r w:rsidRPr="00F42C27">
        <w:rPr>
          <w:b w:val="0"/>
          <w:sz w:val="18"/>
          <w:szCs w:val="18"/>
          <w:lang w:val="en-US"/>
        </w:rPr>
        <w:t xml:space="preserve"> on </w:t>
      </w:r>
      <w:r w:rsidRPr="001B4FAE">
        <w:rPr>
          <w:b w:val="0"/>
          <w:sz w:val="18"/>
          <w:szCs w:val="18"/>
          <w:lang w:val="en-US"/>
        </w:rPr>
        <w:t>March</w:t>
      </w:r>
      <w:r>
        <w:rPr>
          <w:b w:val="0"/>
          <w:sz w:val="18"/>
          <w:szCs w:val="18"/>
          <w:lang w:val="en-US"/>
        </w:rPr>
        <w:t xml:space="preserve"> </w:t>
      </w:r>
      <w:r w:rsidRPr="00F42C27">
        <w:rPr>
          <w:b w:val="0"/>
          <w:sz w:val="18"/>
          <w:szCs w:val="18"/>
          <w:lang w:val="en-US"/>
        </w:rPr>
        <w:t>3</w:t>
      </w:r>
      <w:r>
        <w:rPr>
          <w:b w:val="0"/>
          <w:sz w:val="18"/>
          <w:szCs w:val="18"/>
          <w:lang w:val="en-US"/>
        </w:rPr>
        <w:t xml:space="preserve">1, </w:t>
      </w:r>
      <w:r w:rsidRPr="00F42C27">
        <w:rPr>
          <w:b w:val="0"/>
          <w:sz w:val="18"/>
          <w:szCs w:val="18"/>
          <w:lang w:val="en-US"/>
        </w:rPr>
        <w:t>20</w:t>
      </w:r>
      <w:r>
        <w:rPr>
          <w:b w:val="0"/>
          <w:sz w:val="18"/>
          <w:szCs w:val="18"/>
          <w:lang w:val="en-US"/>
        </w:rPr>
        <w:t>23</w:t>
      </w:r>
      <w:r w:rsidRPr="00F42C27">
        <w:rPr>
          <w:b w:val="0"/>
          <w:sz w:val="18"/>
          <w:szCs w:val="18"/>
          <w:lang w:val="en-US"/>
        </w:rPr>
        <w:t xml:space="preserve"> is R$ </w:t>
      </w:r>
      <w:r>
        <w:rPr>
          <w:b w:val="0"/>
          <w:sz w:val="18"/>
          <w:szCs w:val="18"/>
          <w:lang w:val="en-US"/>
        </w:rPr>
        <w:t>105,646</w:t>
      </w:r>
      <w:r w:rsidRPr="00E2299D">
        <w:rPr>
          <w:sz w:val="18"/>
          <w:szCs w:val="18"/>
          <w:lang w:val="en-US"/>
        </w:rPr>
        <w:t xml:space="preserve"> </w:t>
      </w:r>
      <w:r w:rsidRPr="00F42C27">
        <w:rPr>
          <w:b w:val="0"/>
          <w:sz w:val="18"/>
          <w:szCs w:val="18"/>
          <w:lang w:val="en-US"/>
        </w:rPr>
        <w:t>thousand.</w:t>
      </w:r>
    </w:p>
    <w:p w14:paraId="3A6BD1D2" w14:textId="0C54711B" w:rsidR="002A1B52" w:rsidRDefault="002A1B52" w:rsidP="00CC37BC">
      <w:pPr>
        <w:pStyle w:val="02-TtulodeNota"/>
        <w:rPr>
          <w:rFonts w:eastAsiaTheme="majorEastAsia" w:cs="Arial"/>
          <w:b w:val="0"/>
          <w:bCs/>
          <w:color w:val="1F4E79" w:themeColor="accent1" w:themeShade="80"/>
        </w:rPr>
      </w:pPr>
      <w:r>
        <w:rPr>
          <w:rFonts w:eastAsiaTheme="majorEastAsia"/>
        </w:rPr>
        <w:br w:type="page"/>
      </w:r>
    </w:p>
    <w:p w14:paraId="181143BC" w14:textId="6FE70269" w:rsidR="007B06F3" w:rsidRPr="00BD3712" w:rsidRDefault="007B06F3" w:rsidP="00BD3712">
      <w:pPr>
        <w:pStyle w:val="Ttulo1"/>
        <w:rPr>
          <w:b w:val="0"/>
          <w:bCs w:val="0"/>
        </w:rPr>
      </w:pPr>
      <w:bookmarkStart w:id="62" w:name="_Toc134823590"/>
      <w:r w:rsidRPr="00BD3712">
        <w:lastRenderedPageBreak/>
        <w:t>26 – RELATED PARTY TRANSACTIONS</w:t>
      </w:r>
      <w:bookmarkEnd w:id="62"/>
    </w:p>
    <w:p w14:paraId="69604109" w14:textId="77777777" w:rsidR="007B06F3" w:rsidRPr="00D311AA" w:rsidRDefault="007B06F3" w:rsidP="00134991">
      <w:pPr>
        <w:pStyle w:val="05-Textonormal"/>
      </w:pPr>
      <w:r w:rsidRPr="00D311AA">
        <w:t>BB Seguridade and its subsidiaries have an agreement with Banco do Brasil S</w:t>
      </w:r>
      <w:r>
        <w:t>.</w:t>
      </w:r>
      <w:r w:rsidRPr="00D311AA">
        <w:t>A</w:t>
      </w:r>
      <w:r>
        <w:t xml:space="preserve">., </w:t>
      </w:r>
      <w:r w:rsidRPr="00CA0C3C">
        <w:t>signed on 01/09/2013, for a period of 20 years</w:t>
      </w:r>
      <w:r>
        <w:t>,</w:t>
      </w:r>
      <w:r w:rsidRPr="00D311AA">
        <w:t xml:space="preserve"> for apportionment and/or reimbursement of expenses and direct and indirect costs resulting from the use of the staff, material, technological and administrative resources necessary to maintain the Companies' activities and, especially the sale of products in the banking channel.</w:t>
      </w:r>
    </w:p>
    <w:p w14:paraId="2CABE9E3" w14:textId="77777777" w:rsidR="007B06F3" w:rsidRPr="00D311AA" w:rsidRDefault="007B06F3" w:rsidP="00134991">
      <w:pPr>
        <w:pStyle w:val="05-Textonormal"/>
      </w:pPr>
      <w:r w:rsidRPr="00D311AA">
        <w:t>The agreement aims to capture synergies resulting from the sharing of resources and its terms provide that the reimbursement follows apportionment criteria based on calculation methodologies foreseen in the referred agreement, observing the effective use of the resources. The apportionment amounts are calculat</w:t>
      </w:r>
      <w:r>
        <w:t>ed</w:t>
      </w:r>
      <w:r w:rsidRPr="00D311AA">
        <w:t xml:space="preserve"> and paid monthly.</w:t>
      </w:r>
    </w:p>
    <w:p w14:paraId="5A38675B" w14:textId="77777777" w:rsidR="007B06F3" w:rsidRPr="00D311AA" w:rsidRDefault="007B06F3" w:rsidP="00134991">
      <w:pPr>
        <w:pStyle w:val="05-Textonormal"/>
      </w:pPr>
      <w:r w:rsidRPr="00D311AA">
        <w:t>The costs of salaries and other benefits granted to key management personnel of the BB Seguridade (Executive Board, Audit Committee, Board of Directors, and Fiscal Council):</w:t>
      </w:r>
    </w:p>
    <w:p w14:paraId="40E1E93F" w14:textId="77777777" w:rsidR="007B06F3" w:rsidRPr="00D311AA" w:rsidRDefault="007B06F3" w:rsidP="00680B15">
      <w:pPr>
        <w:pStyle w:val="05-Textonormal"/>
        <w:spacing w:before="0" w:after="0" w:line="240" w:lineRule="auto"/>
        <w:jc w:val="right"/>
        <w:rPr>
          <w:b/>
          <w:sz w:val="14"/>
          <w:szCs w:val="14"/>
        </w:rPr>
      </w:pPr>
      <w:r w:rsidRPr="00D311AA">
        <w:rPr>
          <w:b/>
          <w:sz w:val="14"/>
          <w:szCs w:val="14"/>
        </w:rPr>
        <w:t>R$ thousand</w:t>
      </w:r>
    </w:p>
    <w:tbl>
      <w:tblPr>
        <w:tblStyle w:val="TabeladeLista6Colorida-nfase510"/>
        <w:tblW w:w="9639" w:type="dxa"/>
        <w:tblInd w:w="108" w:type="dxa"/>
        <w:tblLook w:val="04A0" w:firstRow="1" w:lastRow="0" w:firstColumn="1" w:lastColumn="0" w:noHBand="0" w:noVBand="1"/>
      </w:tblPr>
      <w:tblGrid>
        <w:gridCol w:w="2986"/>
        <w:gridCol w:w="604"/>
        <w:gridCol w:w="1411"/>
        <w:gridCol w:w="811"/>
        <w:gridCol w:w="709"/>
        <w:gridCol w:w="1592"/>
        <w:gridCol w:w="1526"/>
      </w:tblGrid>
      <w:tr w:rsidR="007B06F3" w:rsidRPr="00D311AA" w14:paraId="7051413F" w14:textId="77777777" w:rsidTr="0038786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4" w:space="0" w:color="1F4E79" w:themeColor="accent1" w:themeShade="80"/>
              <w:bottom w:val="single" w:sz="4" w:space="0" w:color="1F4E79" w:themeColor="accent1" w:themeShade="80"/>
            </w:tcBorders>
            <w:shd w:val="clear" w:color="auto" w:fill="auto"/>
          </w:tcPr>
          <w:p w14:paraId="35BDF1E6" w14:textId="77777777" w:rsidR="007B06F3" w:rsidRPr="00D311AA" w:rsidRDefault="007B06F3" w:rsidP="00835EAB">
            <w:pPr>
              <w:keepNext/>
              <w:keepLines/>
              <w:spacing w:before="40" w:after="40"/>
              <w:jc w:val="right"/>
              <w:rPr>
                <w:rFonts w:cs="Arial"/>
                <w:b w:val="0"/>
                <w:spacing w:val="-2"/>
                <w:sz w:val="14"/>
                <w:szCs w:val="14"/>
              </w:rPr>
            </w:pPr>
          </w:p>
        </w:tc>
        <w:tc>
          <w:tcPr>
            <w:tcW w:w="709" w:type="dxa"/>
            <w:tcBorders>
              <w:top w:val="single" w:sz="4" w:space="0" w:color="1F4E79" w:themeColor="accent1" w:themeShade="80"/>
              <w:bottom w:val="single" w:sz="4" w:space="0" w:color="1F4E79" w:themeColor="accent1" w:themeShade="80"/>
            </w:tcBorders>
            <w:shd w:val="clear" w:color="auto" w:fill="auto"/>
          </w:tcPr>
          <w:p w14:paraId="52F5E07E" w14:textId="77777777" w:rsidR="007B06F3" w:rsidRPr="00D311AA" w:rsidRDefault="007B06F3" w:rsidP="00835EAB">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4"/>
              </w:rPr>
            </w:pPr>
          </w:p>
        </w:tc>
        <w:tc>
          <w:tcPr>
            <w:tcW w:w="1592" w:type="dxa"/>
            <w:tcBorders>
              <w:top w:val="single" w:sz="4" w:space="0" w:color="1F4E79" w:themeColor="accent1" w:themeShade="80"/>
              <w:bottom w:val="single" w:sz="2" w:space="0" w:color="1F4E79" w:themeColor="accent1" w:themeShade="80"/>
            </w:tcBorders>
            <w:shd w:val="clear" w:color="auto" w:fill="auto"/>
          </w:tcPr>
          <w:p w14:paraId="3DB216BE" w14:textId="77777777" w:rsidR="007B06F3" w:rsidRPr="00D311AA" w:rsidRDefault="007B06F3" w:rsidP="00835EAB">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Pr>
                <w:rFonts w:cs="Arial"/>
                <w:spacing w:val="-2"/>
                <w:sz w:val="14"/>
                <w:szCs w:val="14"/>
              </w:rPr>
              <w:t>2022</w:t>
            </w:r>
          </w:p>
        </w:tc>
        <w:tc>
          <w:tcPr>
            <w:tcW w:w="1526" w:type="dxa"/>
            <w:tcBorders>
              <w:top w:val="single" w:sz="4" w:space="0" w:color="1F4E79" w:themeColor="accent1" w:themeShade="80"/>
              <w:bottom w:val="single" w:sz="2" w:space="0" w:color="1F4E79" w:themeColor="accent1" w:themeShade="80"/>
            </w:tcBorders>
            <w:shd w:val="clear" w:color="auto" w:fill="auto"/>
          </w:tcPr>
          <w:p w14:paraId="741F501C" w14:textId="77777777" w:rsidR="007B06F3" w:rsidRPr="00D311AA" w:rsidRDefault="007B06F3" w:rsidP="00835EAB">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Pr>
                <w:rFonts w:cs="Arial"/>
                <w:spacing w:val="-2"/>
                <w:sz w:val="14"/>
                <w:szCs w:val="14"/>
              </w:rPr>
              <w:t>2021</w:t>
            </w:r>
          </w:p>
        </w:tc>
      </w:tr>
      <w:tr w:rsidR="007B06F3" w:rsidRPr="00201CDF" w14:paraId="3130E643"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single" w:sz="4" w:space="0" w:color="1F4E79" w:themeColor="accent1" w:themeShade="80"/>
            </w:tcBorders>
            <w:shd w:val="clear" w:color="auto" w:fill="auto"/>
          </w:tcPr>
          <w:p w14:paraId="7841107C" w14:textId="77777777" w:rsidR="007B06F3" w:rsidRPr="00201CDF" w:rsidRDefault="007B06F3" w:rsidP="00383694">
            <w:pPr>
              <w:pStyle w:val="08-Tabelageral"/>
              <w:jc w:val="left"/>
              <w:rPr>
                <w:rFonts w:cs="Arial"/>
                <w:bCs w:val="0"/>
                <w:szCs w:val="14"/>
              </w:rPr>
            </w:pPr>
            <w:r w:rsidRPr="00201CDF">
              <w:rPr>
                <w:rFonts w:cs="Arial"/>
                <w:bCs w:val="0"/>
                <w:szCs w:val="14"/>
              </w:rPr>
              <w:t>Short-term benefits</w:t>
            </w:r>
          </w:p>
        </w:tc>
        <w:tc>
          <w:tcPr>
            <w:tcW w:w="604" w:type="dxa"/>
            <w:tcBorders>
              <w:top w:val="single" w:sz="4" w:space="0" w:color="1F4E79" w:themeColor="accent1" w:themeShade="80"/>
            </w:tcBorders>
            <w:shd w:val="clear" w:color="auto" w:fill="auto"/>
          </w:tcPr>
          <w:p w14:paraId="732255F6" w14:textId="77777777" w:rsidR="007B06F3" w:rsidRPr="00201CDF"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single" w:sz="4" w:space="0" w:color="1F4E79" w:themeColor="accent1" w:themeShade="80"/>
            </w:tcBorders>
            <w:shd w:val="clear" w:color="auto" w:fill="auto"/>
          </w:tcPr>
          <w:p w14:paraId="0748B462" w14:textId="77777777" w:rsidR="007B06F3" w:rsidRPr="00201CDF"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top w:val="single" w:sz="4" w:space="0" w:color="1F4E79" w:themeColor="accent1" w:themeShade="80"/>
            </w:tcBorders>
            <w:shd w:val="clear" w:color="auto" w:fill="auto"/>
          </w:tcPr>
          <w:p w14:paraId="0B3CCA61" w14:textId="77777777" w:rsidR="007B06F3" w:rsidRPr="00201CDF"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top w:val="single" w:sz="4" w:space="0" w:color="1F4E79" w:themeColor="accent1" w:themeShade="80"/>
            </w:tcBorders>
            <w:shd w:val="clear" w:color="auto" w:fill="auto"/>
          </w:tcPr>
          <w:p w14:paraId="362C9640" w14:textId="77777777" w:rsidR="007B06F3" w:rsidRPr="00201CDF"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single" w:sz="2" w:space="0" w:color="8EAADB" w:themeColor="accent5" w:themeTint="99"/>
            </w:tcBorders>
            <w:shd w:val="clear" w:color="auto" w:fill="auto"/>
            <w:vAlign w:val="center"/>
          </w:tcPr>
          <w:p w14:paraId="678CD2C4" w14:textId="77777777" w:rsidR="007B06F3" w:rsidRPr="00201CDF"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E3D50">
              <w:rPr>
                <w:b/>
              </w:rPr>
              <w:t>2</w:t>
            </w:r>
            <w:r>
              <w:rPr>
                <w:b/>
              </w:rPr>
              <w:t>,</w:t>
            </w:r>
            <w:r w:rsidRPr="00BE3D50">
              <w:rPr>
                <w:b/>
              </w:rPr>
              <w:t>909</w:t>
            </w:r>
          </w:p>
        </w:tc>
        <w:tc>
          <w:tcPr>
            <w:tcW w:w="1526" w:type="dxa"/>
            <w:tcBorders>
              <w:top w:val="single" w:sz="2" w:space="0" w:color="1F4E79" w:themeColor="accent1" w:themeShade="80"/>
            </w:tcBorders>
            <w:shd w:val="clear" w:color="auto" w:fill="auto"/>
            <w:vAlign w:val="center"/>
          </w:tcPr>
          <w:p w14:paraId="207E87EA" w14:textId="77777777" w:rsidR="007B06F3" w:rsidRPr="00201CDF"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E3D50">
              <w:rPr>
                <w:b/>
              </w:rPr>
              <w:t>1</w:t>
            </w:r>
            <w:r>
              <w:rPr>
                <w:b/>
              </w:rPr>
              <w:t>,</w:t>
            </w:r>
            <w:r w:rsidRPr="00BE3D50">
              <w:rPr>
                <w:b/>
              </w:rPr>
              <w:t>465</w:t>
            </w:r>
          </w:p>
        </w:tc>
      </w:tr>
      <w:tr w:rsidR="007B06F3" w:rsidRPr="00201CDF" w14:paraId="213AC3F3"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3BFE7267" w14:textId="77777777" w:rsidR="007B06F3" w:rsidRPr="00201CDF" w:rsidRDefault="007B06F3" w:rsidP="00383694">
            <w:pPr>
              <w:pStyle w:val="08-Tabelageral"/>
              <w:jc w:val="left"/>
              <w:rPr>
                <w:rFonts w:cs="Arial"/>
                <w:bCs w:val="0"/>
                <w:szCs w:val="14"/>
              </w:rPr>
            </w:pPr>
            <w:r w:rsidRPr="00201CDF">
              <w:rPr>
                <w:rFonts w:cs="Arial"/>
                <w:bCs w:val="0"/>
                <w:szCs w:val="14"/>
              </w:rPr>
              <w:t xml:space="preserve">  Fees and social charges</w:t>
            </w:r>
          </w:p>
        </w:tc>
        <w:tc>
          <w:tcPr>
            <w:tcW w:w="604" w:type="dxa"/>
            <w:shd w:val="clear" w:color="auto" w:fill="auto"/>
          </w:tcPr>
          <w:p w14:paraId="2B77BFFF" w14:textId="77777777" w:rsidR="007B06F3" w:rsidRPr="00201CDF"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2C0D66AA" w14:textId="77777777" w:rsidR="007B06F3" w:rsidRPr="00201CDF"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1928571C" w14:textId="77777777" w:rsidR="007B06F3" w:rsidRPr="00201CDF"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3BA28E5C" w14:textId="77777777" w:rsidR="007B06F3" w:rsidRPr="00201CDF"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vAlign w:val="center"/>
          </w:tcPr>
          <w:p w14:paraId="663C3A4F" w14:textId="77777777" w:rsidR="007B06F3" w:rsidRPr="00201CDF"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E3D50">
              <w:rPr>
                <w:b/>
              </w:rPr>
              <w:t>1</w:t>
            </w:r>
            <w:r>
              <w:rPr>
                <w:b/>
              </w:rPr>
              <w:t>,</w:t>
            </w:r>
            <w:r w:rsidRPr="00BE3D50">
              <w:rPr>
                <w:b/>
              </w:rPr>
              <w:t>880</w:t>
            </w:r>
          </w:p>
        </w:tc>
        <w:tc>
          <w:tcPr>
            <w:tcW w:w="1526" w:type="dxa"/>
            <w:shd w:val="clear" w:color="auto" w:fill="auto"/>
            <w:vAlign w:val="center"/>
          </w:tcPr>
          <w:p w14:paraId="2F95CF34" w14:textId="77777777" w:rsidR="007B06F3" w:rsidRPr="00201CDF"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E3D50">
              <w:rPr>
                <w:b/>
              </w:rPr>
              <w:t>1</w:t>
            </w:r>
            <w:r>
              <w:rPr>
                <w:b/>
              </w:rPr>
              <w:t>,</w:t>
            </w:r>
            <w:r w:rsidRPr="00BE3D50">
              <w:rPr>
                <w:b/>
              </w:rPr>
              <w:t>323</w:t>
            </w:r>
          </w:p>
        </w:tc>
      </w:tr>
      <w:tr w:rsidR="007B06F3" w:rsidRPr="00D311AA" w14:paraId="5BD5122F"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67C14BF" w14:textId="77777777" w:rsidR="007B06F3" w:rsidRPr="00D311AA" w:rsidRDefault="007B06F3" w:rsidP="00383694">
            <w:pPr>
              <w:pStyle w:val="08-Tabelageral"/>
              <w:jc w:val="left"/>
              <w:rPr>
                <w:rFonts w:cs="Arial"/>
                <w:b w:val="0"/>
                <w:szCs w:val="14"/>
              </w:rPr>
            </w:pPr>
            <w:r w:rsidRPr="00D311AA">
              <w:rPr>
                <w:rFonts w:cs="Arial"/>
                <w:b w:val="0"/>
                <w:szCs w:val="14"/>
              </w:rPr>
              <w:t xml:space="preserve">    Executive Board</w:t>
            </w:r>
          </w:p>
        </w:tc>
        <w:tc>
          <w:tcPr>
            <w:tcW w:w="604" w:type="dxa"/>
            <w:shd w:val="clear" w:color="auto" w:fill="auto"/>
          </w:tcPr>
          <w:p w14:paraId="4134CA90"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214BD4B9"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752C91F3"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49E801D3"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649AE0E1"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E3D50">
              <w:t>1</w:t>
            </w:r>
            <w:r>
              <w:t>,</w:t>
            </w:r>
            <w:r w:rsidRPr="00BE3D50">
              <w:t>403</w:t>
            </w:r>
          </w:p>
        </w:tc>
        <w:tc>
          <w:tcPr>
            <w:tcW w:w="1526" w:type="dxa"/>
            <w:shd w:val="clear" w:color="auto" w:fill="auto"/>
            <w:vAlign w:val="center"/>
          </w:tcPr>
          <w:p w14:paraId="24B200CA"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E3D50">
              <w:rPr>
                <w:bCs/>
              </w:rPr>
              <w:t>964</w:t>
            </w:r>
          </w:p>
        </w:tc>
      </w:tr>
      <w:tr w:rsidR="007B06F3" w:rsidRPr="00D311AA" w14:paraId="34184E73"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182775E2" w14:textId="77777777" w:rsidR="007B06F3" w:rsidRPr="00D311AA" w:rsidRDefault="007B06F3" w:rsidP="00383694">
            <w:pPr>
              <w:pStyle w:val="08-Tabelageral"/>
              <w:jc w:val="left"/>
              <w:rPr>
                <w:rFonts w:cs="Arial"/>
                <w:b w:val="0"/>
                <w:szCs w:val="14"/>
              </w:rPr>
            </w:pPr>
            <w:r w:rsidRPr="00D311AA">
              <w:rPr>
                <w:rFonts w:cs="Arial"/>
                <w:b w:val="0"/>
                <w:szCs w:val="14"/>
              </w:rPr>
              <w:t xml:space="preserve">    Audit Committee</w:t>
            </w:r>
          </w:p>
        </w:tc>
        <w:tc>
          <w:tcPr>
            <w:tcW w:w="604" w:type="dxa"/>
            <w:shd w:val="clear" w:color="auto" w:fill="auto"/>
          </w:tcPr>
          <w:p w14:paraId="3CE22CA7"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4BD7DC6F"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33305907"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60D43F0D"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4983C9F0"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E3D50">
              <w:t>181</w:t>
            </w:r>
          </w:p>
        </w:tc>
        <w:tc>
          <w:tcPr>
            <w:tcW w:w="1526" w:type="dxa"/>
            <w:shd w:val="clear" w:color="auto" w:fill="auto"/>
            <w:vAlign w:val="center"/>
          </w:tcPr>
          <w:p w14:paraId="5FE6CB76"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E3D50">
              <w:rPr>
                <w:bCs/>
              </w:rPr>
              <w:t>181</w:t>
            </w:r>
          </w:p>
        </w:tc>
      </w:tr>
      <w:tr w:rsidR="007B06F3" w:rsidRPr="00D311AA" w14:paraId="24A80DCD"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38670CA" w14:textId="77777777" w:rsidR="007B06F3" w:rsidRPr="00D311AA" w:rsidRDefault="007B06F3" w:rsidP="00383694">
            <w:pPr>
              <w:pStyle w:val="08-Tabelageral"/>
              <w:jc w:val="left"/>
              <w:rPr>
                <w:rFonts w:cs="Arial"/>
                <w:b w:val="0"/>
                <w:szCs w:val="14"/>
              </w:rPr>
            </w:pPr>
            <w:r w:rsidRPr="00D311AA">
              <w:rPr>
                <w:rFonts w:cs="Arial"/>
                <w:b w:val="0"/>
                <w:szCs w:val="14"/>
              </w:rPr>
              <w:t xml:space="preserve">    </w:t>
            </w:r>
            <w:bookmarkStart w:id="63" w:name="_Hlk109748176"/>
            <w:r w:rsidRPr="00D311AA">
              <w:rPr>
                <w:rFonts w:cs="Arial"/>
                <w:b w:val="0"/>
                <w:szCs w:val="14"/>
              </w:rPr>
              <w:t>Board of Directors</w:t>
            </w:r>
            <w:bookmarkEnd w:id="63"/>
          </w:p>
        </w:tc>
        <w:tc>
          <w:tcPr>
            <w:tcW w:w="604" w:type="dxa"/>
            <w:shd w:val="clear" w:color="auto" w:fill="auto"/>
          </w:tcPr>
          <w:p w14:paraId="77A1B525"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11AF3C63"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0AAC63D5"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127E88E5"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1B567A9B"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E3D50">
              <w:t>85</w:t>
            </w:r>
          </w:p>
        </w:tc>
        <w:tc>
          <w:tcPr>
            <w:tcW w:w="1526" w:type="dxa"/>
            <w:shd w:val="clear" w:color="auto" w:fill="auto"/>
            <w:vAlign w:val="center"/>
          </w:tcPr>
          <w:p w14:paraId="5FAA55BD"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BE3D50">
              <w:rPr>
                <w:bCs/>
              </w:rPr>
              <w:t>76</w:t>
            </w:r>
          </w:p>
        </w:tc>
      </w:tr>
      <w:tr w:rsidR="007B06F3" w:rsidRPr="00D311AA" w14:paraId="5A12D91D"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5E2638A7" w14:textId="77777777" w:rsidR="007B06F3" w:rsidRPr="00D311AA" w:rsidRDefault="007B06F3" w:rsidP="00383694">
            <w:pPr>
              <w:pStyle w:val="08-Tabelageral"/>
              <w:jc w:val="left"/>
              <w:rPr>
                <w:rFonts w:cs="Arial"/>
                <w:b w:val="0"/>
                <w:szCs w:val="14"/>
              </w:rPr>
            </w:pPr>
            <w:r w:rsidRPr="00D311AA">
              <w:rPr>
                <w:rFonts w:cs="Arial"/>
                <w:b w:val="0"/>
                <w:szCs w:val="14"/>
              </w:rPr>
              <w:t xml:space="preserve">    Fiscal Council</w:t>
            </w:r>
          </w:p>
        </w:tc>
        <w:tc>
          <w:tcPr>
            <w:tcW w:w="604" w:type="dxa"/>
            <w:shd w:val="clear" w:color="auto" w:fill="auto"/>
          </w:tcPr>
          <w:p w14:paraId="7B584DEF"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05B2BFEA"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357931AD"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05738022"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3B075A5D"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E3D50">
              <w:t>66</w:t>
            </w:r>
          </w:p>
        </w:tc>
        <w:tc>
          <w:tcPr>
            <w:tcW w:w="1526" w:type="dxa"/>
            <w:shd w:val="clear" w:color="auto" w:fill="auto"/>
            <w:vAlign w:val="center"/>
          </w:tcPr>
          <w:p w14:paraId="24227C9A" w14:textId="77777777" w:rsidR="007B06F3" w:rsidRPr="00D311AA"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BE3D50">
              <w:rPr>
                <w:bCs/>
              </w:rPr>
              <w:t>66</w:t>
            </w:r>
          </w:p>
        </w:tc>
      </w:tr>
      <w:tr w:rsidR="007B06F3" w:rsidRPr="00D311AA" w14:paraId="22F1E7C4" w14:textId="77777777" w:rsidTr="003A35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0201E14" w14:textId="77777777" w:rsidR="007B06F3" w:rsidRPr="00D311AA" w:rsidRDefault="007B06F3" w:rsidP="00383694">
            <w:pPr>
              <w:pStyle w:val="08-Tabelageral"/>
              <w:jc w:val="left"/>
              <w:rPr>
                <w:rFonts w:cs="Arial"/>
                <w:szCs w:val="14"/>
              </w:rPr>
            </w:pPr>
            <w:r w:rsidRPr="00D311AA">
              <w:rPr>
                <w:rFonts w:cs="Arial"/>
                <w:b w:val="0"/>
                <w:szCs w:val="14"/>
              </w:rPr>
              <w:t xml:space="preserve"> </w:t>
            </w:r>
            <w:r w:rsidRPr="00D311AA">
              <w:rPr>
                <w:rFonts w:cs="Arial"/>
                <w:szCs w:val="14"/>
              </w:rPr>
              <w:t xml:space="preserve">   </w:t>
            </w:r>
            <w:r w:rsidRPr="00D311AA">
              <w:rPr>
                <w:rFonts w:cs="Arial"/>
                <w:b w:val="0"/>
                <w:szCs w:val="14"/>
              </w:rPr>
              <w:t>Party Transactions Committee</w:t>
            </w:r>
            <w:r>
              <w:rPr>
                <w:rFonts w:cs="Arial"/>
                <w:b w:val="0"/>
                <w:szCs w:val="14"/>
              </w:rPr>
              <w:t xml:space="preserve"> </w:t>
            </w:r>
          </w:p>
        </w:tc>
        <w:tc>
          <w:tcPr>
            <w:tcW w:w="604" w:type="dxa"/>
            <w:shd w:val="clear" w:color="auto" w:fill="auto"/>
          </w:tcPr>
          <w:p w14:paraId="0B2EB85D"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1A638C1F"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78034DE9"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31D0DCE1"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tcPr>
          <w:p w14:paraId="34B679AF"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b/>
                <w:bCs/>
              </w:rPr>
            </w:pPr>
            <w:r w:rsidRPr="00BE3D50">
              <w:rPr>
                <w:rFonts w:cs="Arial"/>
                <w:szCs w:val="14"/>
              </w:rPr>
              <w:t>36</w:t>
            </w:r>
          </w:p>
        </w:tc>
        <w:tc>
          <w:tcPr>
            <w:tcW w:w="1526" w:type="dxa"/>
            <w:shd w:val="clear" w:color="auto" w:fill="auto"/>
          </w:tcPr>
          <w:p w14:paraId="5766EF29" w14:textId="77777777" w:rsidR="007B06F3" w:rsidRPr="00D311AA"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b/>
                <w:bCs/>
              </w:rPr>
            </w:pPr>
            <w:r w:rsidRPr="00BE3D50">
              <w:rPr>
                <w:bCs/>
              </w:rPr>
              <w:t>36</w:t>
            </w:r>
          </w:p>
        </w:tc>
      </w:tr>
      <w:tr w:rsidR="007B06F3" w:rsidRPr="00E32A3E" w14:paraId="1A223439"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355504F3" w14:textId="77777777" w:rsidR="007B06F3" w:rsidRPr="009A329F" w:rsidRDefault="007B06F3" w:rsidP="00383694">
            <w:pPr>
              <w:pStyle w:val="08-Tabelageral"/>
              <w:jc w:val="left"/>
              <w:rPr>
                <w:rFonts w:cs="Arial"/>
                <w:b w:val="0"/>
                <w:bCs w:val="0"/>
                <w:szCs w:val="14"/>
              </w:rPr>
            </w:pPr>
            <w:r>
              <w:rPr>
                <w:rFonts w:cs="Arial"/>
                <w:szCs w:val="14"/>
              </w:rPr>
              <w:t xml:space="preserve">    </w:t>
            </w:r>
            <w:r w:rsidRPr="009A329F">
              <w:rPr>
                <w:rFonts w:cs="Arial"/>
                <w:b w:val="0"/>
                <w:bCs w:val="0"/>
                <w:szCs w:val="14"/>
              </w:rPr>
              <w:t>Risks and capital Committee</w:t>
            </w:r>
            <w:r>
              <w:rPr>
                <w:rFonts w:cs="Arial"/>
                <w:b w:val="0"/>
                <w:bCs w:val="0"/>
                <w:szCs w:val="14"/>
              </w:rPr>
              <w:t xml:space="preserve"> </w:t>
            </w:r>
            <w:r w:rsidRPr="00F24A70">
              <w:rPr>
                <w:rFonts w:cs="Arial"/>
                <w:b w:val="0"/>
                <w:szCs w:val="14"/>
                <w:vertAlign w:val="superscript"/>
              </w:rPr>
              <w:t>(1)</w:t>
            </w:r>
          </w:p>
        </w:tc>
        <w:tc>
          <w:tcPr>
            <w:tcW w:w="604" w:type="dxa"/>
            <w:shd w:val="clear" w:color="auto" w:fill="auto"/>
          </w:tcPr>
          <w:p w14:paraId="19ABA157"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68594FE2"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455A83AB"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3C7A068C"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3059F104"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b/>
              </w:rPr>
            </w:pPr>
            <w:r w:rsidRPr="00BE3D50">
              <w:rPr>
                <w:rFonts w:cs="Arial"/>
                <w:szCs w:val="14"/>
              </w:rPr>
              <w:t>109</w:t>
            </w:r>
          </w:p>
        </w:tc>
        <w:tc>
          <w:tcPr>
            <w:tcW w:w="1526" w:type="dxa"/>
            <w:shd w:val="clear" w:color="auto" w:fill="auto"/>
          </w:tcPr>
          <w:p w14:paraId="057FFD39"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Cs/>
                <w:szCs w:val="14"/>
              </w:rPr>
              <w:t>-</w:t>
            </w:r>
            <w:r w:rsidRPr="00BE3D50">
              <w:rPr>
                <w:rFonts w:cs="Arial"/>
                <w:bCs/>
                <w:szCs w:val="14"/>
              </w:rPr>
              <w:t>-</w:t>
            </w:r>
          </w:p>
        </w:tc>
      </w:tr>
      <w:tr w:rsidR="007B06F3" w:rsidRPr="00E32A3E" w14:paraId="0E1041F5"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D3A313F" w14:textId="77777777" w:rsidR="007B06F3" w:rsidRPr="00E32A3E" w:rsidRDefault="007B06F3" w:rsidP="00383694">
            <w:pPr>
              <w:pStyle w:val="08-Tabelageral"/>
              <w:jc w:val="left"/>
              <w:rPr>
                <w:rFonts w:cs="Arial"/>
                <w:bCs w:val="0"/>
                <w:szCs w:val="14"/>
              </w:rPr>
            </w:pPr>
            <w:r w:rsidRPr="00E32A3E">
              <w:rPr>
                <w:rFonts w:cs="Arial"/>
                <w:bCs w:val="0"/>
                <w:szCs w:val="14"/>
              </w:rPr>
              <w:t xml:space="preserve">   Variable Remuneration </w:t>
            </w:r>
            <w:r w:rsidRPr="00E32A3E">
              <w:rPr>
                <w:rFonts w:cs="Arial"/>
                <w:bCs w:val="0"/>
                <w:szCs w:val="14"/>
                <w:vertAlign w:val="superscript"/>
              </w:rPr>
              <w:t>(</w:t>
            </w:r>
            <w:r>
              <w:rPr>
                <w:rFonts w:cs="Arial"/>
                <w:bCs w:val="0"/>
                <w:szCs w:val="14"/>
                <w:vertAlign w:val="superscript"/>
              </w:rPr>
              <w:t>2</w:t>
            </w:r>
            <w:r w:rsidRPr="00E32A3E">
              <w:rPr>
                <w:rFonts w:cs="Arial"/>
                <w:bCs w:val="0"/>
                <w:szCs w:val="14"/>
                <w:vertAlign w:val="superscript"/>
              </w:rPr>
              <w:t>)</w:t>
            </w:r>
          </w:p>
        </w:tc>
        <w:tc>
          <w:tcPr>
            <w:tcW w:w="604" w:type="dxa"/>
            <w:shd w:val="clear" w:color="auto" w:fill="auto"/>
          </w:tcPr>
          <w:p w14:paraId="2C7FFCC1"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shd w:val="clear" w:color="auto" w:fill="auto"/>
          </w:tcPr>
          <w:p w14:paraId="45103ACD"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shd w:val="clear" w:color="auto" w:fill="auto"/>
          </w:tcPr>
          <w:p w14:paraId="1AAC9747"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shd w:val="clear" w:color="auto" w:fill="auto"/>
          </w:tcPr>
          <w:p w14:paraId="6A34393C"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shd w:val="clear" w:color="auto" w:fill="auto"/>
          </w:tcPr>
          <w:p w14:paraId="7084A6B5"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E3D50">
              <w:rPr>
                <w:b/>
              </w:rPr>
              <w:t>872</w:t>
            </w:r>
          </w:p>
        </w:tc>
        <w:tc>
          <w:tcPr>
            <w:tcW w:w="1526" w:type="dxa"/>
            <w:shd w:val="clear" w:color="auto" w:fill="auto"/>
          </w:tcPr>
          <w:p w14:paraId="2BFC6DE2"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w:t>
            </w:r>
            <w:r w:rsidRPr="00BE3D50">
              <w:rPr>
                <w:b/>
              </w:rPr>
              <w:t>-</w:t>
            </w:r>
          </w:p>
        </w:tc>
      </w:tr>
      <w:tr w:rsidR="007B06F3" w:rsidRPr="00E32A3E" w14:paraId="54CE936D"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0BF1917" w14:textId="77777777" w:rsidR="007B06F3" w:rsidRPr="00E32A3E" w:rsidRDefault="007B06F3" w:rsidP="00383694">
            <w:pPr>
              <w:pStyle w:val="08-Tabelageral"/>
              <w:jc w:val="left"/>
              <w:rPr>
                <w:rFonts w:cs="Arial"/>
                <w:bCs w:val="0"/>
                <w:szCs w:val="14"/>
              </w:rPr>
            </w:pPr>
            <w:r w:rsidRPr="00E32A3E">
              <w:rPr>
                <w:rFonts w:cs="Arial"/>
                <w:bCs w:val="0"/>
                <w:szCs w:val="14"/>
              </w:rPr>
              <w:t xml:space="preserve">  Other </w:t>
            </w:r>
            <w:r w:rsidRPr="00E32A3E">
              <w:rPr>
                <w:rFonts w:cs="Arial"/>
                <w:bCs w:val="0"/>
                <w:szCs w:val="14"/>
                <w:vertAlign w:val="superscript"/>
              </w:rPr>
              <w:t>(</w:t>
            </w:r>
            <w:r>
              <w:rPr>
                <w:rFonts w:cs="Arial"/>
                <w:bCs w:val="0"/>
                <w:szCs w:val="14"/>
                <w:vertAlign w:val="superscript"/>
              </w:rPr>
              <w:t>3</w:t>
            </w:r>
            <w:r w:rsidRPr="00E32A3E">
              <w:rPr>
                <w:rFonts w:cs="Arial"/>
                <w:bCs w:val="0"/>
                <w:szCs w:val="14"/>
                <w:vertAlign w:val="superscript"/>
              </w:rPr>
              <w:t>)</w:t>
            </w:r>
          </w:p>
        </w:tc>
        <w:tc>
          <w:tcPr>
            <w:tcW w:w="604" w:type="dxa"/>
            <w:shd w:val="clear" w:color="auto" w:fill="auto"/>
          </w:tcPr>
          <w:p w14:paraId="5E324CF6"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4ABF6FC1"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2D2F18A7"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02D19AD5"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3E2DA0E4"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E3D50">
              <w:rPr>
                <w:b/>
              </w:rPr>
              <w:t>157</w:t>
            </w:r>
          </w:p>
        </w:tc>
        <w:tc>
          <w:tcPr>
            <w:tcW w:w="1526" w:type="dxa"/>
            <w:shd w:val="clear" w:color="auto" w:fill="auto"/>
          </w:tcPr>
          <w:p w14:paraId="7782178E"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E3D50">
              <w:rPr>
                <w:b/>
              </w:rPr>
              <w:t>142</w:t>
            </w:r>
          </w:p>
        </w:tc>
      </w:tr>
      <w:tr w:rsidR="007B06F3" w:rsidRPr="00E32A3E" w14:paraId="3F4EEAC1"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bottom w:val="nil"/>
            </w:tcBorders>
            <w:shd w:val="clear" w:color="auto" w:fill="auto"/>
          </w:tcPr>
          <w:p w14:paraId="13FAABB8" w14:textId="77777777" w:rsidR="007B06F3" w:rsidRPr="00E32A3E" w:rsidRDefault="007B06F3" w:rsidP="00383694">
            <w:pPr>
              <w:pStyle w:val="08-Tabelageral"/>
              <w:jc w:val="left"/>
              <w:rPr>
                <w:rFonts w:cs="Arial"/>
                <w:bCs w:val="0"/>
                <w:szCs w:val="14"/>
              </w:rPr>
            </w:pPr>
            <w:r w:rsidRPr="00E32A3E">
              <w:rPr>
                <w:rFonts w:cs="Arial"/>
                <w:bCs w:val="0"/>
                <w:szCs w:val="14"/>
              </w:rPr>
              <w:t xml:space="preserve">Variable Wage Program </w:t>
            </w:r>
            <w:r w:rsidRPr="00E32A3E">
              <w:rPr>
                <w:rFonts w:cs="Arial"/>
                <w:bCs w:val="0"/>
                <w:szCs w:val="14"/>
                <w:vertAlign w:val="superscript"/>
              </w:rPr>
              <w:t>(</w:t>
            </w:r>
            <w:r>
              <w:rPr>
                <w:rFonts w:cs="Arial"/>
                <w:bCs w:val="0"/>
                <w:szCs w:val="14"/>
                <w:vertAlign w:val="superscript"/>
              </w:rPr>
              <w:t>4</w:t>
            </w:r>
            <w:r w:rsidRPr="00E32A3E">
              <w:rPr>
                <w:rFonts w:cs="Arial"/>
                <w:bCs w:val="0"/>
                <w:szCs w:val="14"/>
                <w:vertAlign w:val="superscript"/>
              </w:rPr>
              <w:t>)</w:t>
            </w:r>
          </w:p>
        </w:tc>
        <w:tc>
          <w:tcPr>
            <w:tcW w:w="604" w:type="dxa"/>
            <w:tcBorders>
              <w:bottom w:val="nil"/>
            </w:tcBorders>
            <w:shd w:val="clear" w:color="auto" w:fill="auto"/>
          </w:tcPr>
          <w:p w14:paraId="129A73A2"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bottom w:val="nil"/>
            </w:tcBorders>
            <w:shd w:val="clear" w:color="auto" w:fill="auto"/>
          </w:tcPr>
          <w:p w14:paraId="4A52D3C2"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bottom w:val="nil"/>
            </w:tcBorders>
            <w:shd w:val="clear" w:color="auto" w:fill="auto"/>
          </w:tcPr>
          <w:p w14:paraId="6692A55F"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bottom w:val="nil"/>
            </w:tcBorders>
            <w:shd w:val="clear" w:color="auto" w:fill="auto"/>
          </w:tcPr>
          <w:p w14:paraId="22DF1CEF"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bottom w:val="nil"/>
            </w:tcBorders>
            <w:shd w:val="clear" w:color="auto" w:fill="auto"/>
          </w:tcPr>
          <w:p w14:paraId="6465B41F"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BE3D50">
              <w:rPr>
                <w:b/>
              </w:rPr>
              <w:t>1</w:t>
            </w:r>
            <w:r>
              <w:rPr>
                <w:b/>
              </w:rPr>
              <w:t>,</w:t>
            </w:r>
            <w:r w:rsidRPr="00BE3D50">
              <w:rPr>
                <w:b/>
              </w:rPr>
              <w:t>124</w:t>
            </w:r>
          </w:p>
        </w:tc>
        <w:tc>
          <w:tcPr>
            <w:tcW w:w="1526" w:type="dxa"/>
            <w:tcBorders>
              <w:bottom w:val="nil"/>
            </w:tcBorders>
            <w:shd w:val="clear" w:color="auto" w:fill="auto"/>
          </w:tcPr>
          <w:p w14:paraId="2CBBE50D" w14:textId="77777777" w:rsidR="007B06F3" w:rsidRPr="00E32A3E" w:rsidRDefault="007B06F3" w:rsidP="0038369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w:t>
            </w:r>
            <w:r w:rsidRPr="00BE3D50">
              <w:rPr>
                <w:b/>
              </w:rPr>
              <w:t>-</w:t>
            </w:r>
          </w:p>
        </w:tc>
      </w:tr>
      <w:tr w:rsidR="007B06F3" w:rsidRPr="00E32A3E" w14:paraId="18A46CBC"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single" w:sz="2" w:space="0" w:color="1F4E79" w:themeColor="accent1" w:themeShade="80"/>
            </w:tcBorders>
            <w:shd w:val="clear" w:color="auto" w:fill="auto"/>
          </w:tcPr>
          <w:p w14:paraId="5190CF72" w14:textId="77777777" w:rsidR="007B06F3" w:rsidRPr="00E32A3E" w:rsidRDefault="007B06F3" w:rsidP="00383694">
            <w:pPr>
              <w:pStyle w:val="08-Tabelageral"/>
              <w:jc w:val="left"/>
              <w:rPr>
                <w:rFonts w:cs="Arial"/>
                <w:bCs w:val="0"/>
                <w:szCs w:val="14"/>
              </w:rPr>
            </w:pPr>
            <w:r w:rsidRPr="00E32A3E">
              <w:rPr>
                <w:rFonts w:cs="Arial"/>
                <w:bCs w:val="0"/>
                <w:szCs w:val="14"/>
              </w:rPr>
              <w:t>Total</w:t>
            </w:r>
          </w:p>
        </w:tc>
        <w:tc>
          <w:tcPr>
            <w:tcW w:w="604" w:type="dxa"/>
            <w:tcBorders>
              <w:top w:val="nil"/>
              <w:bottom w:val="single" w:sz="2" w:space="0" w:color="1F4E79" w:themeColor="accent1" w:themeShade="80"/>
            </w:tcBorders>
            <w:shd w:val="clear" w:color="auto" w:fill="auto"/>
          </w:tcPr>
          <w:p w14:paraId="3B732061"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bottom w:val="single" w:sz="2" w:space="0" w:color="1F4E79" w:themeColor="accent1" w:themeShade="80"/>
            </w:tcBorders>
            <w:shd w:val="clear" w:color="auto" w:fill="auto"/>
          </w:tcPr>
          <w:p w14:paraId="4AAE0C85"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tcBorders>
              <w:top w:val="nil"/>
              <w:bottom w:val="single" w:sz="2" w:space="0" w:color="1F4E79" w:themeColor="accent1" w:themeShade="80"/>
            </w:tcBorders>
            <w:shd w:val="clear" w:color="auto" w:fill="auto"/>
          </w:tcPr>
          <w:p w14:paraId="122317A5"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tcBorders>
              <w:top w:val="nil"/>
              <w:bottom w:val="single" w:sz="2" w:space="0" w:color="1F4E79" w:themeColor="accent1" w:themeShade="80"/>
            </w:tcBorders>
            <w:shd w:val="clear" w:color="auto" w:fill="auto"/>
          </w:tcPr>
          <w:p w14:paraId="674ED9CC"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bottom w:val="single" w:sz="4" w:space="0" w:color="1F4E79" w:themeColor="accent1" w:themeShade="80"/>
            </w:tcBorders>
            <w:shd w:val="clear" w:color="auto" w:fill="auto"/>
          </w:tcPr>
          <w:p w14:paraId="5706648A"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E3D50">
              <w:rPr>
                <w:b/>
              </w:rPr>
              <w:t>4</w:t>
            </w:r>
            <w:r>
              <w:rPr>
                <w:b/>
              </w:rPr>
              <w:t>,</w:t>
            </w:r>
            <w:r w:rsidRPr="00BE3D50">
              <w:rPr>
                <w:b/>
              </w:rPr>
              <w:t>033</w:t>
            </w:r>
          </w:p>
        </w:tc>
        <w:tc>
          <w:tcPr>
            <w:tcW w:w="1526" w:type="dxa"/>
            <w:tcBorders>
              <w:top w:val="nil"/>
              <w:bottom w:val="single" w:sz="4" w:space="0" w:color="1F4E79" w:themeColor="accent1" w:themeShade="80"/>
            </w:tcBorders>
            <w:shd w:val="clear" w:color="auto" w:fill="auto"/>
          </w:tcPr>
          <w:p w14:paraId="2B4BDE85" w14:textId="77777777" w:rsidR="007B06F3" w:rsidRPr="00E32A3E" w:rsidRDefault="007B06F3" w:rsidP="0038369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BE3D50">
              <w:rPr>
                <w:b/>
              </w:rPr>
              <w:t>1</w:t>
            </w:r>
            <w:r>
              <w:rPr>
                <w:b/>
              </w:rPr>
              <w:t>,</w:t>
            </w:r>
            <w:r w:rsidRPr="00BE3D50">
              <w:rPr>
                <w:b/>
              </w:rPr>
              <w:t>465</w:t>
            </w:r>
          </w:p>
        </w:tc>
      </w:tr>
    </w:tbl>
    <w:p w14:paraId="76EC28A8" w14:textId="77777777" w:rsidR="007B06F3" w:rsidRDefault="007B06F3" w:rsidP="007B06F3">
      <w:pPr>
        <w:pStyle w:val="07-Legenda"/>
        <w:numPr>
          <w:ilvl w:val="0"/>
          <w:numId w:val="25"/>
        </w:numPr>
        <w:spacing w:before="0"/>
        <w:ind w:left="284" w:hanging="284"/>
        <w:rPr>
          <w:rStyle w:val="tlid-translation"/>
        </w:rPr>
      </w:pPr>
      <w:r w:rsidRPr="00D72853">
        <w:rPr>
          <w:rStyle w:val="tlid-translation"/>
        </w:rPr>
        <w:t xml:space="preserve">Committee established on </w:t>
      </w:r>
      <w:r>
        <w:rPr>
          <w:rStyle w:val="tlid-translation"/>
        </w:rPr>
        <w:t>April 20, 2022</w:t>
      </w:r>
      <w:r w:rsidRPr="00D72853">
        <w:rPr>
          <w:rStyle w:val="tlid-translation"/>
        </w:rPr>
        <w:t>, according to the</w:t>
      </w:r>
      <w:r>
        <w:rPr>
          <w:rStyle w:val="tlid-translation"/>
        </w:rPr>
        <w:t xml:space="preserve"> meeting of </w:t>
      </w:r>
      <w:r w:rsidRPr="00D72853">
        <w:rPr>
          <w:rStyle w:val="tlid-translation"/>
        </w:rPr>
        <w:t>Board of Directors</w:t>
      </w:r>
      <w:r>
        <w:rPr>
          <w:rStyle w:val="tlid-translation"/>
        </w:rPr>
        <w:t>.</w:t>
      </w:r>
    </w:p>
    <w:p w14:paraId="5CE0B65B" w14:textId="77777777" w:rsidR="007B06F3" w:rsidRPr="001D35EB" w:rsidRDefault="007B06F3" w:rsidP="007B06F3">
      <w:pPr>
        <w:pStyle w:val="07-Legenda"/>
        <w:numPr>
          <w:ilvl w:val="0"/>
          <w:numId w:val="25"/>
        </w:numPr>
        <w:spacing w:before="0"/>
        <w:ind w:left="284" w:hanging="284"/>
        <w:rPr>
          <w:rStyle w:val="tlid-translation"/>
          <w:lang w:val="en"/>
        </w:rPr>
      </w:pPr>
      <w:r w:rsidRPr="00D311AA">
        <w:rPr>
          <w:rStyle w:val="tlid-translation"/>
          <w:lang w:val="en"/>
        </w:rPr>
        <w:t xml:space="preserve">Refers to the amount payment cash Variable Compensation Program for Directors, </w:t>
      </w:r>
      <w:r w:rsidRPr="001D35EB">
        <w:rPr>
          <w:rStyle w:val="tlid-translation"/>
          <w:lang w:val="en"/>
        </w:rPr>
        <w:t xml:space="preserve">advance in </w:t>
      </w:r>
      <w:r>
        <w:rPr>
          <w:rStyle w:val="tlid-translation"/>
          <w:lang w:val="en"/>
        </w:rPr>
        <w:t>cash</w:t>
      </w:r>
      <w:r w:rsidRPr="001D35EB">
        <w:rPr>
          <w:rStyle w:val="tlid-translation"/>
          <w:lang w:val="en"/>
        </w:rPr>
        <w:t xml:space="preserve"> of</w:t>
      </w:r>
      <w:r>
        <w:rPr>
          <w:rStyle w:val="tlid-translation"/>
          <w:lang w:val="en"/>
        </w:rPr>
        <w:t xml:space="preserve"> Program</w:t>
      </w:r>
      <w:r w:rsidRPr="001D35EB">
        <w:rPr>
          <w:rStyle w:val="tlid-translation"/>
          <w:lang w:val="en"/>
        </w:rPr>
        <w:t xml:space="preserve"> 2022.</w:t>
      </w:r>
    </w:p>
    <w:p w14:paraId="33C0AEAE" w14:textId="77777777" w:rsidR="007B06F3" w:rsidRPr="00D311AA" w:rsidRDefault="007B06F3" w:rsidP="007B06F3">
      <w:pPr>
        <w:pStyle w:val="07-Legenda"/>
        <w:numPr>
          <w:ilvl w:val="0"/>
          <w:numId w:val="25"/>
        </w:numPr>
        <w:spacing w:before="0"/>
        <w:ind w:left="284" w:hanging="284"/>
        <w:rPr>
          <w:szCs w:val="14"/>
        </w:rPr>
      </w:pPr>
      <w:r w:rsidRPr="00D311AA">
        <w:rPr>
          <w:rStyle w:val="tlid-translation"/>
        </w:rPr>
        <w:t>Benefits considered: medical care, health assessment</w:t>
      </w:r>
      <w:r>
        <w:rPr>
          <w:rStyle w:val="tlid-translation"/>
        </w:rPr>
        <w:t xml:space="preserve"> </w:t>
      </w:r>
      <w:r w:rsidRPr="00AA76FB">
        <w:rPr>
          <w:rStyle w:val="tlid-translation"/>
        </w:rPr>
        <w:t>(promotion and prevention actions in occupational health)</w:t>
      </w:r>
      <w:r w:rsidRPr="00D311AA">
        <w:rPr>
          <w:rStyle w:val="tlid-translation"/>
        </w:rPr>
        <w:t>, life insurance, removal advantage</w:t>
      </w:r>
      <w:r w:rsidRPr="00AA76FB">
        <w:rPr>
          <w:rStyle w:val="tlid-translation"/>
        </w:rPr>
        <w:t xml:space="preserve"> (partial cost of expenses in case of removal to other locations) </w:t>
      </w:r>
      <w:r w:rsidRPr="00D311AA">
        <w:rPr>
          <w:rStyle w:val="tlid-translation"/>
        </w:rPr>
        <w:t>and supplementary pension plan of the administrators.</w:t>
      </w:r>
      <w:r w:rsidRPr="00D311AA">
        <w:rPr>
          <w:szCs w:val="14"/>
        </w:rPr>
        <w:t xml:space="preserve"> </w:t>
      </w:r>
    </w:p>
    <w:p w14:paraId="01FA1917" w14:textId="77777777" w:rsidR="007B06F3" w:rsidRDefault="007B06F3" w:rsidP="007B06F3">
      <w:pPr>
        <w:pStyle w:val="07-Legenda"/>
        <w:numPr>
          <w:ilvl w:val="0"/>
          <w:numId w:val="25"/>
        </w:numPr>
        <w:spacing w:before="0"/>
        <w:ind w:left="284" w:hanging="284"/>
        <w:rPr>
          <w:rStyle w:val="tlid-translation"/>
        </w:rPr>
      </w:pPr>
      <w:r w:rsidRPr="00D311AA">
        <w:rPr>
          <w:rStyle w:val="tlid-translation"/>
        </w:rPr>
        <w:t>Refers to the cost of shares relating to the installments of the share-based payment programs for 2018, 2019</w:t>
      </w:r>
      <w:r>
        <w:rPr>
          <w:rStyle w:val="tlid-translation"/>
        </w:rPr>
        <w:t>, 2020, 2021 and 2022.</w:t>
      </w:r>
    </w:p>
    <w:p w14:paraId="72A12C98" w14:textId="77777777" w:rsidR="007B06F3" w:rsidRPr="00D311AA" w:rsidRDefault="007B06F3" w:rsidP="00A734BF">
      <w:pPr>
        <w:pStyle w:val="07-Legenda"/>
        <w:spacing w:before="0"/>
        <w:rPr>
          <w:szCs w:val="14"/>
        </w:rPr>
      </w:pPr>
    </w:p>
    <w:p w14:paraId="2C38A7A0" w14:textId="77777777" w:rsidR="007B06F3" w:rsidRPr="00CD4E5E" w:rsidRDefault="007B06F3" w:rsidP="00CD4E5E">
      <w:pPr>
        <w:pStyle w:val="05-Textonormal"/>
      </w:pPr>
      <w:r w:rsidRPr="00CD4E5E">
        <w:t>There was no</w:t>
      </w:r>
      <w:r>
        <w:t>t</w:t>
      </w:r>
      <w:r w:rsidRPr="00CD4E5E">
        <w:t xml:space="preserve"> change in the remuneration received by the members of the Executive Board and of the Statutory Boards and Committees, as per item “c” below.</w:t>
      </w:r>
    </w:p>
    <w:p w14:paraId="14837EF8" w14:textId="77777777" w:rsidR="007B06F3" w:rsidRPr="00D311AA" w:rsidRDefault="007B06F3" w:rsidP="00134991">
      <w:pPr>
        <w:pStyle w:val="05-Textonormal"/>
      </w:pPr>
      <w:r w:rsidRPr="00D311AA">
        <w:t xml:space="preserve">According to the variable remuneration policy of BB Seguridade, established in accordance with Law 6404/1976, Article 152 and Accounting Pronouncements Committee 10 </w:t>
      </w:r>
      <w:r>
        <w:t xml:space="preserve">- </w:t>
      </w:r>
      <w:r w:rsidRPr="00D311AA">
        <w:t>CPC 10</w:t>
      </w:r>
      <w:r>
        <w:t xml:space="preserve"> (R1) [IFRS 2] -</w:t>
      </w:r>
      <w:r w:rsidRPr="00D311AA">
        <w:t xml:space="preserve"> Share-based Payment, the part of variable remuneration of the Executive Board is paid in shares.</w:t>
      </w:r>
    </w:p>
    <w:p w14:paraId="13AA9B68" w14:textId="77777777" w:rsidR="007B06F3" w:rsidRPr="00D311AA" w:rsidRDefault="007B06F3" w:rsidP="00134991">
      <w:pPr>
        <w:pStyle w:val="05-Textonormal"/>
        <w:rPr>
          <w:rStyle w:val="tlid-translation"/>
        </w:rPr>
      </w:pPr>
      <w:r w:rsidRPr="00D311AA">
        <w:rPr>
          <w:rStyle w:val="tlid-translation"/>
        </w:rPr>
        <w:t>BB Seguridade does not provide post-employment benefits to its key management personnel or to its employees.</w:t>
      </w:r>
    </w:p>
    <w:p w14:paraId="131897CF" w14:textId="77777777" w:rsidR="007B06F3" w:rsidRPr="00D311AA" w:rsidRDefault="007B06F3" w:rsidP="00134991">
      <w:pPr>
        <w:pStyle w:val="05-Textonormal"/>
      </w:pPr>
      <w:r w:rsidRPr="00D311AA">
        <w:rPr>
          <w:rStyle w:val="tlid-translation"/>
        </w:rPr>
        <w:t xml:space="preserve">Current personnel costs </w:t>
      </w:r>
      <w:r>
        <w:rPr>
          <w:rStyle w:val="tlid-translation"/>
        </w:rPr>
        <w:t>are</w:t>
      </w:r>
      <w:r w:rsidRPr="00D311AA">
        <w:rPr>
          <w:rStyle w:val="tlid-translation"/>
        </w:rPr>
        <w:t xml:space="preserve"> reimbursed to the controller Banco do Brasil S.A., under the employee assignment agreement, in the period in which they are allocated to the Company's activities.</w:t>
      </w:r>
    </w:p>
    <w:p w14:paraId="3184AE6D" w14:textId="77777777" w:rsidR="007B06F3" w:rsidRPr="00D311AA" w:rsidRDefault="007B06F3" w:rsidP="00134991">
      <w:pPr>
        <w:pStyle w:val="05-Textonormal"/>
      </w:pPr>
      <w:r w:rsidRPr="00D311AA">
        <w:t>The Group trades banking transactions with its Controller, Banco do Brasil S.A. such as current account deposits (unpaid), corporate cards, financial applications, service deliveries and warranty in conditions equivalent to those available to other customers.</w:t>
      </w:r>
    </w:p>
    <w:p w14:paraId="4A24575A" w14:textId="77777777" w:rsidR="007B06F3" w:rsidRDefault="007B06F3" w:rsidP="00134991">
      <w:pPr>
        <w:pStyle w:val="05-Textonormal"/>
      </w:pPr>
      <w:r w:rsidRPr="00D311AA">
        <w:t>The Group does not grant loans to its Directors, Fiscal Council members, Board of Directors and Audit Committee.</w:t>
      </w:r>
    </w:p>
    <w:p w14:paraId="6F37E3AC" w14:textId="77777777" w:rsidR="007B06F3" w:rsidRDefault="007B06F3" w:rsidP="00401D06">
      <w:pPr>
        <w:pStyle w:val="05-Textonormal"/>
      </w:pPr>
      <w:r>
        <w:t>BB Seguros has commercialization contracts for insurance products in the banking channel with all its investees, the main ones being listed below:</w:t>
      </w:r>
    </w:p>
    <w:p w14:paraId="4E261E5E" w14:textId="77777777" w:rsidR="007B06F3" w:rsidRDefault="007B06F3" w:rsidP="007B06F3">
      <w:pPr>
        <w:pStyle w:val="05-Textonormal"/>
        <w:numPr>
          <w:ilvl w:val="0"/>
          <w:numId w:val="19"/>
        </w:numPr>
        <w:ind w:left="426" w:hanging="142"/>
      </w:pPr>
      <w:r>
        <w:t>Brasilseg Companhia de Seguros S.A. and Aliança do Brasil Seguros S.A., subsidiaries of BB Mapfre Participações S.A., for the sale of insurance, signed on 06/30/2011, valid until 06/30/2031, renewable for subsequent periods of 5 years.</w:t>
      </w:r>
    </w:p>
    <w:p w14:paraId="2767D0BF" w14:textId="77777777" w:rsidR="007B06F3" w:rsidRDefault="007B06F3" w:rsidP="007B06F3">
      <w:pPr>
        <w:pStyle w:val="05-Textonormal"/>
        <w:numPr>
          <w:ilvl w:val="0"/>
          <w:numId w:val="19"/>
        </w:numPr>
        <w:ind w:left="426" w:hanging="142"/>
      </w:pPr>
      <w:r>
        <w:t>Brasilprev Seguros e Previdência S.A., for the sale of private pension plans, signed on 10/06/1999, for a period of 5 years, automatically renewable for equal periods.</w:t>
      </w:r>
    </w:p>
    <w:p w14:paraId="54BFE5A2" w14:textId="77777777" w:rsidR="007B06F3" w:rsidRPr="00D311AA" w:rsidRDefault="007B06F3" w:rsidP="007B06F3">
      <w:pPr>
        <w:pStyle w:val="05-Textonormal"/>
        <w:numPr>
          <w:ilvl w:val="0"/>
          <w:numId w:val="19"/>
        </w:numPr>
        <w:ind w:left="426" w:hanging="142"/>
      </w:pPr>
      <w:r>
        <w:t>Brasilcap Capitalização S.A., for the sale of capitalization bonds, signed on 07/14/1999, for a period of 5 years, automatically renewable for equal periods.</w:t>
      </w:r>
    </w:p>
    <w:p w14:paraId="60D9652C" w14:textId="77777777" w:rsidR="007B06F3" w:rsidRDefault="007B06F3" w:rsidP="00134991">
      <w:pPr>
        <w:pStyle w:val="05-Textonormal"/>
      </w:pPr>
      <w:r w:rsidRPr="00D311AA">
        <w:t>The schedules below introduce the main transactions involving the companies within the effective utilization of resources:</w:t>
      </w:r>
    </w:p>
    <w:p w14:paraId="7506A9C3" w14:textId="77777777" w:rsidR="002A1B52" w:rsidRDefault="002A1B52">
      <w:pPr>
        <w:rPr>
          <w:rFonts w:eastAsia="Times New Roman" w:cs="Times New Roman"/>
          <w:b/>
          <w:color w:val="1F4E79" w:themeColor="accent1" w:themeShade="80"/>
          <w:spacing w:val="-2"/>
          <w:szCs w:val="18"/>
          <w:lang w:eastAsia="pt-BR"/>
        </w:rPr>
      </w:pPr>
      <w:r>
        <w:rPr>
          <w:color w:val="1F4E79" w:themeColor="accent1" w:themeShade="80"/>
          <w:szCs w:val="18"/>
        </w:rPr>
        <w:br w:type="page"/>
      </w:r>
    </w:p>
    <w:p w14:paraId="0F0B235A" w14:textId="555D3D54" w:rsidR="007B06F3" w:rsidRPr="00B71A21" w:rsidRDefault="007B06F3" w:rsidP="007B06F3">
      <w:pPr>
        <w:pStyle w:val="03-SubttulodeNota"/>
        <w:numPr>
          <w:ilvl w:val="0"/>
          <w:numId w:val="18"/>
        </w:numPr>
        <w:ind w:left="284" w:hanging="284"/>
        <w:rPr>
          <w:color w:val="1F4E79" w:themeColor="accent1" w:themeShade="80"/>
          <w:sz w:val="18"/>
          <w:szCs w:val="18"/>
        </w:rPr>
      </w:pPr>
      <w:r w:rsidRPr="00B71A21">
        <w:rPr>
          <w:color w:val="1F4E79" w:themeColor="accent1" w:themeShade="80"/>
          <w:sz w:val="18"/>
          <w:szCs w:val="18"/>
        </w:rPr>
        <w:lastRenderedPageBreak/>
        <w:t>Summary of related party transactions</w:t>
      </w:r>
    </w:p>
    <w:p w14:paraId="3957E96B" w14:textId="77777777" w:rsidR="007B06F3" w:rsidRPr="00274BB2" w:rsidRDefault="007B06F3" w:rsidP="00A0014D">
      <w:pPr>
        <w:pStyle w:val="03-SubttulodeNota"/>
        <w:rPr>
          <w:color w:val="1F4E79" w:themeColor="accent1" w:themeShade="80"/>
          <w:sz w:val="18"/>
          <w:szCs w:val="18"/>
        </w:rPr>
      </w:pPr>
      <w:r w:rsidRPr="00274BB2">
        <w:rPr>
          <w:color w:val="1F4E79" w:themeColor="accent1" w:themeShade="80"/>
          <w:sz w:val="18"/>
          <w:szCs w:val="18"/>
        </w:rPr>
        <w:t>BB Seguridade – Controller</w:t>
      </w:r>
    </w:p>
    <w:p w14:paraId="7CA290C6" w14:textId="77777777" w:rsidR="007B06F3" w:rsidRPr="00D311AA" w:rsidRDefault="007B06F3" w:rsidP="00D366A1">
      <w:pPr>
        <w:pStyle w:val="01-TtulodeNota"/>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126"/>
        <w:gridCol w:w="3049"/>
        <w:gridCol w:w="1339"/>
        <w:gridCol w:w="1339"/>
        <w:gridCol w:w="1339"/>
        <w:gridCol w:w="1447"/>
      </w:tblGrid>
      <w:tr w:rsidR="007B06F3" w:rsidRPr="00181218" w14:paraId="4AD33061" w14:textId="77777777" w:rsidTr="00AA3D20">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26" w:type="dxa"/>
            <w:tcBorders>
              <w:top w:val="single" w:sz="2" w:space="0" w:color="222A35" w:themeColor="text2" w:themeShade="80"/>
              <w:bottom w:val="nil"/>
            </w:tcBorders>
            <w:shd w:val="clear" w:color="auto" w:fill="auto"/>
            <w:vAlign w:val="center"/>
          </w:tcPr>
          <w:p w14:paraId="0398F325" w14:textId="77777777" w:rsidR="007B06F3" w:rsidRPr="00D311AA" w:rsidRDefault="007B06F3" w:rsidP="00687402">
            <w:pPr>
              <w:pStyle w:val="08-Tabelageral"/>
            </w:pPr>
          </w:p>
        </w:tc>
        <w:tc>
          <w:tcPr>
            <w:tcW w:w="3049" w:type="dxa"/>
            <w:tcBorders>
              <w:top w:val="single" w:sz="2" w:space="0" w:color="222A35" w:themeColor="text2" w:themeShade="80"/>
              <w:bottom w:val="nil"/>
            </w:tcBorders>
            <w:shd w:val="clear" w:color="auto" w:fill="auto"/>
            <w:vAlign w:val="center"/>
          </w:tcPr>
          <w:p w14:paraId="1DB4859F" w14:textId="77777777" w:rsidR="007B06F3" w:rsidRPr="00D311AA" w:rsidRDefault="007B06F3" w:rsidP="00687402">
            <w:pPr>
              <w:pStyle w:val="08-Tabelageral"/>
              <w:cnfStyle w:val="100000000000" w:firstRow="1" w:lastRow="0" w:firstColumn="0" w:lastColumn="0" w:oddVBand="0" w:evenVBand="0" w:oddHBand="0" w:evenHBand="0" w:firstRowFirstColumn="0" w:firstRowLastColumn="0" w:lastRowFirstColumn="0" w:lastRowLastColumn="0"/>
            </w:pPr>
          </w:p>
        </w:tc>
        <w:tc>
          <w:tcPr>
            <w:tcW w:w="2678" w:type="dxa"/>
            <w:gridSpan w:val="2"/>
            <w:tcBorders>
              <w:top w:val="single" w:sz="2" w:space="0" w:color="222A35" w:themeColor="text2" w:themeShade="80"/>
              <w:bottom w:val="single" w:sz="2" w:space="0" w:color="1F4E79" w:themeColor="accent1" w:themeShade="80"/>
            </w:tcBorders>
            <w:shd w:val="clear" w:color="auto" w:fill="auto"/>
            <w:vAlign w:val="center"/>
          </w:tcPr>
          <w:p w14:paraId="3176DA90" w14:textId="77777777" w:rsidR="007B06F3" w:rsidRPr="00181218" w:rsidRDefault="007B06F3" w:rsidP="009529BE">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t>Mar</w:t>
            </w:r>
            <w:r w:rsidRPr="00181218">
              <w:t xml:space="preserve"> 3</w:t>
            </w:r>
            <w:r>
              <w:t>1</w:t>
            </w:r>
            <w:r w:rsidRPr="00181218">
              <w:t>, 202</w:t>
            </w:r>
            <w:r>
              <w:t>3</w:t>
            </w:r>
          </w:p>
        </w:tc>
        <w:tc>
          <w:tcPr>
            <w:tcW w:w="2786" w:type="dxa"/>
            <w:gridSpan w:val="2"/>
            <w:tcBorders>
              <w:top w:val="single" w:sz="2" w:space="0" w:color="222A35" w:themeColor="text2" w:themeShade="80"/>
              <w:bottom w:val="single" w:sz="2" w:space="0" w:color="1F4E79" w:themeColor="accent1" w:themeShade="80"/>
            </w:tcBorders>
            <w:shd w:val="clear" w:color="auto" w:fill="auto"/>
            <w:vAlign w:val="center"/>
          </w:tcPr>
          <w:p w14:paraId="37AB89D3" w14:textId="77777777" w:rsidR="007B06F3" w:rsidRPr="00181218" w:rsidRDefault="007B06F3" w:rsidP="00687402">
            <w:pPr>
              <w:pStyle w:val="08-Tabelageral"/>
              <w:jc w:val="center"/>
              <w:cnfStyle w:val="100000000000" w:firstRow="1" w:lastRow="0" w:firstColumn="0" w:lastColumn="0" w:oddVBand="0" w:evenVBand="0" w:oddHBand="0" w:evenHBand="0" w:firstRowFirstColumn="0" w:firstRowLastColumn="0" w:lastRowFirstColumn="0" w:lastRowLastColumn="0"/>
            </w:pPr>
            <w:r w:rsidRPr="00181218">
              <w:t>Dec 31, 202</w:t>
            </w:r>
            <w:r>
              <w:t>2</w:t>
            </w:r>
          </w:p>
        </w:tc>
      </w:tr>
      <w:tr w:rsidR="007B06F3" w:rsidRPr="00181218" w14:paraId="41F77869" w14:textId="77777777" w:rsidTr="00AA3D20">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vAlign w:val="center"/>
          </w:tcPr>
          <w:p w14:paraId="22F3D314" w14:textId="77777777" w:rsidR="007B06F3" w:rsidRPr="00181218" w:rsidRDefault="007B06F3" w:rsidP="00181218">
            <w:pPr>
              <w:pStyle w:val="08-Tabelageral"/>
              <w:rPr>
                <w:sz w:val="12"/>
                <w:szCs w:val="12"/>
              </w:rPr>
            </w:pP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7EF577EF" w14:textId="77777777" w:rsidR="007B06F3" w:rsidRPr="00181218" w:rsidRDefault="007B06F3"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2A070B94" w14:textId="77777777" w:rsidR="007B06F3" w:rsidRPr="00181218" w:rsidRDefault="007B06F3"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6B53FB10" w14:textId="77777777" w:rsidR="007B06F3" w:rsidRPr="00181218" w:rsidRDefault="007B06F3"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0FD38DE6" w14:textId="77777777" w:rsidR="007B06F3" w:rsidRPr="00181218" w:rsidRDefault="007B06F3"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r>
      <w:tr w:rsidR="007B06F3" w:rsidRPr="00181218" w14:paraId="3C76770A" w14:textId="77777777" w:rsidTr="00AA3D2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single" w:sz="2" w:space="0" w:color="1F4E79" w:themeColor="accent1" w:themeShade="80"/>
              <w:bottom w:val="nil"/>
            </w:tcBorders>
            <w:shd w:val="clear" w:color="auto" w:fill="auto"/>
            <w:vAlign w:val="center"/>
          </w:tcPr>
          <w:p w14:paraId="4DD33567" w14:textId="77777777" w:rsidR="007B06F3" w:rsidRPr="00181218" w:rsidRDefault="007B06F3" w:rsidP="00A31FD2">
            <w:pPr>
              <w:pStyle w:val="08-Tabelageral"/>
              <w:jc w:val="left"/>
            </w:pPr>
            <w:r w:rsidRPr="00181218">
              <w:t>Assets</w:t>
            </w:r>
          </w:p>
        </w:tc>
        <w:tc>
          <w:tcPr>
            <w:tcW w:w="1339" w:type="dxa"/>
            <w:tcBorders>
              <w:top w:val="single" w:sz="2" w:space="0" w:color="1F4E79" w:themeColor="accent1" w:themeShade="80"/>
              <w:bottom w:val="nil"/>
            </w:tcBorders>
            <w:shd w:val="clear" w:color="auto" w:fill="auto"/>
            <w:vAlign w:val="center"/>
          </w:tcPr>
          <w:p w14:paraId="3AB4816B" w14:textId="77777777" w:rsidR="007B06F3" w:rsidRPr="00181218" w:rsidRDefault="007B06F3" w:rsidP="00687402">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339" w:type="dxa"/>
            <w:tcBorders>
              <w:top w:val="single" w:sz="2" w:space="0" w:color="1F4E79" w:themeColor="accent1" w:themeShade="80"/>
              <w:bottom w:val="nil"/>
            </w:tcBorders>
            <w:shd w:val="clear" w:color="auto" w:fill="auto"/>
          </w:tcPr>
          <w:p w14:paraId="39D5A6E9" w14:textId="77777777" w:rsidR="007B06F3" w:rsidRPr="00181218" w:rsidRDefault="007B06F3" w:rsidP="00687402">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181218">
              <w:rPr>
                <w:b/>
                <w:szCs w:val="14"/>
              </w:rPr>
              <w:t xml:space="preserve"> </w:t>
            </w:r>
          </w:p>
        </w:tc>
        <w:tc>
          <w:tcPr>
            <w:tcW w:w="1339" w:type="dxa"/>
            <w:tcBorders>
              <w:top w:val="single" w:sz="2" w:space="0" w:color="1F4E79" w:themeColor="accent1" w:themeShade="80"/>
              <w:bottom w:val="nil"/>
            </w:tcBorders>
            <w:shd w:val="clear" w:color="auto" w:fill="auto"/>
          </w:tcPr>
          <w:p w14:paraId="54710598" w14:textId="77777777" w:rsidR="007B06F3" w:rsidRPr="00181218" w:rsidRDefault="007B06F3" w:rsidP="003B277F">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tcBorders>
              <w:top w:val="single" w:sz="2" w:space="0" w:color="1F4E79" w:themeColor="accent1" w:themeShade="80"/>
              <w:bottom w:val="nil"/>
            </w:tcBorders>
            <w:shd w:val="clear" w:color="auto" w:fill="auto"/>
          </w:tcPr>
          <w:p w14:paraId="0EF086F7" w14:textId="77777777" w:rsidR="007B06F3" w:rsidRPr="00181218" w:rsidRDefault="007B06F3" w:rsidP="003B277F">
            <w:pPr>
              <w:pStyle w:val="08-Tabelageral"/>
              <w:cnfStyle w:val="000000010000" w:firstRow="0" w:lastRow="0" w:firstColumn="0" w:lastColumn="0" w:oddVBand="0" w:evenVBand="0" w:oddHBand="0" w:evenHBand="1" w:firstRowFirstColumn="0" w:firstRowLastColumn="0" w:lastRowFirstColumn="0" w:lastRowLastColumn="0"/>
              <w:rPr>
                <w:b/>
              </w:rPr>
            </w:pPr>
          </w:p>
        </w:tc>
      </w:tr>
      <w:tr w:rsidR="007B06F3" w:rsidRPr="00181218" w14:paraId="03747F0F" w14:textId="77777777" w:rsidTr="0038786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27C19526" w14:textId="77777777" w:rsidR="007B06F3" w:rsidRPr="00181218" w:rsidRDefault="007B06F3" w:rsidP="00E377F4">
            <w:pPr>
              <w:pStyle w:val="08-Tabelageral"/>
              <w:jc w:val="left"/>
              <w:rPr>
                <w:b w:val="0"/>
              </w:rPr>
            </w:pPr>
            <w:r w:rsidRPr="00181218">
              <w:rPr>
                <w:b w:val="0"/>
              </w:rPr>
              <w:t>Cash and cash equivalent</w:t>
            </w:r>
            <w:r>
              <w:rPr>
                <w:b w:val="0"/>
              </w:rPr>
              <w:t>s</w:t>
            </w:r>
          </w:p>
        </w:tc>
        <w:tc>
          <w:tcPr>
            <w:tcW w:w="1339" w:type="dxa"/>
            <w:shd w:val="clear" w:color="auto" w:fill="auto"/>
          </w:tcPr>
          <w:p w14:paraId="48839677"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48,679</w:t>
            </w:r>
          </w:p>
        </w:tc>
        <w:tc>
          <w:tcPr>
            <w:tcW w:w="1339" w:type="dxa"/>
            <w:shd w:val="clear" w:color="auto" w:fill="auto"/>
          </w:tcPr>
          <w:p w14:paraId="7B302DE4"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025D7BCB"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59,003</w:t>
            </w:r>
          </w:p>
        </w:tc>
        <w:tc>
          <w:tcPr>
            <w:tcW w:w="1447" w:type="dxa"/>
            <w:shd w:val="clear" w:color="auto" w:fill="auto"/>
          </w:tcPr>
          <w:p w14:paraId="5762C6E1"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w:t>
            </w:r>
          </w:p>
        </w:tc>
      </w:tr>
      <w:tr w:rsidR="007B06F3" w:rsidRPr="00181218" w14:paraId="56D0B8E5" w14:textId="77777777" w:rsidTr="0038786A">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273B1A59" w14:textId="77777777" w:rsidR="007B06F3" w:rsidRPr="00181218" w:rsidRDefault="007B06F3" w:rsidP="00E377F4">
            <w:pPr>
              <w:pStyle w:val="08-Tabelageral"/>
              <w:jc w:val="left"/>
              <w:rPr>
                <w:b w:val="0"/>
              </w:rPr>
            </w:pPr>
            <w:r w:rsidRPr="00181218">
              <w:rPr>
                <w:b w:val="0"/>
              </w:rPr>
              <w:t>Dividends/interest on equity receivable</w:t>
            </w:r>
          </w:p>
        </w:tc>
        <w:tc>
          <w:tcPr>
            <w:tcW w:w="1339" w:type="dxa"/>
            <w:shd w:val="clear" w:color="auto" w:fill="auto"/>
          </w:tcPr>
          <w:p w14:paraId="216E8F24"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29762482"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34634D31"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w:t>
            </w:r>
          </w:p>
        </w:tc>
        <w:tc>
          <w:tcPr>
            <w:tcW w:w="1447" w:type="dxa"/>
            <w:shd w:val="clear" w:color="auto" w:fill="auto"/>
          </w:tcPr>
          <w:p w14:paraId="609532F5"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3,683,355</w:t>
            </w:r>
          </w:p>
        </w:tc>
      </w:tr>
      <w:tr w:rsidR="007B06F3" w:rsidRPr="00181218" w14:paraId="70214352" w14:textId="77777777" w:rsidTr="0038786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20520581" w14:textId="77777777" w:rsidR="007B06F3" w:rsidRPr="00181218" w:rsidRDefault="007B06F3" w:rsidP="00E377F4">
            <w:pPr>
              <w:pStyle w:val="08-Tabelageral"/>
              <w:jc w:val="left"/>
              <w:rPr>
                <w:b w:val="0"/>
              </w:rPr>
            </w:pPr>
            <w:r w:rsidRPr="00181218">
              <w:rPr>
                <w:b w:val="0"/>
              </w:rPr>
              <w:t>Receive with related parties</w:t>
            </w:r>
          </w:p>
        </w:tc>
        <w:tc>
          <w:tcPr>
            <w:tcW w:w="1339" w:type="dxa"/>
            <w:shd w:val="clear" w:color="auto" w:fill="auto"/>
          </w:tcPr>
          <w:p w14:paraId="05A9F750"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64817C8C"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7,495</w:t>
            </w:r>
          </w:p>
        </w:tc>
        <w:tc>
          <w:tcPr>
            <w:tcW w:w="1339" w:type="dxa"/>
            <w:shd w:val="clear" w:color="auto" w:fill="auto"/>
          </w:tcPr>
          <w:p w14:paraId="5693E172"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w:t>
            </w:r>
          </w:p>
        </w:tc>
        <w:tc>
          <w:tcPr>
            <w:tcW w:w="1447" w:type="dxa"/>
            <w:shd w:val="clear" w:color="auto" w:fill="auto"/>
          </w:tcPr>
          <w:p w14:paraId="023CC369"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9,365</w:t>
            </w:r>
          </w:p>
        </w:tc>
      </w:tr>
      <w:tr w:rsidR="007B06F3" w:rsidRPr="00181218" w14:paraId="5F0134A0" w14:textId="77777777" w:rsidTr="0038786A">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47209920" w14:textId="77777777" w:rsidR="007B06F3" w:rsidRPr="00181218" w:rsidRDefault="007B06F3" w:rsidP="00E377F4">
            <w:pPr>
              <w:pStyle w:val="08-Tabelageral"/>
              <w:jc w:val="left"/>
            </w:pPr>
            <w:r w:rsidRPr="00181218">
              <w:t>Liabilities</w:t>
            </w:r>
          </w:p>
        </w:tc>
        <w:tc>
          <w:tcPr>
            <w:tcW w:w="1339" w:type="dxa"/>
            <w:shd w:val="clear" w:color="auto" w:fill="auto"/>
          </w:tcPr>
          <w:p w14:paraId="489F469A"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216463F4"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235B5199"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shd w:val="clear" w:color="auto" w:fill="auto"/>
          </w:tcPr>
          <w:p w14:paraId="015618C7"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rPr>
                <w:b/>
              </w:rPr>
            </w:pPr>
          </w:p>
        </w:tc>
      </w:tr>
      <w:tr w:rsidR="007B06F3" w:rsidRPr="00181218" w14:paraId="56B84519" w14:textId="77777777" w:rsidTr="00B51BB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4C4CD004" w14:textId="77777777" w:rsidR="007B06F3" w:rsidRPr="00181218" w:rsidRDefault="007B06F3" w:rsidP="00E377F4">
            <w:pPr>
              <w:pStyle w:val="08-Tabelageral"/>
              <w:jc w:val="left"/>
              <w:rPr>
                <w:b w:val="0"/>
              </w:rPr>
            </w:pPr>
            <w:r w:rsidRPr="00181218">
              <w:rPr>
                <w:b w:val="0"/>
              </w:rPr>
              <w:t>Social and statutory obligations</w:t>
            </w:r>
          </w:p>
        </w:tc>
        <w:tc>
          <w:tcPr>
            <w:tcW w:w="1339" w:type="dxa"/>
            <w:tcBorders>
              <w:bottom w:val="nil"/>
            </w:tcBorders>
            <w:shd w:val="clear" w:color="auto" w:fill="auto"/>
          </w:tcPr>
          <w:p w14:paraId="39D5125A"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198</w:t>
            </w:r>
          </w:p>
        </w:tc>
        <w:tc>
          <w:tcPr>
            <w:tcW w:w="1339" w:type="dxa"/>
            <w:tcBorders>
              <w:bottom w:val="nil"/>
            </w:tcBorders>
            <w:shd w:val="clear" w:color="auto" w:fill="auto"/>
          </w:tcPr>
          <w:p w14:paraId="3E2DEBED"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tcBorders>
              <w:bottom w:val="nil"/>
            </w:tcBorders>
            <w:shd w:val="clear" w:color="auto" w:fill="auto"/>
          </w:tcPr>
          <w:p w14:paraId="02C0A5CA"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2,434,043</w:t>
            </w:r>
          </w:p>
        </w:tc>
        <w:tc>
          <w:tcPr>
            <w:tcW w:w="1447" w:type="dxa"/>
            <w:tcBorders>
              <w:bottom w:val="nil"/>
            </w:tcBorders>
            <w:shd w:val="clear" w:color="auto" w:fill="auto"/>
          </w:tcPr>
          <w:p w14:paraId="33A4DCD2" w14:textId="77777777" w:rsidR="007B06F3" w:rsidRPr="00181218" w:rsidRDefault="007B06F3" w:rsidP="00E377F4">
            <w:pPr>
              <w:pStyle w:val="08-Tabelageral"/>
              <w:cnfStyle w:val="000000100000" w:firstRow="0" w:lastRow="0" w:firstColumn="0" w:lastColumn="0" w:oddVBand="0" w:evenVBand="0" w:oddHBand="1" w:evenHBand="0" w:firstRowFirstColumn="0" w:firstRowLastColumn="0" w:lastRowFirstColumn="0" w:lastRowLastColumn="0"/>
            </w:pPr>
            <w:r>
              <w:t>--</w:t>
            </w:r>
          </w:p>
        </w:tc>
      </w:tr>
      <w:tr w:rsidR="007B06F3" w:rsidRPr="00D311AA" w14:paraId="75E9444F" w14:textId="77777777" w:rsidTr="00B51BB5">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tcPr>
          <w:p w14:paraId="763FB4A2" w14:textId="77777777" w:rsidR="007B06F3" w:rsidRPr="00181218" w:rsidRDefault="007B06F3" w:rsidP="00E377F4">
            <w:pPr>
              <w:pStyle w:val="08-Tabelageral"/>
              <w:jc w:val="left"/>
              <w:rPr>
                <w:b w:val="0"/>
              </w:rPr>
            </w:pPr>
            <w:r w:rsidRPr="00181218">
              <w:rPr>
                <w:b w:val="0"/>
              </w:rPr>
              <w:t>Obligations with related parties</w:t>
            </w:r>
          </w:p>
        </w:tc>
        <w:tc>
          <w:tcPr>
            <w:tcW w:w="1339" w:type="dxa"/>
            <w:tcBorders>
              <w:top w:val="nil"/>
              <w:bottom w:val="single" w:sz="2" w:space="0" w:color="1F4E79" w:themeColor="accent1" w:themeShade="80"/>
            </w:tcBorders>
            <w:shd w:val="clear" w:color="auto" w:fill="auto"/>
          </w:tcPr>
          <w:p w14:paraId="0501A1EB"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8,735</w:t>
            </w:r>
          </w:p>
        </w:tc>
        <w:tc>
          <w:tcPr>
            <w:tcW w:w="1339" w:type="dxa"/>
            <w:tcBorders>
              <w:top w:val="nil"/>
              <w:bottom w:val="single" w:sz="2" w:space="0" w:color="1F4E79" w:themeColor="accent1" w:themeShade="80"/>
            </w:tcBorders>
            <w:shd w:val="clear" w:color="auto" w:fill="auto"/>
          </w:tcPr>
          <w:p w14:paraId="2AAD599D"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tcBorders>
              <w:top w:val="nil"/>
              <w:bottom w:val="single" w:sz="2" w:space="0" w:color="1F4E79" w:themeColor="accent1" w:themeShade="80"/>
            </w:tcBorders>
            <w:shd w:val="clear" w:color="auto" w:fill="auto"/>
          </w:tcPr>
          <w:p w14:paraId="57539A13" w14:textId="77777777" w:rsidR="007B06F3" w:rsidRPr="00181218"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8,054</w:t>
            </w:r>
          </w:p>
        </w:tc>
        <w:tc>
          <w:tcPr>
            <w:tcW w:w="1447" w:type="dxa"/>
            <w:tcBorders>
              <w:top w:val="nil"/>
              <w:bottom w:val="single" w:sz="2" w:space="0" w:color="1F4E79" w:themeColor="accent1" w:themeShade="80"/>
            </w:tcBorders>
            <w:shd w:val="clear" w:color="auto" w:fill="auto"/>
          </w:tcPr>
          <w:p w14:paraId="3D4AB407" w14:textId="77777777" w:rsidR="007B06F3" w:rsidRPr="00D311AA" w:rsidRDefault="007B06F3" w:rsidP="00E377F4">
            <w:pPr>
              <w:pStyle w:val="08-Tabelageral"/>
              <w:cnfStyle w:val="000000010000" w:firstRow="0" w:lastRow="0" w:firstColumn="0" w:lastColumn="0" w:oddVBand="0" w:evenVBand="0" w:oddHBand="0" w:evenHBand="1" w:firstRowFirstColumn="0" w:firstRowLastColumn="0" w:lastRowFirstColumn="0" w:lastRowLastColumn="0"/>
            </w:pPr>
            <w:r>
              <w:t>--</w:t>
            </w:r>
          </w:p>
        </w:tc>
      </w:tr>
    </w:tbl>
    <w:p w14:paraId="10EE8DC1" w14:textId="77777777" w:rsidR="007B06F3" w:rsidRDefault="007B06F3" w:rsidP="00676763">
      <w:pPr>
        <w:pStyle w:val="07-Legenda"/>
        <w:rPr>
          <w:rFonts w:cs="Arial"/>
        </w:rPr>
      </w:pPr>
    </w:p>
    <w:p w14:paraId="2AC0CCC1" w14:textId="77777777" w:rsidR="007B06F3" w:rsidRPr="00D311AA" w:rsidRDefault="007B06F3" w:rsidP="00DC3D8F">
      <w:pPr>
        <w:pStyle w:val="01-TtulodeNota"/>
        <w:keepNext/>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275"/>
        <w:gridCol w:w="2240"/>
        <w:gridCol w:w="1504"/>
        <w:gridCol w:w="1504"/>
        <w:gridCol w:w="1504"/>
        <w:gridCol w:w="1612"/>
      </w:tblGrid>
      <w:tr w:rsidR="007B06F3" w:rsidRPr="00D311AA" w14:paraId="6F781194" w14:textId="77777777" w:rsidTr="00FE529A">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75" w:type="dxa"/>
            <w:tcBorders>
              <w:top w:val="single" w:sz="2" w:space="0" w:color="8EAADB" w:themeColor="accent5" w:themeTint="99"/>
              <w:bottom w:val="nil"/>
            </w:tcBorders>
            <w:shd w:val="clear" w:color="auto" w:fill="auto"/>
            <w:vAlign w:val="center"/>
          </w:tcPr>
          <w:p w14:paraId="417BBEF6" w14:textId="77777777" w:rsidR="007B06F3" w:rsidRPr="00D311AA" w:rsidRDefault="007B06F3" w:rsidP="00AB674E">
            <w:pPr>
              <w:pStyle w:val="08-Tabelageral"/>
            </w:pPr>
          </w:p>
        </w:tc>
        <w:tc>
          <w:tcPr>
            <w:tcW w:w="2240" w:type="dxa"/>
            <w:tcBorders>
              <w:top w:val="single" w:sz="2" w:space="0" w:color="8EAADB" w:themeColor="accent5" w:themeTint="99"/>
              <w:bottom w:val="nil"/>
            </w:tcBorders>
            <w:shd w:val="clear" w:color="auto" w:fill="auto"/>
            <w:vAlign w:val="center"/>
          </w:tcPr>
          <w:p w14:paraId="4359BBB5" w14:textId="77777777" w:rsidR="007B06F3" w:rsidRPr="00D311AA" w:rsidRDefault="007B06F3" w:rsidP="00AB674E">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tcPr>
          <w:p w14:paraId="6482EE83" w14:textId="77777777" w:rsidR="007B06F3" w:rsidRPr="00D311AA" w:rsidRDefault="007B06F3" w:rsidP="00AB674E">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sidRPr="00EF24D8">
              <w:rPr>
                <w:rFonts w:cs="Arial"/>
                <w:szCs w:val="14"/>
              </w:rPr>
              <w:t>1</w:t>
            </w:r>
            <w:r w:rsidRPr="00EF24D8">
              <w:rPr>
                <w:rFonts w:cs="Arial"/>
                <w:szCs w:val="14"/>
                <w:vertAlign w:val="superscript"/>
              </w:rPr>
              <w:t>st</w:t>
            </w:r>
            <w:r w:rsidRPr="00EF24D8">
              <w:rPr>
                <w:rFonts w:cs="Arial"/>
                <w:szCs w:val="14"/>
              </w:rPr>
              <w:t xml:space="preserve"> Quarter 202</w:t>
            </w:r>
            <w:r>
              <w:rPr>
                <w:rFonts w:cs="Arial"/>
                <w:szCs w:val="14"/>
              </w:rPr>
              <w:t>3</w:t>
            </w:r>
          </w:p>
        </w:tc>
        <w:tc>
          <w:tcPr>
            <w:tcW w:w="3116" w:type="dxa"/>
            <w:gridSpan w:val="2"/>
            <w:tcBorders>
              <w:top w:val="single" w:sz="2" w:space="0" w:color="8EAADB" w:themeColor="accent5" w:themeTint="99"/>
              <w:bottom w:val="single" w:sz="2" w:space="0" w:color="8EAADB" w:themeColor="accent5" w:themeTint="99"/>
            </w:tcBorders>
            <w:shd w:val="clear" w:color="auto" w:fill="auto"/>
          </w:tcPr>
          <w:p w14:paraId="0E04F6AD" w14:textId="77777777" w:rsidR="007B06F3" w:rsidRPr="00D311AA" w:rsidRDefault="007B06F3" w:rsidP="00AB674E">
            <w:pPr>
              <w:pStyle w:val="08-Tabelageral"/>
              <w:jc w:val="center"/>
              <w:cnfStyle w:val="100000000000" w:firstRow="1" w:lastRow="0" w:firstColumn="0" w:lastColumn="0" w:oddVBand="0" w:evenVBand="0" w:oddHBand="0" w:evenHBand="0" w:firstRowFirstColumn="0" w:firstRowLastColumn="0" w:lastRowFirstColumn="0" w:lastRowLastColumn="0"/>
            </w:pPr>
            <w:r w:rsidRPr="00EF24D8">
              <w:rPr>
                <w:rFonts w:cs="Arial"/>
                <w:szCs w:val="14"/>
              </w:rPr>
              <w:t>1</w:t>
            </w:r>
            <w:r w:rsidRPr="00EF24D8">
              <w:rPr>
                <w:rFonts w:cs="Arial"/>
                <w:szCs w:val="14"/>
                <w:vertAlign w:val="superscript"/>
              </w:rPr>
              <w:t>st</w:t>
            </w:r>
            <w:r w:rsidRPr="00EF24D8">
              <w:rPr>
                <w:rFonts w:cs="Arial"/>
                <w:szCs w:val="14"/>
              </w:rPr>
              <w:t xml:space="preserve"> Quarter 202</w:t>
            </w:r>
            <w:r>
              <w:rPr>
                <w:rFonts w:cs="Arial"/>
                <w:szCs w:val="14"/>
              </w:rPr>
              <w:t>2</w:t>
            </w:r>
          </w:p>
        </w:tc>
      </w:tr>
      <w:tr w:rsidR="007B06F3" w:rsidRPr="00D311AA" w14:paraId="6C0F5D9E" w14:textId="77777777" w:rsidTr="00021CF0">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8EAADB" w:themeColor="accent5" w:themeTint="99"/>
            </w:tcBorders>
            <w:shd w:val="clear" w:color="auto" w:fill="auto"/>
          </w:tcPr>
          <w:p w14:paraId="6C474696" w14:textId="77777777" w:rsidR="007B06F3" w:rsidRPr="00D311AA" w:rsidRDefault="007B06F3" w:rsidP="00EF24D8">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056BD105" w14:textId="77777777" w:rsidR="007B06F3" w:rsidRPr="00D311AA" w:rsidRDefault="007B06F3" w:rsidP="00EF24D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143E6F48" w14:textId="77777777" w:rsidR="007B06F3" w:rsidRPr="00D311AA" w:rsidRDefault="007B06F3" w:rsidP="00EF24D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3A3FD50E" w14:textId="77777777" w:rsidR="007B06F3" w:rsidRPr="00D311AA" w:rsidRDefault="007B06F3" w:rsidP="00EF24D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Pr>
                <w:b/>
                <w:sz w:val="12"/>
                <w:szCs w:val="12"/>
              </w:rPr>
              <w:t>Banco do Brasil</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3DDD40E5" w14:textId="77777777" w:rsidR="007B06F3" w:rsidRPr="00D311AA" w:rsidRDefault="007B06F3" w:rsidP="00EF24D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w:t>
            </w:r>
            <w:r>
              <w:rPr>
                <w:b/>
                <w:sz w:val="12"/>
                <w:szCs w:val="12"/>
                <w:vertAlign w:val="superscript"/>
              </w:rPr>
              <w:t>1</w:t>
            </w:r>
            <w:r w:rsidRPr="00181218">
              <w:rPr>
                <w:b/>
                <w:sz w:val="12"/>
                <w:szCs w:val="12"/>
                <w:vertAlign w:val="superscript"/>
              </w:rPr>
              <w:t>)</w:t>
            </w:r>
          </w:p>
        </w:tc>
      </w:tr>
      <w:tr w:rsidR="007B06F3" w:rsidRPr="00D311AA" w14:paraId="0F1E4BAF" w14:textId="77777777" w:rsidTr="00021CF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2" w:space="0" w:color="8EAADB" w:themeColor="accent5" w:themeTint="99"/>
              <w:bottom w:val="nil"/>
            </w:tcBorders>
            <w:shd w:val="clear" w:color="auto" w:fill="auto"/>
          </w:tcPr>
          <w:p w14:paraId="24875ABB" w14:textId="77777777" w:rsidR="007B06F3" w:rsidRPr="00D311AA" w:rsidRDefault="007B06F3" w:rsidP="0038786A">
            <w:pPr>
              <w:pStyle w:val="08-Tabelageral"/>
              <w:jc w:val="left"/>
            </w:pPr>
            <w:r w:rsidRPr="00D311AA">
              <w:t>Income</w:t>
            </w:r>
          </w:p>
        </w:tc>
        <w:tc>
          <w:tcPr>
            <w:tcW w:w="1504" w:type="dxa"/>
            <w:tcBorders>
              <w:top w:val="single" w:sz="2" w:space="0" w:color="8EAADB" w:themeColor="accent5" w:themeTint="99"/>
              <w:bottom w:val="nil"/>
            </w:tcBorders>
            <w:shd w:val="clear" w:color="auto" w:fill="auto"/>
            <w:vAlign w:val="center"/>
          </w:tcPr>
          <w:p w14:paraId="77B073CC" w14:textId="77777777" w:rsidR="007B06F3" w:rsidRPr="00D311AA" w:rsidRDefault="007B06F3"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47575E55" w14:textId="77777777" w:rsidR="007B06F3" w:rsidRPr="00D311AA" w:rsidRDefault="007B06F3"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D311AA">
              <w:rPr>
                <w:b/>
                <w:szCs w:val="14"/>
              </w:rPr>
              <w:t xml:space="preserve"> </w:t>
            </w:r>
          </w:p>
        </w:tc>
        <w:tc>
          <w:tcPr>
            <w:tcW w:w="1504" w:type="dxa"/>
            <w:tcBorders>
              <w:top w:val="single" w:sz="2" w:space="0" w:color="8EAADB" w:themeColor="accent5" w:themeTint="99"/>
              <w:bottom w:val="nil"/>
            </w:tcBorders>
            <w:shd w:val="clear" w:color="auto" w:fill="auto"/>
          </w:tcPr>
          <w:p w14:paraId="7DCABB37" w14:textId="77777777" w:rsidR="007B06F3" w:rsidRPr="00D311AA" w:rsidRDefault="007B06F3"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8EAADB" w:themeColor="accent5" w:themeTint="99"/>
            </w:tcBorders>
            <w:shd w:val="clear" w:color="auto" w:fill="auto"/>
          </w:tcPr>
          <w:p w14:paraId="657D331A" w14:textId="77777777" w:rsidR="007B06F3" w:rsidRPr="00D311AA" w:rsidRDefault="007B06F3"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7B06F3" w:rsidRPr="00D311AA" w14:paraId="0CA64080" w14:textId="77777777" w:rsidTr="00021CF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184A26E2" w14:textId="77777777" w:rsidR="007B06F3" w:rsidRPr="00D311AA" w:rsidRDefault="007B06F3" w:rsidP="0085510F">
            <w:pPr>
              <w:pStyle w:val="08-Tabelageral"/>
              <w:jc w:val="left"/>
              <w:rPr>
                <w:b w:val="0"/>
              </w:rPr>
            </w:pPr>
            <w:r w:rsidRPr="00D311AA">
              <w:rPr>
                <w:b w:val="0"/>
              </w:rPr>
              <w:t>Interest earnings of financial instruments</w:t>
            </w:r>
          </w:p>
        </w:tc>
        <w:tc>
          <w:tcPr>
            <w:tcW w:w="1504" w:type="dxa"/>
            <w:tcBorders>
              <w:top w:val="nil"/>
            </w:tcBorders>
            <w:shd w:val="clear" w:color="auto" w:fill="auto"/>
          </w:tcPr>
          <w:p w14:paraId="6FC26951"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1,767</w:t>
            </w:r>
          </w:p>
        </w:tc>
        <w:tc>
          <w:tcPr>
            <w:tcW w:w="1504" w:type="dxa"/>
            <w:tcBorders>
              <w:top w:val="nil"/>
            </w:tcBorders>
            <w:shd w:val="clear" w:color="auto" w:fill="auto"/>
          </w:tcPr>
          <w:p w14:paraId="104F31A1"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492FA1DD"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6,079</w:t>
            </w:r>
          </w:p>
        </w:tc>
        <w:tc>
          <w:tcPr>
            <w:tcW w:w="1612" w:type="dxa"/>
            <w:tcBorders>
              <w:top w:val="nil"/>
            </w:tcBorders>
            <w:shd w:val="clear" w:color="auto" w:fill="auto"/>
          </w:tcPr>
          <w:p w14:paraId="436173DA"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w:t>
            </w:r>
          </w:p>
        </w:tc>
      </w:tr>
      <w:tr w:rsidR="007B06F3" w:rsidRPr="00D311AA" w14:paraId="28092D57" w14:textId="77777777" w:rsidTr="00021CF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61051ADB" w14:textId="77777777" w:rsidR="007B06F3" w:rsidRPr="00D311AA" w:rsidRDefault="007B06F3" w:rsidP="0085510F">
            <w:pPr>
              <w:pStyle w:val="08-Tabelageral"/>
              <w:jc w:val="left"/>
              <w:rPr>
                <w:b w:val="0"/>
              </w:rPr>
            </w:pPr>
            <w:r w:rsidRPr="00D311AA">
              <w:rPr>
                <w:b w:val="0"/>
              </w:rPr>
              <w:t>Personnel expenses</w:t>
            </w:r>
          </w:p>
        </w:tc>
        <w:tc>
          <w:tcPr>
            <w:tcW w:w="1504" w:type="dxa"/>
            <w:shd w:val="clear" w:color="auto" w:fill="auto"/>
          </w:tcPr>
          <w:p w14:paraId="1BE431C8"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(3,640)</w:t>
            </w:r>
          </w:p>
        </w:tc>
        <w:tc>
          <w:tcPr>
            <w:tcW w:w="1504" w:type="dxa"/>
            <w:shd w:val="clear" w:color="auto" w:fill="auto"/>
          </w:tcPr>
          <w:p w14:paraId="1C56808D"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3D8E7238"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(3,306)</w:t>
            </w:r>
          </w:p>
        </w:tc>
        <w:tc>
          <w:tcPr>
            <w:tcW w:w="1612" w:type="dxa"/>
            <w:shd w:val="clear" w:color="auto" w:fill="auto"/>
          </w:tcPr>
          <w:p w14:paraId="1CC0B5BF"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w:t>
            </w:r>
          </w:p>
        </w:tc>
      </w:tr>
      <w:tr w:rsidR="007B06F3" w:rsidRPr="00D311AA" w14:paraId="18AAB9C8" w14:textId="77777777" w:rsidTr="00021CF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031D2AFE" w14:textId="77777777" w:rsidR="007B06F3" w:rsidRPr="00D311AA" w:rsidRDefault="007B06F3" w:rsidP="0085510F">
            <w:pPr>
              <w:pStyle w:val="08-Tabelageral"/>
              <w:jc w:val="left"/>
              <w:rPr>
                <w:b w:val="0"/>
              </w:rPr>
            </w:pPr>
            <w:r w:rsidRPr="00D311AA">
              <w:rPr>
                <w:b w:val="0"/>
              </w:rPr>
              <w:t xml:space="preserve">Administrative expenses </w:t>
            </w:r>
            <w:r w:rsidRPr="00D311AA">
              <w:rPr>
                <w:b w:val="0"/>
                <w:vertAlign w:val="superscript"/>
              </w:rPr>
              <w:t>(</w:t>
            </w:r>
            <w:r>
              <w:rPr>
                <w:b w:val="0"/>
                <w:vertAlign w:val="superscript"/>
              </w:rPr>
              <w:t>2</w:t>
            </w:r>
            <w:r w:rsidRPr="00D311AA">
              <w:rPr>
                <w:b w:val="0"/>
                <w:vertAlign w:val="superscript"/>
              </w:rPr>
              <w:t>)</w:t>
            </w:r>
          </w:p>
        </w:tc>
        <w:tc>
          <w:tcPr>
            <w:tcW w:w="1504" w:type="dxa"/>
            <w:shd w:val="clear" w:color="auto" w:fill="auto"/>
          </w:tcPr>
          <w:p w14:paraId="1106F139"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(411)</w:t>
            </w:r>
          </w:p>
        </w:tc>
        <w:tc>
          <w:tcPr>
            <w:tcW w:w="1504" w:type="dxa"/>
            <w:shd w:val="clear" w:color="auto" w:fill="auto"/>
          </w:tcPr>
          <w:p w14:paraId="5260CBDC"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66799195"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(415)</w:t>
            </w:r>
          </w:p>
        </w:tc>
        <w:tc>
          <w:tcPr>
            <w:tcW w:w="1612" w:type="dxa"/>
            <w:shd w:val="clear" w:color="auto" w:fill="auto"/>
          </w:tcPr>
          <w:p w14:paraId="60D2F916"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w:t>
            </w:r>
          </w:p>
        </w:tc>
      </w:tr>
      <w:tr w:rsidR="007B06F3" w:rsidRPr="00D311AA" w14:paraId="6F6C36D6" w14:textId="77777777" w:rsidTr="00021CF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68A5D9A3" w14:textId="77777777" w:rsidR="007B06F3" w:rsidRPr="00D311AA" w:rsidRDefault="007B06F3" w:rsidP="0085510F">
            <w:pPr>
              <w:pStyle w:val="08-Tabelageral"/>
              <w:jc w:val="left"/>
              <w:rPr>
                <w:b w:val="0"/>
              </w:rPr>
            </w:pPr>
            <w:r w:rsidRPr="00D311AA">
              <w:rPr>
                <w:b w:val="0"/>
              </w:rPr>
              <w:t>Monetary assets changes</w:t>
            </w:r>
          </w:p>
        </w:tc>
        <w:tc>
          <w:tcPr>
            <w:tcW w:w="1504" w:type="dxa"/>
            <w:shd w:val="clear" w:color="auto" w:fill="auto"/>
          </w:tcPr>
          <w:p w14:paraId="3D9B33F5"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06250D82"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77,483</w:t>
            </w:r>
          </w:p>
        </w:tc>
        <w:tc>
          <w:tcPr>
            <w:tcW w:w="1504" w:type="dxa"/>
            <w:shd w:val="clear" w:color="auto" w:fill="auto"/>
          </w:tcPr>
          <w:p w14:paraId="5683DCFD"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w:t>
            </w:r>
          </w:p>
        </w:tc>
        <w:tc>
          <w:tcPr>
            <w:tcW w:w="1612" w:type="dxa"/>
            <w:shd w:val="clear" w:color="auto" w:fill="auto"/>
          </w:tcPr>
          <w:p w14:paraId="1BC1A88F" w14:textId="77777777" w:rsidR="007B06F3" w:rsidRPr="00D311AA" w:rsidRDefault="007B06F3" w:rsidP="0085510F">
            <w:pPr>
              <w:pStyle w:val="08-Tabelageral"/>
              <w:cnfStyle w:val="000000010000" w:firstRow="0" w:lastRow="0" w:firstColumn="0" w:lastColumn="0" w:oddVBand="0" w:evenVBand="0" w:oddHBand="0" w:evenHBand="1" w:firstRowFirstColumn="0" w:firstRowLastColumn="0" w:lastRowFirstColumn="0" w:lastRowLastColumn="0"/>
            </w:pPr>
            <w:r>
              <w:t>22,106</w:t>
            </w:r>
          </w:p>
        </w:tc>
      </w:tr>
      <w:tr w:rsidR="007B06F3" w:rsidRPr="00D311AA" w14:paraId="66CFD6E8" w14:textId="77777777" w:rsidTr="00021CF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1F4E79" w:themeColor="accent1" w:themeShade="80"/>
            </w:tcBorders>
            <w:shd w:val="clear" w:color="auto" w:fill="auto"/>
          </w:tcPr>
          <w:p w14:paraId="2580951F" w14:textId="77777777" w:rsidR="007B06F3" w:rsidRPr="00D311AA" w:rsidRDefault="007B06F3" w:rsidP="0085510F">
            <w:pPr>
              <w:pStyle w:val="08-Tabelageral"/>
              <w:jc w:val="left"/>
              <w:rPr>
                <w:b w:val="0"/>
              </w:rPr>
            </w:pPr>
            <w:r w:rsidRPr="00D311AA">
              <w:rPr>
                <w:rFonts w:cs="Arial"/>
                <w:b w:val="0"/>
                <w:color w:val="000000"/>
              </w:rPr>
              <w:t>Monetary liabilities changes</w:t>
            </w:r>
          </w:p>
        </w:tc>
        <w:tc>
          <w:tcPr>
            <w:tcW w:w="1504" w:type="dxa"/>
            <w:shd w:val="clear" w:color="auto" w:fill="auto"/>
          </w:tcPr>
          <w:p w14:paraId="50E596F5"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(51,198)</w:t>
            </w:r>
          </w:p>
        </w:tc>
        <w:tc>
          <w:tcPr>
            <w:tcW w:w="1504" w:type="dxa"/>
            <w:shd w:val="clear" w:color="auto" w:fill="auto"/>
          </w:tcPr>
          <w:p w14:paraId="12DD26E6"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4929FCA0"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(17,056)</w:t>
            </w:r>
          </w:p>
        </w:tc>
        <w:tc>
          <w:tcPr>
            <w:tcW w:w="1612" w:type="dxa"/>
            <w:shd w:val="clear" w:color="auto" w:fill="auto"/>
          </w:tcPr>
          <w:p w14:paraId="6ACD735E" w14:textId="77777777" w:rsidR="007B06F3" w:rsidRPr="00D311AA" w:rsidRDefault="007B06F3" w:rsidP="0085510F">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4E746290" w14:textId="77777777" w:rsidR="007B06F3" w:rsidRPr="00CA0C3C" w:rsidRDefault="007B06F3" w:rsidP="007B06F3">
      <w:pPr>
        <w:pStyle w:val="07-Legenda"/>
        <w:numPr>
          <w:ilvl w:val="0"/>
          <w:numId w:val="26"/>
        </w:numPr>
        <w:spacing w:before="0"/>
        <w:ind w:left="142" w:hanging="142"/>
      </w:pPr>
      <w:r w:rsidRPr="00CA0C3C">
        <w:t>BB Seguros and BB Corretora.</w:t>
      </w:r>
    </w:p>
    <w:p w14:paraId="61F617CF" w14:textId="77777777" w:rsidR="007B06F3" w:rsidRPr="00D311AA" w:rsidRDefault="007B06F3" w:rsidP="007B06F3">
      <w:pPr>
        <w:pStyle w:val="07-Legenda"/>
        <w:numPr>
          <w:ilvl w:val="0"/>
          <w:numId w:val="26"/>
        </w:numPr>
        <w:spacing w:before="0"/>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38FC56D0" w14:textId="77777777" w:rsidR="007B06F3" w:rsidRPr="00274BB2" w:rsidRDefault="007B06F3" w:rsidP="00A0014D">
      <w:pPr>
        <w:pStyle w:val="03-SubttulodeNota"/>
        <w:rPr>
          <w:color w:val="1F4E79" w:themeColor="accent1" w:themeShade="80"/>
          <w:sz w:val="18"/>
          <w:szCs w:val="18"/>
        </w:rPr>
      </w:pPr>
      <w:r w:rsidRPr="00274BB2">
        <w:rPr>
          <w:color w:val="1F4E79" w:themeColor="accent1" w:themeShade="80"/>
          <w:sz w:val="18"/>
          <w:szCs w:val="18"/>
        </w:rPr>
        <w:t>BB Seguridade – Consolidated</w:t>
      </w:r>
    </w:p>
    <w:p w14:paraId="439B31A5" w14:textId="77777777" w:rsidR="007B06F3" w:rsidRPr="00D311AA" w:rsidRDefault="007B06F3" w:rsidP="00CF5B3B">
      <w:pPr>
        <w:pStyle w:val="01-TtulodeNota"/>
        <w:spacing w:before="0" w:after="0"/>
        <w:ind w:firstLine="708"/>
        <w:jc w:val="right"/>
        <w:rPr>
          <w:sz w:val="14"/>
          <w:szCs w:val="14"/>
        </w:rPr>
      </w:pPr>
      <w:r w:rsidRPr="00D311AA">
        <w:rPr>
          <w:sz w:val="14"/>
          <w:szCs w:val="14"/>
        </w:rPr>
        <w:t>R$ thousand</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713"/>
        <w:gridCol w:w="216"/>
        <w:gridCol w:w="1034"/>
        <w:gridCol w:w="1115"/>
        <w:gridCol w:w="1044"/>
        <w:gridCol w:w="312"/>
        <w:gridCol w:w="253"/>
        <w:gridCol w:w="994"/>
        <w:gridCol w:w="1115"/>
        <w:gridCol w:w="1356"/>
      </w:tblGrid>
      <w:tr w:rsidR="007B06F3" w:rsidRPr="00D311AA" w14:paraId="047946F4" w14:textId="77777777" w:rsidTr="006D7BA5">
        <w:trPr>
          <w:trHeight w:val="238"/>
          <w:jc w:val="center"/>
        </w:trPr>
        <w:tc>
          <w:tcPr>
            <w:tcW w:w="287" w:type="dxa"/>
            <w:tcBorders>
              <w:top w:val="single" w:sz="2" w:space="0" w:color="1F4E79" w:themeColor="accent1" w:themeShade="80"/>
              <w:bottom w:val="nil"/>
            </w:tcBorders>
            <w:shd w:val="clear" w:color="auto" w:fill="auto"/>
            <w:vAlign w:val="center"/>
          </w:tcPr>
          <w:p w14:paraId="33CC56BE" w14:textId="77777777" w:rsidR="007B06F3" w:rsidRPr="00D311AA" w:rsidRDefault="007B06F3" w:rsidP="00C74364">
            <w:pPr>
              <w:pStyle w:val="08-Tabelageral"/>
              <w:jc w:val="center"/>
              <w:rPr>
                <w:b/>
                <w:bCs/>
              </w:rPr>
            </w:pPr>
          </w:p>
        </w:tc>
        <w:tc>
          <w:tcPr>
            <w:tcW w:w="1762" w:type="dxa"/>
            <w:tcBorders>
              <w:top w:val="single" w:sz="2" w:space="0" w:color="1F4E79" w:themeColor="accent1" w:themeShade="80"/>
              <w:bottom w:val="nil"/>
            </w:tcBorders>
            <w:shd w:val="clear" w:color="auto" w:fill="auto"/>
            <w:vAlign w:val="center"/>
          </w:tcPr>
          <w:p w14:paraId="41287BA8" w14:textId="77777777" w:rsidR="007B06F3" w:rsidRPr="00D311AA" w:rsidRDefault="007B06F3" w:rsidP="00C74364">
            <w:pPr>
              <w:pStyle w:val="08-Tabelageral"/>
              <w:jc w:val="center"/>
              <w:rPr>
                <w:b/>
                <w:bCs/>
              </w:rPr>
            </w:pPr>
          </w:p>
        </w:tc>
        <w:tc>
          <w:tcPr>
            <w:tcW w:w="3487" w:type="dxa"/>
            <w:gridSpan w:val="4"/>
            <w:tcBorders>
              <w:top w:val="single" w:sz="2" w:space="0" w:color="1F4E79" w:themeColor="accent1" w:themeShade="80"/>
              <w:bottom w:val="single" w:sz="2" w:space="0" w:color="1F4E79" w:themeColor="accent1" w:themeShade="80"/>
            </w:tcBorders>
            <w:shd w:val="clear" w:color="auto" w:fill="auto"/>
            <w:vAlign w:val="center"/>
          </w:tcPr>
          <w:p w14:paraId="491CC48E" w14:textId="77777777" w:rsidR="007B06F3" w:rsidRPr="00D311AA" w:rsidRDefault="007B06F3" w:rsidP="00C74364">
            <w:pPr>
              <w:pStyle w:val="08-Tabelageral"/>
              <w:jc w:val="center"/>
              <w:rPr>
                <w:b/>
                <w:bCs/>
              </w:rPr>
            </w:pPr>
            <w:r>
              <w:rPr>
                <w:b/>
                <w:bCs/>
              </w:rPr>
              <w:t>Mar</w:t>
            </w:r>
            <w:r w:rsidRPr="00D311AA">
              <w:rPr>
                <w:b/>
                <w:bCs/>
              </w:rPr>
              <w:t xml:space="preserve"> 3</w:t>
            </w:r>
            <w:r>
              <w:rPr>
                <w:b/>
                <w:bCs/>
              </w:rPr>
              <w:t>1</w:t>
            </w:r>
            <w:r w:rsidRPr="00D311AA">
              <w:rPr>
                <w:b/>
                <w:bCs/>
              </w:rPr>
              <w:t>, 202</w:t>
            </w:r>
            <w:r>
              <w:rPr>
                <w:b/>
                <w:bCs/>
              </w:rPr>
              <w:t>3</w:t>
            </w:r>
          </w:p>
        </w:tc>
        <w:tc>
          <w:tcPr>
            <w:tcW w:w="314" w:type="dxa"/>
            <w:tcBorders>
              <w:top w:val="single" w:sz="2" w:space="0" w:color="1F4E79" w:themeColor="accent1" w:themeShade="80"/>
              <w:bottom w:val="single" w:sz="2" w:space="0" w:color="1F4E79" w:themeColor="accent1" w:themeShade="80"/>
            </w:tcBorders>
            <w:shd w:val="clear" w:color="auto" w:fill="auto"/>
          </w:tcPr>
          <w:p w14:paraId="6FAD6455" w14:textId="77777777" w:rsidR="007B06F3" w:rsidRPr="00D311AA" w:rsidRDefault="007B06F3" w:rsidP="00C74364">
            <w:pPr>
              <w:pStyle w:val="08-Tabelageral"/>
              <w:jc w:val="center"/>
              <w:rPr>
                <w:b/>
                <w:bCs/>
              </w:rPr>
            </w:pPr>
          </w:p>
        </w:tc>
        <w:tc>
          <w:tcPr>
            <w:tcW w:w="253" w:type="dxa"/>
            <w:tcBorders>
              <w:top w:val="single" w:sz="2" w:space="0" w:color="1F4E79" w:themeColor="accent1" w:themeShade="80"/>
              <w:bottom w:val="single" w:sz="2" w:space="0" w:color="1F4E79" w:themeColor="accent1" w:themeShade="80"/>
            </w:tcBorders>
            <w:shd w:val="clear" w:color="auto" w:fill="auto"/>
          </w:tcPr>
          <w:p w14:paraId="69EF0E88" w14:textId="77777777" w:rsidR="007B06F3" w:rsidRPr="00D311AA" w:rsidRDefault="007B06F3" w:rsidP="00C74364">
            <w:pPr>
              <w:pStyle w:val="08-Tabelageral"/>
              <w:jc w:val="left"/>
              <w:rPr>
                <w:b/>
                <w:bCs/>
              </w:rPr>
            </w:pPr>
          </w:p>
        </w:tc>
        <w:tc>
          <w:tcPr>
            <w:tcW w:w="3548" w:type="dxa"/>
            <w:gridSpan w:val="3"/>
            <w:tcBorders>
              <w:top w:val="single" w:sz="2" w:space="0" w:color="1F4E79" w:themeColor="accent1" w:themeShade="80"/>
              <w:bottom w:val="single" w:sz="2" w:space="0" w:color="1F4E79" w:themeColor="accent1" w:themeShade="80"/>
            </w:tcBorders>
            <w:shd w:val="clear" w:color="auto" w:fill="auto"/>
            <w:vAlign w:val="center"/>
          </w:tcPr>
          <w:p w14:paraId="130D68C7" w14:textId="77777777" w:rsidR="007B06F3" w:rsidRPr="00D311AA" w:rsidRDefault="007B06F3" w:rsidP="00C74364">
            <w:pPr>
              <w:pStyle w:val="08-Tabelageral"/>
              <w:jc w:val="center"/>
              <w:rPr>
                <w:b/>
                <w:bCs/>
              </w:rPr>
            </w:pPr>
            <w:r w:rsidRPr="00053D72">
              <w:rPr>
                <w:b/>
                <w:bCs/>
              </w:rPr>
              <w:t>Dec 31, 2022</w:t>
            </w:r>
          </w:p>
        </w:tc>
      </w:tr>
      <w:tr w:rsidR="007B06F3" w:rsidRPr="00D311AA" w14:paraId="536A35B7" w14:textId="77777777" w:rsidTr="002E2397">
        <w:trPr>
          <w:trHeight w:val="238"/>
          <w:jc w:val="center"/>
        </w:trPr>
        <w:tc>
          <w:tcPr>
            <w:tcW w:w="2275" w:type="dxa"/>
            <w:gridSpan w:val="3"/>
            <w:tcBorders>
              <w:top w:val="nil"/>
              <w:bottom w:val="single" w:sz="2" w:space="0" w:color="1F4E79" w:themeColor="accent1" w:themeShade="80"/>
            </w:tcBorders>
            <w:shd w:val="clear" w:color="auto" w:fill="auto"/>
            <w:vAlign w:val="center"/>
          </w:tcPr>
          <w:p w14:paraId="3BA3BC02" w14:textId="77777777" w:rsidR="007B06F3" w:rsidRPr="00D311AA" w:rsidRDefault="007B06F3" w:rsidP="00C74364">
            <w:pPr>
              <w:pStyle w:val="08-Tabelageral"/>
              <w:jc w:val="center"/>
              <w:rPr>
                <w:b/>
                <w:szCs w:val="14"/>
              </w:rPr>
            </w:pPr>
          </w:p>
        </w:tc>
        <w:tc>
          <w:tcPr>
            <w:tcW w:w="1048" w:type="dxa"/>
            <w:tcBorders>
              <w:top w:val="single" w:sz="2" w:space="0" w:color="8EAADB" w:themeColor="accent5" w:themeTint="99"/>
              <w:bottom w:val="single" w:sz="2" w:space="0" w:color="1F4E79" w:themeColor="accent1" w:themeShade="80"/>
            </w:tcBorders>
            <w:shd w:val="clear" w:color="auto" w:fill="auto"/>
            <w:vAlign w:val="center"/>
          </w:tcPr>
          <w:p w14:paraId="13706981" w14:textId="77777777" w:rsidR="007B06F3" w:rsidRPr="00D311AA" w:rsidRDefault="007B06F3" w:rsidP="00C74364">
            <w:pPr>
              <w:pStyle w:val="08-Tabelageral"/>
              <w:rPr>
                <w:b/>
                <w:szCs w:val="14"/>
              </w:rPr>
            </w:pPr>
            <w:r>
              <w:rPr>
                <w:b/>
                <w:szCs w:val="14"/>
              </w:rPr>
              <w:t>Banco do Brasil</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5A8C25FF" w14:textId="77777777" w:rsidR="007B06F3" w:rsidRPr="00D311AA" w:rsidRDefault="007B06F3" w:rsidP="00C74364">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400" w:type="dxa"/>
            <w:gridSpan w:val="2"/>
            <w:tcBorders>
              <w:top w:val="single" w:sz="2" w:space="0" w:color="8EAADB" w:themeColor="accent5" w:themeTint="99"/>
              <w:bottom w:val="single" w:sz="2" w:space="0" w:color="1F4E79" w:themeColor="accent1" w:themeShade="80"/>
            </w:tcBorders>
            <w:shd w:val="clear" w:color="auto" w:fill="auto"/>
            <w:vAlign w:val="center"/>
          </w:tcPr>
          <w:p w14:paraId="4D9A80F3" w14:textId="77777777" w:rsidR="007B06F3" w:rsidRPr="00D311AA" w:rsidRDefault="007B06F3" w:rsidP="00C74364">
            <w:pPr>
              <w:pStyle w:val="08-Tabelageral"/>
              <w:rPr>
                <w:b/>
                <w:szCs w:val="14"/>
              </w:rPr>
            </w:pPr>
            <w:r w:rsidRPr="00D311AA">
              <w:rPr>
                <w:b/>
                <w:szCs w:val="14"/>
              </w:rPr>
              <w:t>Other related parties</w:t>
            </w:r>
          </w:p>
        </w:tc>
        <w:tc>
          <w:tcPr>
            <w:tcW w:w="1274" w:type="dxa"/>
            <w:gridSpan w:val="2"/>
            <w:tcBorders>
              <w:top w:val="single" w:sz="2" w:space="0" w:color="8EAADB" w:themeColor="accent5" w:themeTint="99"/>
              <w:bottom w:val="single" w:sz="2" w:space="0" w:color="1F4E79" w:themeColor="accent1" w:themeShade="80"/>
            </w:tcBorders>
            <w:shd w:val="clear" w:color="auto" w:fill="auto"/>
            <w:vAlign w:val="center"/>
          </w:tcPr>
          <w:p w14:paraId="3B51D7E6" w14:textId="77777777" w:rsidR="007B06F3" w:rsidRPr="00D311AA" w:rsidRDefault="007B06F3" w:rsidP="00C74364">
            <w:pPr>
              <w:pStyle w:val="08-Tabelageral"/>
              <w:rPr>
                <w:b/>
                <w:szCs w:val="14"/>
              </w:rPr>
            </w:pPr>
            <w:r>
              <w:rPr>
                <w:b/>
                <w:szCs w:val="14"/>
              </w:rPr>
              <w:t>Banco do Brasil</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4DD4626D" w14:textId="77777777" w:rsidR="007B06F3" w:rsidRPr="00D311AA" w:rsidRDefault="007B06F3" w:rsidP="00C74364">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400" w:type="dxa"/>
            <w:tcBorders>
              <w:top w:val="single" w:sz="2" w:space="0" w:color="8EAADB" w:themeColor="accent5" w:themeTint="99"/>
              <w:bottom w:val="single" w:sz="2" w:space="0" w:color="1F4E79" w:themeColor="accent1" w:themeShade="80"/>
            </w:tcBorders>
            <w:shd w:val="clear" w:color="auto" w:fill="auto"/>
            <w:vAlign w:val="center"/>
          </w:tcPr>
          <w:p w14:paraId="67D0E190" w14:textId="77777777" w:rsidR="007B06F3" w:rsidRPr="00D311AA" w:rsidRDefault="007B06F3" w:rsidP="00C74364">
            <w:pPr>
              <w:pStyle w:val="08-Tabelageral"/>
              <w:rPr>
                <w:b/>
                <w:szCs w:val="14"/>
              </w:rPr>
            </w:pPr>
            <w:r w:rsidRPr="00D311AA">
              <w:rPr>
                <w:b/>
                <w:szCs w:val="14"/>
              </w:rPr>
              <w:t>Other related parties</w:t>
            </w:r>
          </w:p>
        </w:tc>
      </w:tr>
      <w:tr w:rsidR="007B06F3" w:rsidRPr="00D311AA" w14:paraId="1CF26173" w14:textId="77777777" w:rsidTr="002E2397">
        <w:trPr>
          <w:trHeight w:val="238"/>
          <w:jc w:val="center"/>
        </w:trPr>
        <w:tc>
          <w:tcPr>
            <w:tcW w:w="2275" w:type="dxa"/>
            <w:gridSpan w:val="3"/>
            <w:tcBorders>
              <w:top w:val="single" w:sz="2" w:space="0" w:color="1F4E79" w:themeColor="accent1" w:themeShade="80"/>
            </w:tcBorders>
            <w:shd w:val="clear" w:color="auto" w:fill="auto"/>
          </w:tcPr>
          <w:p w14:paraId="2C9B969B" w14:textId="77777777" w:rsidR="007B06F3" w:rsidRPr="00D311AA" w:rsidRDefault="007B06F3" w:rsidP="00C74364">
            <w:pPr>
              <w:pStyle w:val="08-Tabelageral"/>
              <w:jc w:val="left"/>
              <w:rPr>
                <w:b/>
              </w:rPr>
            </w:pPr>
            <w:r w:rsidRPr="00D311AA">
              <w:rPr>
                <w:b/>
              </w:rPr>
              <w:t>Assets</w:t>
            </w:r>
          </w:p>
        </w:tc>
        <w:tc>
          <w:tcPr>
            <w:tcW w:w="1048" w:type="dxa"/>
            <w:tcBorders>
              <w:top w:val="single" w:sz="2" w:space="0" w:color="1F4E79" w:themeColor="accent1" w:themeShade="80"/>
            </w:tcBorders>
            <w:shd w:val="clear" w:color="auto" w:fill="auto"/>
            <w:vAlign w:val="center"/>
          </w:tcPr>
          <w:p w14:paraId="67ED8C14" w14:textId="77777777" w:rsidR="007B06F3" w:rsidRPr="00D311AA" w:rsidRDefault="007B06F3" w:rsidP="00C74364">
            <w:pPr>
              <w:pStyle w:val="08-Tabelageral"/>
              <w:rPr>
                <w:b/>
                <w:szCs w:val="14"/>
              </w:rPr>
            </w:pPr>
          </w:p>
        </w:tc>
        <w:tc>
          <w:tcPr>
            <w:tcW w:w="1127" w:type="dxa"/>
            <w:tcBorders>
              <w:top w:val="single" w:sz="2" w:space="0" w:color="1F4E79" w:themeColor="accent1" w:themeShade="80"/>
            </w:tcBorders>
            <w:shd w:val="clear" w:color="auto" w:fill="auto"/>
            <w:vAlign w:val="center"/>
          </w:tcPr>
          <w:p w14:paraId="1F23B7F4" w14:textId="77777777" w:rsidR="007B06F3" w:rsidRPr="00D311AA" w:rsidRDefault="007B06F3" w:rsidP="00C74364">
            <w:pPr>
              <w:pStyle w:val="08-Tabelageral"/>
              <w:rPr>
                <w:b/>
                <w:szCs w:val="14"/>
              </w:rPr>
            </w:pPr>
          </w:p>
        </w:tc>
        <w:tc>
          <w:tcPr>
            <w:tcW w:w="1400" w:type="dxa"/>
            <w:gridSpan w:val="2"/>
            <w:tcBorders>
              <w:top w:val="single" w:sz="2" w:space="0" w:color="1F4E79" w:themeColor="accent1" w:themeShade="80"/>
            </w:tcBorders>
            <w:shd w:val="clear" w:color="auto" w:fill="auto"/>
            <w:vAlign w:val="center"/>
          </w:tcPr>
          <w:p w14:paraId="3854D991" w14:textId="77777777" w:rsidR="007B06F3" w:rsidRPr="00D311AA" w:rsidRDefault="007B06F3" w:rsidP="00C74364">
            <w:pPr>
              <w:pStyle w:val="08-Tabelageral"/>
              <w:rPr>
                <w:b/>
              </w:rPr>
            </w:pPr>
          </w:p>
        </w:tc>
        <w:tc>
          <w:tcPr>
            <w:tcW w:w="1274" w:type="dxa"/>
            <w:gridSpan w:val="2"/>
            <w:tcBorders>
              <w:top w:val="single" w:sz="2" w:space="0" w:color="1F4E79" w:themeColor="accent1" w:themeShade="80"/>
            </w:tcBorders>
            <w:shd w:val="clear" w:color="auto" w:fill="auto"/>
            <w:vAlign w:val="center"/>
          </w:tcPr>
          <w:p w14:paraId="2A2B65EB" w14:textId="77777777" w:rsidR="007B06F3" w:rsidRPr="00D311AA" w:rsidRDefault="007B06F3" w:rsidP="00C74364">
            <w:pPr>
              <w:pStyle w:val="08-Tabelageral"/>
              <w:rPr>
                <w:b/>
              </w:rPr>
            </w:pPr>
          </w:p>
        </w:tc>
        <w:tc>
          <w:tcPr>
            <w:tcW w:w="1127" w:type="dxa"/>
            <w:tcBorders>
              <w:top w:val="single" w:sz="2" w:space="0" w:color="1F4E79" w:themeColor="accent1" w:themeShade="80"/>
            </w:tcBorders>
            <w:shd w:val="clear" w:color="auto" w:fill="auto"/>
            <w:vAlign w:val="center"/>
          </w:tcPr>
          <w:p w14:paraId="5DF1C4D5" w14:textId="77777777" w:rsidR="007B06F3" w:rsidRPr="00D311AA" w:rsidRDefault="007B06F3" w:rsidP="00C74364">
            <w:pPr>
              <w:pStyle w:val="08-Tabelageral"/>
              <w:rPr>
                <w:b/>
              </w:rPr>
            </w:pPr>
          </w:p>
        </w:tc>
        <w:tc>
          <w:tcPr>
            <w:tcW w:w="1400" w:type="dxa"/>
            <w:tcBorders>
              <w:top w:val="single" w:sz="2" w:space="0" w:color="1F4E79" w:themeColor="accent1" w:themeShade="80"/>
            </w:tcBorders>
            <w:shd w:val="clear" w:color="auto" w:fill="auto"/>
            <w:vAlign w:val="center"/>
          </w:tcPr>
          <w:p w14:paraId="1F18FEC4" w14:textId="77777777" w:rsidR="007B06F3" w:rsidRPr="00D311AA" w:rsidRDefault="007B06F3" w:rsidP="00C74364">
            <w:pPr>
              <w:pStyle w:val="08-Tabelageral"/>
              <w:rPr>
                <w:b/>
              </w:rPr>
            </w:pPr>
          </w:p>
        </w:tc>
      </w:tr>
      <w:tr w:rsidR="007B06F3" w:rsidRPr="00D311AA" w14:paraId="302787C6" w14:textId="77777777" w:rsidTr="002E2397">
        <w:trPr>
          <w:trHeight w:val="238"/>
          <w:jc w:val="center"/>
        </w:trPr>
        <w:tc>
          <w:tcPr>
            <w:tcW w:w="2275" w:type="dxa"/>
            <w:gridSpan w:val="3"/>
            <w:shd w:val="clear" w:color="auto" w:fill="auto"/>
          </w:tcPr>
          <w:p w14:paraId="19912DC1" w14:textId="77777777" w:rsidR="007B06F3" w:rsidRPr="00D311AA" w:rsidRDefault="007B06F3" w:rsidP="00B3279C">
            <w:pPr>
              <w:pStyle w:val="08-Tabelageral"/>
              <w:jc w:val="left"/>
              <w:rPr>
                <w:bCs/>
              </w:rPr>
            </w:pPr>
            <w:r w:rsidRPr="00D311AA">
              <w:rPr>
                <w:bCs/>
              </w:rPr>
              <w:t>Cash and cash equivalent</w:t>
            </w:r>
            <w:r>
              <w:rPr>
                <w:bCs/>
              </w:rPr>
              <w:t>s</w:t>
            </w:r>
          </w:p>
        </w:tc>
        <w:tc>
          <w:tcPr>
            <w:tcW w:w="1048" w:type="dxa"/>
            <w:tcBorders>
              <w:top w:val="nil"/>
            </w:tcBorders>
            <w:shd w:val="clear" w:color="auto" w:fill="auto"/>
            <w:vAlign w:val="center"/>
          </w:tcPr>
          <w:p w14:paraId="719508B2" w14:textId="77777777" w:rsidR="007B06F3" w:rsidRPr="00D311AA" w:rsidRDefault="007B06F3" w:rsidP="00B3279C">
            <w:pPr>
              <w:pStyle w:val="08-Tabelageral"/>
            </w:pPr>
            <w:r>
              <w:t>2.814.754</w:t>
            </w:r>
          </w:p>
        </w:tc>
        <w:tc>
          <w:tcPr>
            <w:tcW w:w="1127" w:type="dxa"/>
            <w:tcBorders>
              <w:top w:val="nil"/>
            </w:tcBorders>
            <w:shd w:val="clear" w:color="auto" w:fill="auto"/>
            <w:vAlign w:val="center"/>
          </w:tcPr>
          <w:p w14:paraId="7D7B8EB8" w14:textId="77777777" w:rsidR="007B06F3" w:rsidRPr="00D311AA" w:rsidRDefault="007B06F3" w:rsidP="00B3279C">
            <w:pPr>
              <w:pStyle w:val="08-Tabelageral"/>
            </w:pPr>
            <w:r>
              <w:t>--</w:t>
            </w:r>
          </w:p>
        </w:tc>
        <w:tc>
          <w:tcPr>
            <w:tcW w:w="1400" w:type="dxa"/>
            <w:gridSpan w:val="2"/>
            <w:tcBorders>
              <w:top w:val="nil"/>
            </w:tcBorders>
            <w:shd w:val="clear" w:color="auto" w:fill="auto"/>
            <w:vAlign w:val="center"/>
          </w:tcPr>
          <w:p w14:paraId="081F2501" w14:textId="77777777" w:rsidR="007B06F3" w:rsidRPr="00D311AA" w:rsidRDefault="007B06F3" w:rsidP="00B3279C">
            <w:pPr>
              <w:pStyle w:val="08-Tabelageral"/>
              <w:rPr>
                <w:lang w:eastAsia="en-US"/>
              </w:rPr>
            </w:pPr>
            <w:r>
              <w:rPr>
                <w:lang w:eastAsia="en-US"/>
              </w:rPr>
              <w:t>--</w:t>
            </w:r>
          </w:p>
        </w:tc>
        <w:tc>
          <w:tcPr>
            <w:tcW w:w="1274" w:type="dxa"/>
            <w:gridSpan w:val="2"/>
            <w:tcBorders>
              <w:top w:val="nil"/>
            </w:tcBorders>
            <w:shd w:val="clear" w:color="auto" w:fill="auto"/>
            <w:vAlign w:val="center"/>
          </w:tcPr>
          <w:p w14:paraId="2DDB4A17" w14:textId="77777777" w:rsidR="007B06F3" w:rsidRPr="00D311AA" w:rsidRDefault="007B06F3" w:rsidP="00B3279C">
            <w:pPr>
              <w:pStyle w:val="08-Tabelageral"/>
            </w:pPr>
            <w:r w:rsidRPr="00F65A0E">
              <w:t>6.076.618</w:t>
            </w:r>
          </w:p>
        </w:tc>
        <w:tc>
          <w:tcPr>
            <w:tcW w:w="1127" w:type="dxa"/>
            <w:tcBorders>
              <w:top w:val="nil"/>
            </w:tcBorders>
            <w:shd w:val="clear" w:color="auto" w:fill="auto"/>
            <w:vAlign w:val="center"/>
          </w:tcPr>
          <w:p w14:paraId="50B62D12" w14:textId="77777777" w:rsidR="007B06F3" w:rsidRPr="00D311AA" w:rsidRDefault="007B06F3" w:rsidP="00B3279C">
            <w:pPr>
              <w:pStyle w:val="08-Tabelageral"/>
            </w:pPr>
            <w:r>
              <w:t>--</w:t>
            </w:r>
          </w:p>
        </w:tc>
        <w:tc>
          <w:tcPr>
            <w:tcW w:w="1400" w:type="dxa"/>
            <w:tcBorders>
              <w:top w:val="nil"/>
            </w:tcBorders>
            <w:shd w:val="clear" w:color="auto" w:fill="auto"/>
            <w:vAlign w:val="center"/>
          </w:tcPr>
          <w:p w14:paraId="77EBE7C6" w14:textId="77777777" w:rsidR="007B06F3" w:rsidRPr="00D311AA" w:rsidRDefault="007B06F3" w:rsidP="00B3279C">
            <w:pPr>
              <w:pStyle w:val="08-Tabelageral"/>
              <w:rPr>
                <w:lang w:eastAsia="en-US"/>
              </w:rPr>
            </w:pPr>
            <w:r>
              <w:rPr>
                <w:lang w:eastAsia="en-US"/>
              </w:rPr>
              <w:t>--</w:t>
            </w:r>
          </w:p>
        </w:tc>
      </w:tr>
      <w:tr w:rsidR="007B06F3" w:rsidRPr="00D311AA" w14:paraId="72703347" w14:textId="77777777" w:rsidTr="002E2397">
        <w:trPr>
          <w:trHeight w:val="238"/>
          <w:jc w:val="center"/>
        </w:trPr>
        <w:tc>
          <w:tcPr>
            <w:tcW w:w="2275" w:type="dxa"/>
            <w:gridSpan w:val="3"/>
            <w:shd w:val="clear" w:color="auto" w:fill="auto"/>
          </w:tcPr>
          <w:p w14:paraId="77907FAF" w14:textId="77777777" w:rsidR="007B06F3" w:rsidRPr="00D311AA" w:rsidRDefault="007B06F3" w:rsidP="00B3279C">
            <w:pPr>
              <w:pStyle w:val="08-Tabelageral"/>
              <w:jc w:val="left"/>
              <w:rPr>
                <w:bCs/>
              </w:rPr>
            </w:pPr>
            <w:r w:rsidRPr="00181218">
              <w:t>Dividends/interest on equity receivable</w:t>
            </w:r>
          </w:p>
        </w:tc>
        <w:tc>
          <w:tcPr>
            <w:tcW w:w="1048" w:type="dxa"/>
            <w:shd w:val="clear" w:color="auto" w:fill="auto"/>
            <w:vAlign w:val="center"/>
          </w:tcPr>
          <w:p w14:paraId="7D7F44B9" w14:textId="77777777" w:rsidR="007B06F3" w:rsidRPr="00D311AA" w:rsidRDefault="007B06F3" w:rsidP="00B3279C">
            <w:pPr>
              <w:pStyle w:val="08-Tabelageral"/>
            </w:pPr>
            <w:r>
              <w:t>--</w:t>
            </w:r>
          </w:p>
        </w:tc>
        <w:tc>
          <w:tcPr>
            <w:tcW w:w="1127" w:type="dxa"/>
            <w:shd w:val="clear" w:color="auto" w:fill="auto"/>
            <w:vAlign w:val="center"/>
          </w:tcPr>
          <w:p w14:paraId="167C59A2" w14:textId="77777777" w:rsidR="007B06F3" w:rsidRPr="00D311AA" w:rsidRDefault="007B06F3" w:rsidP="00B3279C">
            <w:pPr>
              <w:pStyle w:val="08-Tabelageral"/>
            </w:pPr>
            <w:r>
              <w:t>--</w:t>
            </w:r>
          </w:p>
        </w:tc>
        <w:tc>
          <w:tcPr>
            <w:tcW w:w="1400" w:type="dxa"/>
            <w:gridSpan w:val="2"/>
            <w:shd w:val="clear" w:color="auto" w:fill="auto"/>
            <w:vAlign w:val="center"/>
          </w:tcPr>
          <w:p w14:paraId="3B874909" w14:textId="77777777" w:rsidR="007B06F3" w:rsidRPr="00D311AA" w:rsidRDefault="007B06F3" w:rsidP="00B3279C">
            <w:pPr>
              <w:pStyle w:val="08-Tabelageral"/>
              <w:rPr>
                <w:lang w:eastAsia="en-US"/>
              </w:rPr>
            </w:pPr>
            <w:r>
              <w:rPr>
                <w:lang w:eastAsia="en-US"/>
              </w:rPr>
              <w:t>--</w:t>
            </w:r>
          </w:p>
        </w:tc>
        <w:tc>
          <w:tcPr>
            <w:tcW w:w="1274" w:type="dxa"/>
            <w:gridSpan w:val="2"/>
            <w:shd w:val="clear" w:color="auto" w:fill="auto"/>
            <w:vAlign w:val="center"/>
          </w:tcPr>
          <w:p w14:paraId="5009A60D" w14:textId="77777777" w:rsidR="007B06F3" w:rsidRPr="00D311AA" w:rsidRDefault="007B06F3" w:rsidP="00B3279C">
            <w:pPr>
              <w:pStyle w:val="08-Tabelageral"/>
            </w:pPr>
            <w:r>
              <w:t>--</w:t>
            </w:r>
          </w:p>
        </w:tc>
        <w:tc>
          <w:tcPr>
            <w:tcW w:w="1127" w:type="dxa"/>
            <w:shd w:val="clear" w:color="auto" w:fill="auto"/>
            <w:vAlign w:val="center"/>
          </w:tcPr>
          <w:p w14:paraId="1D341B04" w14:textId="77777777" w:rsidR="007B06F3" w:rsidRPr="00D311AA" w:rsidRDefault="007B06F3" w:rsidP="00B3279C">
            <w:pPr>
              <w:pStyle w:val="08-Tabelageral"/>
            </w:pPr>
            <w:r>
              <w:t>13.519</w:t>
            </w:r>
          </w:p>
        </w:tc>
        <w:tc>
          <w:tcPr>
            <w:tcW w:w="1400" w:type="dxa"/>
            <w:shd w:val="clear" w:color="auto" w:fill="auto"/>
            <w:vAlign w:val="center"/>
          </w:tcPr>
          <w:p w14:paraId="72FD1735" w14:textId="77777777" w:rsidR="007B06F3" w:rsidRPr="00D311AA" w:rsidRDefault="007B06F3" w:rsidP="00B3279C">
            <w:pPr>
              <w:pStyle w:val="08-Tabelageral"/>
              <w:rPr>
                <w:lang w:eastAsia="en-US"/>
              </w:rPr>
            </w:pPr>
            <w:r>
              <w:rPr>
                <w:lang w:eastAsia="en-US"/>
              </w:rPr>
              <w:t>--</w:t>
            </w:r>
          </w:p>
        </w:tc>
      </w:tr>
      <w:tr w:rsidR="007B06F3" w:rsidRPr="00D311AA" w14:paraId="331442E3" w14:textId="77777777" w:rsidTr="002E2397">
        <w:trPr>
          <w:trHeight w:val="238"/>
          <w:jc w:val="center"/>
        </w:trPr>
        <w:tc>
          <w:tcPr>
            <w:tcW w:w="2275" w:type="dxa"/>
            <w:gridSpan w:val="3"/>
            <w:shd w:val="clear" w:color="auto" w:fill="auto"/>
          </w:tcPr>
          <w:p w14:paraId="556C21B4" w14:textId="77777777" w:rsidR="007B06F3" w:rsidRPr="00D311AA" w:rsidRDefault="007B06F3" w:rsidP="00B3279C">
            <w:pPr>
              <w:pStyle w:val="08-Tabelageral"/>
              <w:jc w:val="left"/>
              <w:rPr>
                <w:bCs/>
              </w:rPr>
            </w:pPr>
            <w:r w:rsidRPr="00D311AA">
              <w:rPr>
                <w:bCs/>
              </w:rPr>
              <w:t>Commissions to be received</w:t>
            </w:r>
          </w:p>
        </w:tc>
        <w:tc>
          <w:tcPr>
            <w:tcW w:w="1048" w:type="dxa"/>
            <w:shd w:val="clear" w:color="auto" w:fill="auto"/>
            <w:vAlign w:val="center"/>
          </w:tcPr>
          <w:p w14:paraId="3055DA6C" w14:textId="77777777" w:rsidR="007B06F3" w:rsidRPr="00D311AA" w:rsidRDefault="007B06F3" w:rsidP="00B3279C">
            <w:pPr>
              <w:pStyle w:val="08-Tabelageral"/>
            </w:pPr>
            <w:r>
              <w:t>--</w:t>
            </w:r>
          </w:p>
        </w:tc>
        <w:tc>
          <w:tcPr>
            <w:tcW w:w="1127" w:type="dxa"/>
            <w:shd w:val="clear" w:color="auto" w:fill="auto"/>
            <w:vAlign w:val="center"/>
          </w:tcPr>
          <w:p w14:paraId="68A92784" w14:textId="77777777" w:rsidR="007B06F3" w:rsidRPr="00D311AA" w:rsidRDefault="007B06F3" w:rsidP="00B3279C">
            <w:pPr>
              <w:pStyle w:val="08-Tabelageral"/>
            </w:pPr>
            <w:r>
              <w:t>1.840.800</w:t>
            </w:r>
          </w:p>
        </w:tc>
        <w:tc>
          <w:tcPr>
            <w:tcW w:w="1400" w:type="dxa"/>
            <w:gridSpan w:val="2"/>
            <w:shd w:val="clear" w:color="auto" w:fill="auto"/>
            <w:vAlign w:val="center"/>
          </w:tcPr>
          <w:p w14:paraId="3C5DDB54" w14:textId="77777777" w:rsidR="007B06F3" w:rsidRPr="00D311AA" w:rsidRDefault="007B06F3" w:rsidP="00B3279C">
            <w:pPr>
              <w:pStyle w:val="08-Tabelageral"/>
              <w:rPr>
                <w:lang w:eastAsia="en-US"/>
              </w:rPr>
            </w:pPr>
            <w:r>
              <w:rPr>
                <w:lang w:eastAsia="en-US"/>
              </w:rPr>
              <w:t>--</w:t>
            </w:r>
          </w:p>
        </w:tc>
        <w:tc>
          <w:tcPr>
            <w:tcW w:w="1274" w:type="dxa"/>
            <w:gridSpan w:val="2"/>
            <w:shd w:val="clear" w:color="auto" w:fill="auto"/>
            <w:vAlign w:val="center"/>
          </w:tcPr>
          <w:p w14:paraId="77B40053" w14:textId="77777777" w:rsidR="007B06F3" w:rsidRPr="00D311AA" w:rsidRDefault="007B06F3" w:rsidP="00B3279C">
            <w:pPr>
              <w:pStyle w:val="08-Tabelageral"/>
            </w:pPr>
            <w:r>
              <w:t>--</w:t>
            </w:r>
          </w:p>
        </w:tc>
        <w:tc>
          <w:tcPr>
            <w:tcW w:w="1127" w:type="dxa"/>
            <w:shd w:val="clear" w:color="auto" w:fill="auto"/>
            <w:vAlign w:val="center"/>
          </w:tcPr>
          <w:p w14:paraId="4F7D760C" w14:textId="77777777" w:rsidR="007B06F3" w:rsidRPr="00D311AA" w:rsidRDefault="007B06F3" w:rsidP="00B3279C">
            <w:pPr>
              <w:pStyle w:val="08-Tabelageral"/>
            </w:pPr>
            <w:r>
              <w:t>1.823.246</w:t>
            </w:r>
          </w:p>
        </w:tc>
        <w:tc>
          <w:tcPr>
            <w:tcW w:w="1400" w:type="dxa"/>
            <w:shd w:val="clear" w:color="auto" w:fill="auto"/>
            <w:vAlign w:val="center"/>
          </w:tcPr>
          <w:p w14:paraId="1B269AFB" w14:textId="77777777" w:rsidR="007B06F3" w:rsidRPr="00D311AA" w:rsidRDefault="007B06F3" w:rsidP="00B3279C">
            <w:pPr>
              <w:pStyle w:val="08-Tabelageral"/>
              <w:rPr>
                <w:lang w:eastAsia="en-US"/>
              </w:rPr>
            </w:pPr>
            <w:r>
              <w:rPr>
                <w:lang w:eastAsia="en-US"/>
              </w:rPr>
              <w:t>--</w:t>
            </w:r>
          </w:p>
        </w:tc>
      </w:tr>
      <w:tr w:rsidR="007B06F3" w:rsidRPr="00D311AA" w14:paraId="12DEFA1B" w14:textId="77777777" w:rsidTr="002E2397">
        <w:trPr>
          <w:trHeight w:val="238"/>
          <w:jc w:val="center"/>
        </w:trPr>
        <w:tc>
          <w:tcPr>
            <w:tcW w:w="2275" w:type="dxa"/>
            <w:gridSpan w:val="3"/>
            <w:shd w:val="clear" w:color="auto" w:fill="auto"/>
          </w:tcPr>
          <w:p w14:paraId="2B56BEAE" w14:textId="77777777" w:rsidR="007B06F3" w:rsidRPr="00D311AA" w:rsidRDefault="007B06F3" w:rsidP="00B3279C">
            <w:pPr>
              <w:pStyle w:val="08-Tabelageral"/>
              <w:jc w:val="left"/>
              <w:rPr>
                <w:b/>
              </w:rPr>
            </w:pPr>
            <w:r w:rsidRPr="00D311AA">
              <w:rPr>
                <w:b/>
              </w:rPr>
              <w:t>Liabilities</w:t>
            </w:r>
          </w:p>
        </w:tc>
        <w:tc>
          <w:tcPr>
            <w:tcW w:w="1048" w:type="dxa"/>
            <w:shd w:val="clear" w:color="auto" w:fill="auto"/>
            <w:vAlign w:val="center"/>
          </w:tcPr>
          <w:p w14:paraId="39DDE63D" w14:textId="77777777" w:rsidR="007B06F3" w:rsidRPr="00D311AA" w:rsidRDefault="007B06F3" w:rsidP="00B3279C">
            <w:pPr>
              <w:pStyle w:val="08-Tabelageral"/>
              <w:rPr>
                <w:b/>
              </w:rPr>
            </w:pPr>
          </w:p>
        </w:tc>
        <w:tc>
          <w:tcPr>
            <w:tcW w:w="1127" w:type="dxa"/>
            <w:shd w:val="clear" w:color="auto" w:fill="auto"/>
            <w:vAlign w:val="center"/>
          </w:tcPr>
          <w:p w14:paraId="10D68183" w14:textId="77777777" w:rsidR="007B06F3" w:rsidRPr="00D311AA" w:rsidRDefault="007B06F3" w:rsidP="00B3279C">
            <w:pPr>
              <w:pStyle w:val="08-Tabelageral"/>
              <w:rPr>
                <w:b/>
              </w:rPr>
            </w:pPr>
          </w:p>
        </w:tc>
        <w:tc>
          <w:tcPr>
            <w:tcW w:w="1400" w:type="dxa"/>
            <w:gridSpan w:val="2"/>
            <w:shd w:val="clear" w:color="auto" w:fill="auto"/>
            <w:vAlign w:val="center"/>
          </w:tcPr>
          <w:p w14:paraId="10333FC8" w14:textId="77777777" w:rsidR="007B06F3" w:rsidRPr="00D311AA" w:rsidRDefault="007B06F3" w:rsidP="00B3279C">
            <w:pPr>
              <w:pStyle w:val="08-Tabelageral"/>
              <w:rPr>
                <w:b/>
              </w:rPr>
            </w:pPr>
          </w:p>
        </w:tc>
        <w:tc>
          <w:tcPr>
            <w:tcW w:w="1274" w:type="dxa"/>
            <w:gridSpan w:val="2"/>
            <w:shd w:val="clear" w:color="auto" w:fill="auto"/>
            <w:vAlign w:val="center"/>
          </w:tcPr>
          <w:p w14:paraId="1922902F" w14:textId="77777777" w:rsidR="007B06F3" w:rsidRPr="00D311AA" w:rsidRDefault="007B06F3" w:rsidP="00B3279C">
            <w:pPr>
              <w:pStyle w:val="08-Tabelageral"/>
              <w:rPr>
                <w:b/>
              </w:rPr>
            </w:pPr>
          </w:p>
        </w:tc>
        <w:tc>
          <w:tcPr>
            <w:tcW w:w="1127" w:type="dxa"/>
            <w:shd w:val="clear" w:color="auto" w:fill="auto"/>
            <w:vAlign w:val="center"/>
          </w:tcPr>
          <w:p w14:paraId="5E021B36" w14:textId="77777777" w:rsidR="007B06F3" w:rsidRPr="00D311AA" w:rsidRDefault="007B06F3" w:rsidP="00B3279C">
            <w:pPr>
              <w:pStyle w:val="08-Tabelageral"/>
              <w:rPr>
                <w:b/>
              </w:rPr>
            </w:pPr>
          </w:p>
        </w:tc>
        <w:tc>
          <w:tcPr>
            <w:tcW w:w="1400" w:type="dxa"/>
            <w:shd w:val="clear" w:color="auto" w:fill="auto"/>
            <w:vAlign w:val="center"/>
          </w:tcPr>
          <w:p w14:paraId="11DAD30B" w14:textId="77777777" w:rsidR="007B06F3" w:rsidRPr="00D311AA" w:rsidRDefault="007B06F3" w:rsidP="00B3279C">
            <w:pPr>
              <w:pStyle w:val="08-Tabelageral"/>
              <w:rPr>
                <w:b/>
              </w:rPr>
            </w:pPr>
          </w:p>
        </w:tc>
      </w:tr>
      <w:tr w:rsidR="007B06F3" w:rsidRPr="00D311AA" w14:paraId="2EE8DBB6" w14:textId="77777777" w:rsidTr="002E2397">
        <w:trPr>
          <w:trHeight w:val="238"/>
          <w:jc w:val="center"/>
        </w:trPr>
        <w:tc>
          <w:tcPr>
            <w:tcW w:w="2275" w:type="dxa"/>
            <w:gridSpan w:val="3"/>
            <w:shd w:val="clear" w:color="auto" w:fill="auto"/>
          </w:tcPr>
          <w:p w14:paraId="0F2D9EA0" w14:textId="77777777" w:rsidR="007B06F3" w:rsidRPr="00D311AA" w:rsidRDefault="007B06F3" w:rsidP="00B3279C">
            <w:pPr>
              <w:pStyle w:val="08-Tabelageral"/>
              <w:jc w:val="left"/>
              <w:rPr>
                <w:bCs/>
              </w:rPr>
            </w:pPr>
            <w:r w:rsidRPr="00D311AA">
              <w:rPr>
                <w:bCs/>
              </w:rPr>
              <w:t>Social and statutory obligations</w:t>
            </w:r>
          </w:p>
        </w:tc>
        <w:tc>
          <w:tcPr>
            <w:tcW w:w="1048" w:type="dxa"/>
            <w:shd w:val="clear" w:color="auto" w:fill="auto"/>
            <w:vAlign w:val="center"/>
          </w:tcPr>
          <w:p w14:paraId="642B182B" w14:textId="77777777" w:rsidR="007B06F3" w:rsidRPr="00D311AA" w:rsidRDefault="007B06F3" w:rsidP="00B3279C">
            <w:pPr>
              <w:pStyle w:val="08-Tabelageral"/>
            </w:pPr>
            <w:r>
              <w:t>198</w:t>
            </w:r>
          </w:p>
        </w:tc>
        <w:tc>
          <w:tcPr>
            <w:tcW w:w="1127" w:type="dxa"/>
            <w:shd w:val="clear" w:color="auto" w:fill="auto"/>
            <w:vAlign w:val="center"/>
          </w:tcPr>
          <w:p w14:paraId="644B24BA" w14:textId="77777777" w:rsidR="007B06F3" w:rsidRPr="00D311AA" w:rsidRDefault="007B06F3" w:rsidP="00B3279C">
            <w:pPr>
              <w:pStyle w:val="08-Tabelageral"/>
            </w:pPr>
            <w:r>
              <w:t>--</w:t>
            </w:r>
          </w:p>
        </w:tc>
        <w:tc>
          <w:tcPr>
            <w:tcW w:w="1400" w:type="dxa"/>
            <w:gridSpan w:val="2"/>
            <w:shd w:val="clear" w:color="auto" w:fill="auto"/>
            <w:vAlign w:val="center"/>
          </w:tcPr>
          <w:p w14:paraId="31CCDE1F" w14:textId="77777777" w:rsidR="007B06F3" w:rsidRPr="00D311AA" w:rsidRDefault="007B06F3" w:rsidP="00B3279C">
            <w:pPr>
              <w:pStyle w:val="08-Tabelageral"/>
              <w:rPr>
                <w:lang w:eastAsia="en-US"/>
              </w:rPr>
            </w:pPr>
            <w:r>
              <w:rPr>
                <w:lang w:eastAsia="en-US"/>
              </w:rPr>
              <w:t>--</w:t>
            </w:r>
          </w:p>
        </w:tc>
        <w:tc>
          <w:tcPr>
            <w:tcW w:w="1274" w:type="dxa"/>
            <w:gridSpan w:val="2"/>
            <w:shd w:val="clear" w:color="auto" w:fill="auto"/>
            <w:vAlign w:val="center"/>
          </w:tcPr>
          <w:p w14:paraId="1B7209FB" w14:textId="77777777" w:rsidR="007B06F3" w:rsidRPr="00D311AA" w:rsidRDefault="007B06F3" w:rsidP="00B3279C">
            <w:pPr>
              <w:pStyle w:val="08-Tabelageral"/>
            </w:pPr>
            <w:r>
              <w:t>2.434.043</w:t>
            </w:r>
          </w:p>
        </w:tc>
        <w:tc>
          <w:tcPr>
            <w:tcW w:w="1127" w:type="dxa"/>
            <w:shd w:val="clear" w:color="auto" w:fill="auto"/>
            <w:vAlign w:val="center"/>
          </w:tcPr>
          <w:p w14:paraId="00F596F0" w14:textId="77777777" w:rsidR="007B06F3" w:rsidRPr="00D311AA" w:rsidRDefault="007B06F3" w:rsidP="00B3279C">
            <w:pPr>
              <w:pStyle w:val="08-Tabelageral"/>
            </w:pPr>
            <w:r>
              <w:t>--</w:t>
            </w:r>
          </w:p>
        </w:tc>
        <w:tc>
          <w:tcPr>
            <w:tcW w:w="1400" w:type="dxa"/>
            <w:shd w:val="clear" w:color="auto" w:fill="auto"/>
            <w:vAlign w:val="center"/>
          </w:tcPr>
          <w:p w14:paraId="68AC23DE" w14:textId="77777777" w:rsidR="007B06F3" w:rsidRPr="00D311AA" w:rsidRDefault="007B06F3" w:rsidP="00B3279C">
            <w:pPr>
              <w:pStyle w:val="08-Tabelageral"/>
              <w:rPr>
                <w:lang w:eastAsia="en-US"/>
              </w:rPr>
            </w:pPr>
            <w:r>
              <w:rPr>
                <w:lang w:eastAsia="en-US"/>
              </w:rPr>
              <w:t>--</w:t>
            </w:r>
          </w:p>
        </w:tc>
      </w:tr>
      <w:tr w:rsidR="007B06F3" w:rsidRPr="00D311AA" w14:paraId="03D8AAB3" w14:textId="77777777" w:rsidTr="002E2397">
        <w:trPr>
          <w:trHeight w:val="238"/>
          <w:jc w:val="center"/>
        </w:trPr>
        <w:tc>
          <w:tcPr>
            <w:tcW w:w="2275" w:type="dxa"/>
            <w:gridSpan w:val="3"/>
            <w:tcBorders>
              <w:bottom w:val="nil"/>
            </w:tcBorders>
            <w:shd w:val="clear" w:color="auto" w:fill="auto"/>
          </w:tcPr>
          <w:p w14:paraId="36418ED0" w14:textId="77777777" w:rsidR="007B06F3" w:rsidRPr="00D311AA" w:rsidRDefault="007B06F3" w:rsidP="00B3279C">
            <w:pPr>
              <w:pStyle w:val="08-Tabelageral"/>
              <w:jc w:val="left"/>
              <w:rPr>
                <w:bCs/>
              </w:rPr>
            </w:pPr>
            <w:r w:rsidRPr="00D311AA">
              <w:rPr>
                <w:bCs/>
              </w:rPr>
              <w:t>Obligations with related parties</w:t>
            </w:r>
            <w:r>
              <w:rPr>
                <w:bCs/>
              </w:rPr>
              <w:t xml:space="preserve"> </w:t>
            </w:r>
            <w:r w:rsidRPr="002E2397">
              <w:rPr>
                <w:bCs/>
                <w:vertAlign w:val="superscript"/>
              </w:rPr>
              <w:t>(</w:t>
            </w:r>
            <w:r>
              <w:rPr>
                <w:bCs/>
                <w:vertAlign w:val="superscript"/>
              </w:rPr>
              <w:t>2</w:t>
            </w:r>
            <w:r w:rsidRPr="002E2397">
              <w:rPr>
                <w:bCs/>
                <w:vertAlign w:val="superscript"/>
              </w:rPr>
              <w:t>)</w:t>
            </w:r>
          </w:p>
        </w:tc>
        <w:tc>
          <w:tcPr>
            <w:tcW w:w="1048" w:type="dxa"/>
            <w:tcBorders>
              <w:bottom w:val="nil"/>
            </w:tcBorders>
            <w:shd w:val="clear" w:color="auto" w:fill="auto"/>
            <w:vAlign w:val="center"/>
          </w:tcPr>
          <w:p w14:paraId="0C109629" w14:textId="77777777" w:rsidR="007B06F3" w:rsidRPr="00D311AA" w:rsidRDefault="007B06F3" w:rsidP="00B3279C">
            <w:pPr>
              <w:pStyle w:val="08-Tabelageral"/>
            </w:pPr>
            <w:r>
              <w:t>25.379</w:t>
            </w:r>
          </w:p>
        </w:tc>
        <w:tc>
          <w:tcPr>
            <w:tcW w:w="1127" w:type="dxa"/>
            <w:tcBorders>
              <w:bottom w:val="nil"/>
            </w:tcBorders>
            <w:shd w:val="clear" w:color="auto" w:fill="auto"/>
            <w:vAlign w:val="center"/>
          </w:tcPr>
          <w:p w14:paraId="735D5924" w14:textId="77777777" w:rsidR="007B06F3" w:rsidRPr="00D311AA" w:rsidRDefault="007B06F3" w:rsidP="00B3279C">
            <w:pPr>
              <w:pStyle w:val="08-Tabelageral"/>
            </w:pPr>
            <w:r>
              <w:t>47.029</w:t>
            </w:r>
          </w:p>
        </w:tc>
        <w:tc>
          <w:tcPr>
            <w:tcW w:w="1400" w:type="dxa"/>
            <w:gridSpan w:val="2"/>
            <w:tcBorders>
              <w:bottom w:val="nil"/>
            </w:tcBorders>
            <w:shd w:val="clear" w:color="auto" w:fill="auto"/>
            <w:vAlign w:val="center"/>
          </w:tcPr>
          <w:p w14:paraId="5F31A766" w14:textId="77777777" w:rsidR="007B06F3" w:rsidRPr="00D311AA" w:rsidRDefault="007B06F3" w:rsidP="00B3279C">
            <w:pPr>
              <w:pStyle w:val="08-Tabelageral"/>
              <w:rPr>
                <w:lang w:eastAsia="en-US"/>
              </w:rPr>
            </w:pPr>
            <w:r>
              <w:rPr>
                <w:lang w:eastAsia="en-US"/>
              </w:rPr>
              <w:t>--</w:t>
            </w:r>
          </w:p>
        </w:tc>
        <w:tc>
          <w:tcPr>
            <w:tcW w:w="1274" w:type="dxa"/>
            <w:gridSpan w:val="2"/>
            <w:tcBorders>
              <w:bottom w:val="nil"/>
            </w:tcBorders>
            <w:shd w:val="clear" w:color="auto" w:fill="auto"/>
            <w:vAlign w:val="center"/>
          </w:tcPr>
          <w:p w14:paraId="0EEFCE7F" w14:textId="77777777" w:rsidR="007B06F3" w:rsidRPr="00D311AA" w:rsidRDefault="007B06F3" w:rsidP="00B3279C">
            <w:pPr>
              <w:pStyle w:val="08-Tabelageral"/>
            </w:pPr>
            <w:r>
              <w:t>25.003</w:t>
            </w:r>
          </w:p>
        </w:tc>
        <w:tc>
          <w:tcPr>
            <w:tcW w:w="1127" w:type="dxa"/>
            <w:tcBorders>
              <w:bottom w:val="nil"/>
            </w:tcBorders>
            <w:shd w:val="clear" w:color="auto" w:fill="auto"/>
            <w:vAlign w:val="center"/>
          </w:tcPr>
          <w:p w14:paraId="20D19AD5" w14:textId="77777777" w:rsidR="007B06F3" w:rsidRPr="00D311AA" w:rsidRDefault="007B06F3" w:rsidP="00B3279C">
            <w:pPr>
              <w:pStyle w:val="08-Tabelageral"/>
            </w:pPr>
            <w:r>
              <w:t>47.473</w:t>
            </w:r>
          </w:p>
        </w:tc>
        <w:tc>
          <w:tcPr>
            <w:tcW w:w="1400" w:type="dxa"/>
            <w:tcBorders>
              <w:bottom w:val="nil"/>
            </w:tcBorders>
            <w:shd w:val="clear" w:color="auto" w:fill="auto"/>
            <w:vAlign w:val="center"/>
          </w:tcPr>
          <w:p w14:paraId="242D95CD" w14:textId="77777777" w:rsidR="007B06F3" w:rsidRPr="00D311AA" w:rsidRDefault="007B06F3" w:rsidP="00B3279C">
            <w:pPr>
              <w:pStyle w:val="08-Tabelageral"/>
              <w:rPr>
                <w:lang w:eastAsia="en-US"/>
              </w:rPr>
            </w:pPr>
            <w:r>
              <w:rPr>
                <w:lang w:eastAsia="en-US"/>
              </w:rPr>
              <w:t>--</w:t>
            </w:r>
          </w:p>
        </w:tc>
      </w:tr>
      <w:tr w:rsidR="007B06F3" w:rsidRPr="00D311AA" w14:paraId="45B3CEFD" w14:textId="77777777" w:rsidTr="002E2397">
        <w:trPr>
          <w:trHeight w:val="238"/>
          <w:jc w:val="center"/>
        </w:trPr>
        <w:tc>
          <w:tcPr>
            <w:tcW w:w="2275" w:type="dxa"/>
            <w:gridSpan w:val="3"/>
            <w:tcBorders>
              <w:top w:val="nil"/>
              <w:bottom w:val="single" w:sz="2" w:space="0" w:color="1F4E79" w:themeColor="accent1" w:themeShade="80"/>
            </w:tcBorders>
            <w:shd w:val="clear" w:color="auto" w:fill="auto"/>
          </w:tcPr>
          <w:p w14:paraId="2A19449C" w14:textId="77777777" w:rsidR="007B06F3" w:rsidRPr="00D311AA" w:rsidRDefault="007B06F3" w:rsidP="00B3279C">
            <w:pPr>
              <w:pStyle w:val="08-Tabelageral"/>
              <w:jc w:val="left"/>
              <w:rPr>
                <w:bCs/>
              </w:rPr>
            </w:pPr>
            <w:r w:rsidRPr="00D311AA">
              <w:rPr>
                <w:bCs/>
              </w:rPr>
              <w:t>Unearned Commissions</w:t>
            </w:r>
          </w:p>
        </w:tc>
        <w:tc>
          <w:tcPr>
            <w:tcW w:w="1048" w:type="dxa"/>
            <w:tcBorders>
              <w:top w:val="nil"/>
              <w:bottom w:val="single" w:sz="2" w:space="0" w:color="1F4E79" w:themeColor="accent1" w:themeShade="80"/>
            </w:tcBorders>
            <w:shd w:val="clear" w:color="auto" w:fill="auto"/>
            <w:vAlign w:val="center"/>
          </w:tcPr>
          <w:p w14:paraId="2669D543" w14:textId="77777777" w:rsidR="007B06F3" w:rsidRPr="00D311AA" w:rsidRDefault="007B06F3" w:rsidP="00B3279C">
            <w:pPr>
              <w:pStyle w:val="08-Tabelageral"/>
            </w:pPr>
            <w:r>
              <w:t>--</w:t>
            </w:r>
          </w:p>
        </w:tc>
        <w:tc>
          <w:tcPr>
            <w:tcW w:w="1127" w:type="dxa"/>
            <w:tcBorders>
              <w:top w:val="nil"/>
              <w:bottom w:val="single" w:sz="2" w:space="0" w:color="1F4E79" w:themeColor="accent1" w:themeShade="80"/>
            </w:tcBorders>
            <w:shd w:val="clear" w:color="auto" w:fill="auto"/>
            <w:vAlign w:val="center"/>
          </w:tcPr>
          <w:p w14:paraId="452734D8" w14:textId="77777777" w:rsidR="007B06F3" w:rsidRPr="00D311AA" w:rsidRDefault="007B06F3" w:rsidP="00B3279C">
            <w:pPr>
              <w:pStyle w:val="08-Tabelageral"/>
            </w:pPr>
            <w:r>
              <w:t>3.737.087</w:t>
            </w:r>
          </w:p>
        </w:tc>
        <w:tc>
          <w:tcPr>
            <w:tcW w:w="1400" w:type="dxa"/>
            <w:gridSpan w:val="2"/>
            <w:tcBorders>
              <w:top w:val="nil"/>
              <w:bottom w:val="single" w:sz="2" w:space="0" w:color="1F4E79" w:themeColor="accent1" w:themeShade="80"/>
            </w:tcBorders>
            <w:shd w:val="clear" w:color="auto" w:fill="auto"/>
            <w:vAlign w:val="center"/>
          </w:tcPr>
          <w:p w14:paraId="0C232394" w14:textId="77777777" w:rsidR="007B06F3" w:rsidRPr="00D311AA" w:rsidRDefault="007B06F3" w:rsidP="00B3279C">
            <w:pPr>
              <w:pStyle w:val="08-Tabelageral"/>
              <w:rPr>
                <w:lang w:eastAsia="en-US"/>
              </w:rPr>
            </w:pPr>
            <w:r>
              <w:rPr>
                <w:lang w:eastAsia="en-US"/>
              </w:rPr>
              <w:t>--</w:t>
            </w:r>
          </w:p>
        </w:tc>
        <w:tc>
          <w:tcPr>
            <w:tcW w:w="1274" w:type="dxa"/>
            <w:gridSpan w:val="2"/>
            <w:tcBorders>
              <w:top w:val="nil"/>
              <w:bottom w:val="single" w:sz="2" w:space="0" w:color="1F4E79" w:themeColor="accent1" w:themeShade="80"/>
            </w:tcBorders>
            <w:shd w:val="clear" w:color="auto" w:fill="auto"/>
            <w:vAlign w:val="center"/>
          </w:tcPr>
          <w:p w14:paraId="3B18A7D4" w14:textId="77777777" w:rsidR="007B06F3" w:rsidRPr="00D311AA" w:rsidRDefault="007B06F3" w:rsidP="00B3279C">
            <w:pPr>
              <w:pStyle w:val="08-Tabelageral"/>
            </w:pPr>
            <w:r>
              <w:t>--</w:t>
            </w:r>
          </w:p>
        </w:tc>
        <w:tc>
          <w:tcPr>
            <w:tcW w:w="1127" w:type="dxa"/>
            <w:tcBorders>
              <w:top w:val="nil"/>
              <w:bottom w:val="single" w:sz="2" w:space="0" w:color="1F4E79" w:themeColor="accent1" w:themeShade="80"/>
            </w:tcBorders>
            <w:shd w:val="clear" w:color="auto" w:fill="auto"/>
            <w:vAlign w:val="center"/>
          </w:tcPr>
          <w:p w14:paraId="3BEB394C" w14:textId="77777777" w:rsidR="007B06F3" w:rsidRPr="00D311AA" w:rsidRDefault="007B06F3" w:rsidP="00B3279C">
            <w:pPr>
              <w:pStyle w:val="08-Tabelageral"/>
            </w:pPr>
            <w:r>
              <w:t>3.548.020</w:t>
            </w:r>
          </w:p>
        </w:tc>
        <w:tc>
          <w:tcPr>
            <w:tcW w:w="1400" w:type="dxa"/>
            <w:tcBorders>
              <w:top w:val="nil"/>
              <w:bottom w:val="single" w:sz="2" w:space="0" w:color="1F4E79" w:themeColor="accent1" w:themeShade="80"/>
            </w:tcBorders>
            <w:shd w:val="clear" w:color="auto" w:fill="auto"/>
            <w:vAlign w:val="center"/>
          </w:tcPr>
          <w:p w14:paraId="4A01E4D0" w14:textId="77777777" w:rsidR="007B06F3" w:rsidRPr="00D311AA" w:rsidRDefault="007B06F3" w:rsidP="00B3279C">
            <w:pPr>
              <w:pStyle w:val="08-Tabelageral"/>
              <w:rPr>
                <w:lang w:eastAsia="en-US"/>
              </w:rPr>
            </w:pPr>
            <w:r>
              <w:rPr>
                <w:lang w:eastAsia="en-US"/>
              </w:rPr>
              <w:t>--</w:t>
            </w:r>
          </w:p>
        </w:tc>
      </w:tr>
    </w:tbl>
    <w:p w14:paraId="1E188812" w14:textId="77777777" w:rsidR="007B06F3" w:rsidRDefault="007B06F3" w:rsidP="0038786A">
      <w:pPr>
        <w:pStyle w:val="07-Legenda"/>
        <w:tabs>
          <w:tab w:val="clear" w:pos="284"/>
          <w:tab w:val="left" w:pos="851"/>
        </w:tabs>
      </w:pPr>
    </w:p>
    <w:p w14:paraId="2E28CAF2" w14:textId="77777777" w:rsidR="007B06F3" w:rsidRPr="00D311AA" w:rsidRDefault="007B06F3" w:rsidP="0038786A">
      <w:pPr>
        <w:pStyle w:val="01-TtulodeNota"/>
        <w:keepNext/>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42"/>
        <w:gridCol w:w="1232"/>
        <w:gridCol w:w="1124"/>
        <w:gridCol w:w="1157"/>
        <w:gridCol w:w="1288"/>
        <w:gridCol w:w="1289"/>
        <w:gridCol w:w="1102"/>
        <w:gridCol w:w="1198"/>
      </w:tblGrid>
      <w:tr w:rsidR="007B06F3" w:rsidRPr="00D311AA" w14:paraId="02C4E78C" w14:textId="77777777" w:rsidTr="005C3E4F">
        <w:trPr>
          <w:trHeight w:val="238"/>
          <w:jc w:val="center"/>
        </w:trPr>
        <w:tc>
          <w:tcPr>
            <w:tcW w:w="1165" w:type="dxa"/>
            <w:tcBorders>
              <w:top w:val="single" w:sz="2" w:space="0" w:color="1F4E79" w:themeColor="accent1" w:themeShade="80"/>
              <w:bottom w:val="nil"/>
            </w:tcBorders>
            <w:shd w:val="clear" w:color="auto" w:fill="auto"/>
          </w:tcPr>
          <w:p w14:paraId="6DFE666D" w14:textId="77777777" w:rsidR="007B06F3" w:rsidRPr="00D311AA" w:rsidRDefault="007B06F3" w:rsidP="00FA5D81">
            <w:pPr>
              <w:pStyle w:val="08-Tabelageral"/>
              <w:rPr>
                <w:b/>
                <w:szCs w:val="14"/>
              </w:rPr>
            </w:pPr>
          </w:p>
        </w:tc>
        <w:tc>
          <w:tcPr>
            <w:tcW w:w="1273" w:type="dxa"/>
            <w:tcBorders>
              <w:top w:val="single" w:sz="2" w:space="0" w:color="1F4E79" w:themeColor="accent1" w:themeShade="80"/>
              <w:bottom w:val="nil"/>
            </w:tcBorders>
            <w:shd w:val="clear" w:color="auto" w:fill="auto"/>
          </w:tcPr>
          <w:p w14:paraId="53AC4C7F" w14:textId="77777777" w:rsidR="007B06F3" w:rsidRPr="00D311AA" w:rsidRDefault="007B06F3" w:rsidP="00FA5D81">
            <w:pPr>
              <w:pStyle w:val="08-Tabelageral"/>
              <w:rPr>
                <w:b/>
                <w:szCs w:val="14"/>
              </w:rPr>
            </w:pPr>
          </w:p>
        </w:tc>
        <w:tc>
          <w:tcPr>
            <w:tcW w:w="3643" w:type="dxa"/>
            <w:gridSpan w:val="3"/>
            <w:tcBorders>
              <w:top w:val="single" w:sz="2" w:space="0" w:color="8EAADB" w:themeColor="accent5" w:themeTint="99"/>
              <w:bottom w:val="single" w:sz="2" w:space="0" w:color="8EAADB" w:themeColor="accent5" w:themeTint="99"/>
            </w:tcBorders>
            <w:shd w:val="clear" w:color="auto" w:fill="auto"/>
          </w:tcPr>
          <w:p w14:paraId="13FF895E" w14:textId="77777777" w:rsidR="007B06F3" w:rsidRPr="00FA5D81" w:rsidRDefault="007B06F3" w:rsidP="00FA5D81">
            <w:pPr>
              <w:pStyle w:val="08-Tabelageral"/>
              <w:jc w:val="center"/>
              <w:rPr>
                <w:b/>
                <w:bCs/>
                <w:szCs w:val="14"/>
              </w:rPr>
            </w:pPr>
            <w:r w:rsidRPr="00FA5D81">
              <w:rPr>
                <w:rFonts w:cs="Arial"/>
                <w:b/>
                <w:bCs/>
                <w:szCs w:val="14"/>
              </w:rPr>
              <w:t>1</w:t>
            </w:r>
            <w:r w:rsidRPr="00FA5D81">
              <w:rPr>
                <w:rFonts w:cs="Arial"/>
                <w:b/>
                <w:bCs/>
                <w:szCs w:val="14"/>
                <w:vertAlign w:val="superscript"/>
              </w:rPr>
              <w:t>st</w:t>
            </w:r>
            <w:r w:rsidRPr="00FA5D81">
              <w:rPr>
                <w:rFonts w:cs="Arial"/>
                <w:b/>
                <w:bCs/>
                <w:szCs w:val="14"/>
              </w:rPr>
              <w:t xml:space="preserve"> Quarter 2023</w:t>
            </w:r>
          </w:p>
        </w:tc>
        <w:tc>
          <w:tcPr>
            <w:tcW w:w="3665" w:type="dxa"/>
            <w:gridSpan w:val="3"/>
            <w:tcBorders>
              <w:top w:val="single" w:sz="2" w:space="0" w:color="8EAADB" w:themeColor="accent5" w:themeTint="99"/>
              <w:bottom w:val="single" w:sz="2" w:space="0" w:color="8EAADB" w:themeColor="accent5" w:themeTint="99"/>
            </w:tcBorders>
            <w:shd w:val="clear" w:color="auto" w:fill="auto"/>
          </w:tcPr>
          <w:p w14:paraId="4D459DD6" w14:textId="77777777" w:rsidR="007B06F3" w:rsidRPr="00FA5D81" w:rsidRDefault="007B06F3" w:rsidP="00FA5D81">
            <w:pPr>
              <w:pStyle w:val="08-Tabelageral"/>
              <w:jc w:val="center"/>
              <w:rPr>
                <w:b/>
                <w:bCs/>
                <w:szCs w:val="14"/>
              </w:rPr>
            </w:pPr>
            <w:r w:rsidRPr="00FA5D81">
              <w:rPr>
                <w:rFonts w:cs="Arial"/>
                <w:b/>
                <w:bCs/>
                <w:szCs w:val="14"/>
              </w:rPr>
              <w:t>1</w:t>
            </w:r>
            <w:r w:rsidRPr="00FA5D81">
              <w:rPr>
                <w:rFonts w:cs="Arial"/>
                <w:b/>
                <w:bCs/>
                <w:szCs w:val="14"/>
                <w:vertAlign w:val="superscript"/>
              </w:rPr>
              <w:t>st</w:t>
            </w:r>
            <w:r w:rsidRPr="00FA5D81">
              <w:rPr>
                <w:rFonts w:cs="Arial"/>
                <w:b/>
                <w:bCs/>
                <w:szCs w:val="14"/>
              </w:rPr>
              <w:t xml:space="preserve"> Quarter 2022</w:t>
            </w:r>
          </w:p>
        </w:tc>
      </w:tr>
      <w:tr w:rsidR="007B06F3" w:rsidRPr="00D311AA" w14:paraId="1ED7C37B" w14:textId="77777777" w:rsidTr="002E16B6">
        <w:trPr>
          <w:trHeight w:val="238"/>
          <w:jc w:val="center"/>
        </w:trPr>
        <w:tc>
          <w:tcPr>
            <w:tcW w:w="2438" w:type="dxa"/>
            <w:gridSpan w:val="2"/>
            <w:tcBorders>
              <w:top w:val="nil"/>
              <w:bottom w:val="single" w:sz="2" w:space="0" w:color="1F4E79" w:themeColor="accent1" w:themeShade="80"/>
            </w:tcBorders>
            <w:shd w:val="clear" w:color="auto" w:fill="auto"/>
            <w:vAlign w:val="center"/>
          </w:tcPr>
          <w:p w14:paraId="56F3A04D" w14:textId="77777777" w:rsidR="007B06F3" w:rsidRPr="00D311AA" w:rsidRDefault="007B06F3" w:rsidP="00ED7AB5">
            <w:pPr>
              <w:pStyle w:val="08-Tabelageral"/>
              <w:rPr>
                <w:b/>
                <w:szCs w:val="14"/>
              </w:rPr>
            </w:pPr>
          </w:p>
        </w:tc>
        <w:tc>
          <w:tcPr>
            <w:tcW w:w="1148" w:type="dxa"/>
            <w:tcBorders>
              <w:top w:val="single" w:sz="2" w:space="0" w:color="8EAADB" w:themeColor="accent5" w:themeTint="99"/>
              <w:bottom w:val="single" w:sz="2" w:space="0" w:color="1F4E79" w:themeColor="accent1" w:themeShade="80"/>
            </w:tcBorders>
            <w:shd w:val="clear" w:color="auto" w:fill="auto"/>
            <w:vAlign w:val="center"/>
          </w:tcPr>
          <w:p w14:paraId="5B599DE3" w14:textId="77777777" w:rsidR="007B06F3" w:rsidRPr="00D311AA" w:rsidRDefault="007B06F3" w:rsidP="00ED7AB5">
            <w:pPr>
              <w:pStyle w:val="08-Tabelageral"/>
              <w:rPr>
                <w:b/>
                <w:szCs w:val="14"/>
              </w:rPr>
            </w:pPr>
            <w:r>
              <w:rPr>
                <w:b/>
                <w:szCs w:val="14"/>
              </w:rPr>
              <w:t>Banco do Brasil</w:t>
            </w:r>
          </w:p>
        </w:tc>
        <w:tc>
          <w:tcPr>
            <w:tcW w:w="1170" w:type="dxa"/>
            <w:tcBorders>
              <w:top w:val="single" w:sz="2" w:space="0" w:color="8EAADB" w:themeColor="accent5" w:themeTint="99"/>
              <w:bottom w:val="single" w:sz="2" w:space="0" w:color="1F4E79" w:themeColor="accent1" w:themeShade="80"/>
            </w:tcBorders>
            <w:shd w:val="clear" w:color="auto" w:fill="auto"/>
            <w:vAlign w:val="center"/>
          </w:tcPr>
          <w:p w14:paraId="180AFE3C" w14:textId="77777777" w:rsidR="007B06F3" w:rsidRPr="00D311AA" w:rsidRDefault="007B06F3" w:rsidP="00ED7AB5">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325" w:type="dxa"/>
            <w:tcBorders>
              <w:top w:val="single" w:sz="2" w:space="0" w:color="8EAADB" w:themeColor="accent5" w:themeTint="99"/>
              <w:bottom w:val="single" w:sz="2" w:space="0" w:color="1F4E79" w:themeColor="accent1" w:themeShade="80"/>
            </w:tcBorders>
            <w:shd w:val="clear" w:color="auto" w:fill="auto"/>
            <w:vAlign w:val="center"/>
          </w:tcPr>
          <w:p w14:paraId="78C8056E" w14:textId="77777777" w:rsidR="007B06F3" w:rsidRPr="00D311AA" w:rsidRDefault="007B06F3" w:rsidP="00ED7AB5">
            <w:pPr>
              <w:pStyle w:val="08-Tabelageral"/>
              <w:rPr>
                <w:b/>
                <w:szCs w:val="14"/>
              </w:rPr>
            </w:pPr>
            <w:r w:rsidRPr="00D311AA">
              <w:rPr>
                <w:b/>
                <w:szCs w:val="14"/>
              </w:rPr>
              <w:t>Other related parties</w:t>
            </w:r>
          </w:p>
        </w:tc>
        <w:tc>
          <w:tcPr>
            <w:tcW w:w="1323" w:type="dxa"/>
            <w:tcBorders>
              <w:top w:val="single" w:sz="2" w:space="0" w:color="8EAADB" w:themeColor="accent5" w:themeTint="99"/>
              <w:bottom w:val="single" w:sz="2" w:space="0" w:color="1F4E79" w:themeColor="accent1" w:themeShade="80"/>
            </w:tcBorders>
            <w:shd w:val="clear" w:color="auto" w:fill="auto"/>
            <w:vAlign w:val="center"/>
          </w:tcPr>
          <w:p w14:paraId="2C8551A9" w14:textId="77777777" w:rsidR="007B06F3" w:rsidRPr="00D311AA" w:rsidRDefault="007B06F3" w:rsidP="00ED7AB5">
            <w:pPr>
              <w:pStyle w:val="08-Tabelageral"/>
              <w:rPr>
                <w:b/>
                <w:szCs w:val="14"/>
              </w:rPr>
            </w:pPr>
            <w:r>
              <w:rPr>
                <w:b/>
                <w:szCs w:val="14"/>
              </w:rPr>
              <w:t>Banco do Brasil</w:t>
            </w:r>
          </w:p>
        </w:tc>
        <w:tc>
          <w:tcPr>
            <w:tcW w:w="1112" w:type="dxa"/>
            <w:tcBorders>
              <w:top w:val="single" w:sz="2" w:space="0" w:color="8EAADB" w:themeColor="accent5" w:themeTint="99"/>
              <w:bottom w:val="single" w:sz="2" w:space="0" w:color="1F4E79" w:themeColor="accent1" w:themeShade="80"/>
            </w:tcBorders>
            <w:shd w:val="clear" w:color="auto" w:fill="auto"/>
            <w:vAlign w:val="center"/>
          </w:tcPr>
          <w:p w14:paraId="119A8E40" w14:textId="77777777" w:rsidR="007B06F3" w:rsidRPr="00D311AA" w:rsidRDefault="007B06F3" w:rsidP="00ED7AB5">
            <w:pPr>
              <w:pStyle w:val="08-Tabelageral"/>
              <w:rPr>
                <w:b/>
                <w:szCs w:val="14"/>
              </w:rPr>
            </w:pPr>
            <w:r w:rsidRPr="00D311AA">
              <w:rPr>
                <w:b/>
                <w:szCs w:val="14"/>
              </w:rPr>
              <w:t>Associates and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1230" w:type="dxa"/>
            <w:tcBorders>
              <w:top w:val="single" w:sz="2" w:space="0" w:color="8EAADB" w:themeColor="accent5" w:themeTint="99"/>
              <w:bottom w:val="single" w:sz="2" w:space="0" w:color="1F4E79" w:themeColor="accent1" w:themeShade="80"/>
            </w:tcBorders>
            <w:shd w:val="clear" w:color="auto" w:fill="auto"/>
            <w:vAlign w:val="center"/>
          </w:tcPr>
          <w:p w14:paraId="714FD628" w14:textId="77777777" w:rsidR="007B06F3" w:rsidRPr="00D311AA" w:rsidRDefault="007B06F3" w:rsidP="00ED7AB5">
            <w:pPr>
              <w:pStyle w:val="08-Tabelageral"/>
              <w:rPr>
                <w:b/>
                <w:szCs w:val="14"/>
              </w:rPr>
            </w:pPr>
            <w:r w:rsidRPr="00D311AA">
              <w:rPr>
                <w:b/>
                <w:szCs w:val="14"/>
              </w:rPr>
              <w:t>Other related parties</w:t>
            </w:r>
          </w:p>
        </w:tc>
      </w:tr>
      <w:tr w:rsidR="007B06F3" w:rsidRPr="00D311AA" w14:paraId="1EA42DCB" w14:textId="77777777" w:rsidTr="0038786A">
        <w:trPr>
          <w:trHeight w:val="238"/>
          <w:jc w:val="center"/>
        </w:trPr>
        <w:tc>
          <w:tcPr>
            <w:tcW w:w="2438" w:type="dxa"/>
            <w:gridSpan w:val="2"/>
            <w:tcBorders>
              <w:top w:val="single" w:sz="2" w:space="0" w:color="1F4E79" w:themeColor="accent1" w:themeShade="80"/>
            </w:tcBorders>
            <w:shd w:val="clear" w:color="auto" w:fill="auto"/>
          </w:tcPr>
          <w:p w14:paraId="5672FE67" w14:textId="77777777" w:rsidR="007B06F3" w:rsidRPr="00D311AA" w:rsidRDefault="007B06F3" w:rsidP="0038786A">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1496A284" w14:textId="77777777" w:rsidR="007B06F3" w:rsidRPr="00D311AA" w:rsidRDefault="007B06F3" w:rsidP="0038786A">
            <w:pPr>
              <w:pStyle w:val="08-Tabelageral"/>
              <w:rPr>
                <w:b/>
                <w:szCs w:val="14"/>
              </w:rPr>
            </w:pPr>
          </w:p>
        </w:tc>
        <w:tc>
          <w:tcPr>
            <w:tcW w:w="1170" w:type="dxa"/>
            <w:tcBorders>
              <w:top w:val="single" w:sz="2" w:space="0" w:color="1F4E79" w:themeColor="accent1" w:themeShade="80"/>
            </w:tcBorders>
            <w:shd w:val="clear" w:color="auto" w:fill="auto"/>
            <w:vAlign w:val="center"/>
          </w:tcPr>
          <w:p w14:paraId="71E56769" w14:textId="77777777" w:rsidR="007B06F3" w:rsidRPr="00D311AA" w:rsidRDefault="007B06F3" w:rsidP="0038786A">
            <w:pPr>
              <w:pStyle w:val="08-Tabelageral"/>
              <w:rPr>
                <w:b/>
                <w:szCs w:val="14"/>
              </w:rPr>
            </w:pPr>
            <w:r w:rsidRPr="00D311AA">
              <w:rPr>
                <w:b/>
                <w:szCs w:val="14"/>
              </w:rPr>
              <w:t xml:space="preserve"> </w:t>
            </w:r>
          </w:p>
        </w:tc>
        <w:tc>
          <w:tcPr>
            <w:tcW w:w="1325" w:type="dxa"/>
            <w:tcBorders>
              <w:top w:val="single" w:sz="2" w:space="0" w:color="1F4E79" w:themeColor="accent1" w:themeShade="80"/>
            </w:tcBorders>
            <w:shd w:val="clear" w:color="auto" w:fill="auto"/>
          </w:tcPr>
          <w:p w14:paraId="08BD0F99" w14:textId="77777777" w:rsidR="007B06F3" w:rsidRPr="00D311AA" w:rsidRDefault="007B06F3" w:rsidP="0038786A">
            <w:pPr>
              <w:pStyle w:val="08-Tabelageral"/>
              <w:rPr>
                <w:b/>
              </w:rPr>
            </w:pPr>
          </w:p>
        </w:tc>
        <w:tc>
          <w:tcPr>
            <w:tcW w:w="1323" w:type="dxa"/>
            <w:tcBorders>
              <w:top w:val="single" w:sz="2" w:space="0" w:color="1F4E79" w:themeColor="accent1" w:themeShade="80"/>
            </w:tcBorders>
            <w:shd w:val="clear" w:color="auto" w:fill="auto"/>
            <w:vAlign w:val="center"/>
          </w:tcPr>
          <w:p w14:paraId="580C1C26" w14:textId="77777777" w:rsidR="007B06F3" w:rsidRPr="00D311AA" w:rsidRDefault="007B06F3" w:rsidP="0038786A">
            <w:pPr>
              <w:pStyle w:val="08-Tabelageral"/>
              <w:rPr>
                <w:b/>
              </w:rPr>
            </w:pPr>
          </w:p>
        </w:tc>
        <w:tc>
          <w:tcPr>
            <w:tcW w:w="1112" w:type="dxa"/>
            <w:tcBorders>
              <w:top w:val="single" w:sz="2" w:space="0" w:color="1F4E79" w:themeColor="accent1" w:themeShade="80"/>
            </w:tcBorders>
            <w:shd w:val="clear" w:color="auto" w:fill="auto"/>
            <w:vAlign w:val="center"/>
          </w:tcPr>
          <w:p w14:paraId="63A0C727" w14:textId="77777777" w:rsidR="007B06F3" w:rsidRPr="00D311AA" w:rsidRDefault="007B06F3" w:rsidP="0038786A">
            <w:pPr>
              <w:pStyle w:val="08-Tabelageral"/>
              <w:rPr>
                <w:b/>
              </w:rPr>
            </w:pPr>
          </w:p>
        </w:tc>
        <w:tc>
          <w:tcPr>
            <w:tcW w:w="1230" w:type="dxa"/>
            <w:tcBorders>
              <w:top w:val="single" w:sz="2" w:space="0" w:color="1F4E79" w:themeColor="accent1" w:themeShade="80"/>
            </w:tcBorders>
            <w:shd w:val="clear" w:color="auto" w:fill="auto"/>
          </w:tcPr>
          <w:p w14:paraId="2A050BD8" w14:textId="77777777" w:rsidR="007B06F3" w:rsidRPr="00D311AA" w:rsidRDefault="007B06F3" w:rsidP="0038786A">
            <w:pPr>
              <w:pStyle w:val="08-Tabelageral"/>
              <w:rPr>
                <w:b/>
              </w:rPr>
            </w:pPr>
          </w:p>
        </w:tc>
      </w:tr>
      <w:tr w:rsidR="007B06F3" w:rsidRPr="00D311AA" w14:paraId="775D34C8" w14:textId="77777777" w:rsidTr="0038786A">
        <w:trPr>
          <w:trHeight w:val="238"/>
          <w:jc w:val="center"/>
        </w:trPr>
        <w:tc>
          <w:tcPr>
            <w:tcW w:w="2438" w:type="dxa"/>
            <w:gridSpan w:val="2"/>
            <w:shd w:val="clear" w:color="auto" w:fill="auto"/>
          </w:tcPr>
          <w:p w14:paraId="1B7D93CC" w14:textId="77777777" w:rsidR="007B06F3" w:rsidRPr="00D311AA" w:rsidRDefault="007B06F3" w:rsidP="00FA5D81">
            <w:pPr>
              <w:pStyle w:val="08-Tabelageral"/>
              <w:ind w:left="113"/>
              <w:jc w:val="left"/>
              <w:rPr>
                <w:bCs/>
              </w:rPr>
            </w:pPr>
            <w:r w:rsidRPr="00D311AA">
              <w:rPr>
                <w:bCs/>
              </w:rPr>
              <w:t>Interest earnings of financial instruments</w:t>
            </w:r>
          </w:p>
        </w:tc>
        <w:tc>
          <w:tcPr>
            <w:tcW w:w="1148" w:type="dxa"/>
            <w:tcBorders>
              <w:top w:val="nil"/>
            </w:tcBorders>
            <w:shd w:val="clear" w:color="auto" w:fill="auto"/>
            <w:vAlign w:val="center"/>
          </w:tcPr>
          <w:p w14:paraId="3B9BC4CA" w14:textId="77777777" w:rsidR="007B06F3" w:rsidRPr="00D311AA" w:rsidRDefault="007B06F3" w:rsidP="00FA5D81">
            <w:pPr>
              <w:pStyle w:val="08-Tabelageral"/>
            </w:pPr>
            <w:r>
              <w:t>146,437</w:t>
            </w:r>
          </w:p>
        </w:tc>
        <w:tc>
          <w:tcPr>
            <w:tcW w:w="1170" w:type="dxa"/>
            <w:tcBorders>
              <w:top w:val="nil"/>
            </w:tcBorders>
            <w:shd w:val="clear" w:color="auto" w:fill="auto"/>
            <w:vAlign w:val="center"/>
          </w:tcPr>
          <w:p w14:paraId="61D93E64" w14:textId="77777777" w:rsidR="007B06F3" w:rsidRPr="00D311AA" w:rsidRDefault="007B06F3" w:rsidP="00FA5D81">
            <w:pPr>
              <w:pStyle w:val="08-Tabelageral"/>
            </w:pPr>
            <w:r>
              <w:t>--</w:t>
            </w:r>
          </w:p>
        </w:tc>
        <w:tc>
          <w:tcPr>
            <w:tcW w:w="1325" w:type="dxa"/>
            <w:tcBorders>
              <w:top w:val="nil"/>
            </w:tcBorders>
            <w:shd w:val="clear" w:color="auto" w:fill="auto"/>
            <w:vAlign w:val="center"/>
          </w:tcPr>
          <w:p w14:paraId="663B6754" w14:textId="77777777" w:rsidR="007B06F3" w:rsidRPr="00D311AA" w:rsidRDefault="007B06F3" w:rsidP="00FA5D81">
            <w:pPr>
              <w:pStyle w:val="08-Tabelageral"/>
            </w:pPr>
            <w:r>
              <w:t>--</w:t>
            </w:r>
          </w:p>
        </w:tc>
        <w:tc>
          <w:tcPr>
            <w:tcW w:w="1323" w:type="dxa"/>
            <w:tcBorders>
              <w:top w:val="nil"/>
            </w:tcBorders>
            <w:shd w:val="clear" w:color="auto" w:fill="auto"/>
            <w:vAlign w:val="center"/>
          </w:tcPr>
          <w:p w14:paraId="0FF7FC07" w14:textId="77777777" w:rsidR="007B06F3" w:rsidRPr="00D311AA" w:rsidRDefault="007B06F3" w:rsidP="00FA5D81">
            <w:pPr>
              <w:pStyle w:val="08-Tabelageral"/>
              <w:rPr>
                <w:rFonts w:cs="Arial"/>
                <w:szCs w:val="14"/>
              </w:rPr>
            </w:pPr>
            <w:r w:rsidRPr="00BD4297">
              <w:rPr>
                <w:szCs w:val="14"/>
              </w:rPr>
              <w:t>83</w:t>
            </w:r>
            <w:r>
              <w:rPr>
                <w:szCs w:val="14"/>
              </w:rPr>
              <w:t>,</w:t>
            </w:r>
            <w:r w:rsidRPr="00BD4297">
              <w:rPr>
                <w:szCs w:val="14"/>
              </w:rPr>
              <w:t>539</w:t>
            </w:r>
          </w:p>
        </w:tc>
        <w:tc>
          <w:tcPr>
            <w:tcW w:w="1112" w:type="dxa"/>
            <w:tcBorders>
              <w:top w:val="nil"/>
            </w:tcBorders>
            <w:shd w:val="clear" w:color="auto" w:fill="auto"/>
            <w:vAlign w:val="center"/>
          </w:tcPr>
          <w:p w14:paraId="378C4B58" w14:textId="77777777" w:rsidR="007B06F3" w:rsidRPr="00D311AA" w:rsidRDefault="007B06F3" w:rsidP="00FA5D81">
            <w:pPr>
              <w:pStyle w:val="08-Tabelageral"/>
              <w:rPr>
                <w:rFonts w:cs="Arial"/>
                <w:szCs w:val="14"/>
              </w:rPr>
            </w:pPr>
            <w:r w:rsidRPr="00BD4297">
              <w:rPr>
                <w:szCs w:val="14"/>
              </w:rPr>
              <w:t>--</w:t>
            </w:r>
          </w:p>
        </w:tc>
        <w:tc>
          <w:tcPr>
            <w:tcW w:w="1230" w:type="dxa"/>
            <w:tcBorders>
              <w:top w:val="nil"/>
            </w:tcBorders>
            <w:shd w:val="clear" w:color="auto" w:fill="auto"/>
            <w:vAlign w:val="center"/>
          </w:tcPr>
          <w:p w14:paraId="1C334EA8" w14:textId="77777777" w:rsidR="007B06F3" w:rsidRPr="00D311AA" w:rsidRDefault="007B06F3" w:rsidP="00FA5D81">
            <w:pPr>
              <w:pStyle w:val="08-Tabelageral"/>
            </w:pPr>
            <w:r w:rsidRPr="00BD4297">
              <w:rPr>
                <w:szCs w:val="14"/>
              </w:rPr>
              <w:t>--</w:t>
            </w:r>
          </w:p>
        </w:tc>
      </w:tr>
      <w:tr w:rsidR="007B06F3" w:rsidRPr="00D311AA" w14:paraId="2195D723" w14:textId="77777777" w:rsidTr="0038786A">
        <w:trPr>
          <w:trHeight w:val="238"/>
          <w:jc w:val="center"/>
        </w:trPr>
        <w:tc>
          <w:tcPr>
            <w:tcW w:w="2438" w:type="dxa"/>
            <w:gridSpan w:val="2"/>
            <w:shd w:val="clear" w:color="auto" w:fill="auto"/>
            <w:vAlign w:val="center"/>
          </w:tcPr>
          <w:p w14:paraId="4DBECDDF" w14:textId="77777777" w:rsidR="007B06F3" w:rsidRPr="00D311AA" w:rsidRDefault="007B06F3" w:rsidP="00FA5D81">
            <w:pPr>
              <w:pStyle w:val="08-Tabelageral"/>
              <w:ind w:left="113"/>
              <w:jc w:val="left"/>
              <w:rPr>
                <w:bCs/>
              </w:rPr>
            </w:pPr>
            <w:r w:rsidRPr="00D311AA">
              <w:rPr>
                <w:bCs/>
              </w:rPr>
              <w:t>Income from Commission</w:t>
            </w:r>
          </w:p>
        </w:tc>
        <w:tc>
          <w:tcPr>
            <w:tcW w:w="1148" w:type="dxa"/>
            <w:shd w:val="clear" w:color="auto" w:fill="auto"/>
            <w:vAlign w:val="center"/>
          </w:tcPr>
          <w:p w14:paraId="2BECCF89" w14:textId="77777777" w:rsidR="007B06F3" w:rsidRPr="00D311AA" w:rsidRDefault="007B06F3" w:rsidP="00FA5D81">
            <w:pPr>
              <w:pStyle w:val="08-Tabelageral"/>
            </w:pPr>
            <w:r>
              <w:t>--</w:t>
            </w:r>
          </w:p>
        </w:tc>
        <w:tc>
          <w:tcPr>
            <w:tcW w:w="1170" w:type="dxa"/>
            <w:shd w:val="clear" w:color="auto" w:fill="auto"/>
            <w:vAlign w:val="center"/>
          </w:tcPr>
          <w:p w14:paraId="36E28759" w14:textId="77777777" w:rsidR="007B06F3" w:rsidRPr="00D311AA" w:rsidRDefault="007B06F3" w:rsidP="00FA5D81">
            <w:pPr>
              <w:pStyle w:val="08-Tabelageral"/>
            </w:pPr>
            <w:r>
              <w:t>1,164,454</w:t>
            </w:r>
          </w:p>
        </w:tc>
        <w:tc>
          <w:tcPr>
            <w:tcW w:w="1325" w:type="dxa"/>
            <w:shd w:val="clear" w:color="auto" w:fill="auto"/>
            <w:vAlign w:val="center"/>
          </w:tcPr>
          <w:p w14:paraId="2B6F2D3C" w14:textId="77777777" w:rsidR="007B06F3" w:rsidRPr="00D311AA" w:rsidRDefault="007B06F3" w:rsidP="00FA5D81">
            <w:pPr>
              <w:pStyle w:val="08-Tabelageral"/>
            </w:pPr>
            <w:r>
              <w:t>--</w:t>
            </w:r>
          </w:p>
        </w:tc>
        <w:tc>
          <w:tcPr>
            <w:tcW w:w="1323" w:type="dxa"/>
            <w:shd w:val="clear" w:color="auto" w:fill="auto"/>
            <w:vAlign w:val="center"/>
          </w:tcPr>
          <w:p w14:paraId="632730B6" w14:textId="77777777" w:rsidR="007B06F3" w:rsidRPr="00D311AA" w:rsidRDefault="007B06F3" w:rsidP="00FA5D81">
            <w:pPr>
              <w:pStyle w:val="08-Tabelageral"/>
              <w:rPr>
                <w:rFonts w:cs="Arial"/>
                <w:szCs w:val="14"/>
              </w:rPr>
            </w:pPr>
            <w:r w:rsidRPr="00BD4297">
              <w:rPr>
                <w:szCs w:val="14"/>
              </w:rPr>
              <w:t>--</w:t>
            </w:r>
          </w:p>
        </w:tc>
        <w:tc>
          <w:tcPr>
            <w:tcW w:w="1112" w:type="dxa"/>
            <w:shd w:val="clear" w:color="auto" w:fill="auto"/>
            <w:vAlign w:val="center"/>
          </w:tcPr>
          <w:p w14:paraId="71848EC1" w14:textId="77777777" w:rsidR="007B06F3" w:rsidRPr="00D311AA" w:rsidRDefault="007B06F3" w:rsidP="00FA5D81">
            <w:pPr>
              <w:pStyle w:val="08-Tabelageral"/>
              <w:rPr>
                <w:rFonts w:cs="Arial"/>
                <w:szCs w:val="14"/>
              </w:rPr>
            </w:pPr>
            <w:r w:rsidRPr="00BD4297">
              <w:rPr>
                <w:szCs w:val="14"/>
              </w:rPr>
              <w:t>988</w:t>
            </w:r>
            <w:r>
              <w:rPr>
                <w:szCs w:val="14"/>
              </w:rPr>
              <w:t>,</w:t>
            </w:r>
            <w:r w:rsidRPr="00BD4297">
              <w:rPr>
                <w:szCs w:val="14"/>
              </w:rPr>
              <w:t>641</w:t>
            </w:r>
          </w:p>
        </w:tc>
        <w:tc>
          <w:tcPr>
            <w:tcW w:w="1230" w:type="dxa"/>
            <w:shd w:val="clear" w:color="auto" w:fill="auto"/>
            <w:vAlign w:val="center"/>
          </w:tcPr>
          <w:p w14:paraId="05657DC0" w14:textId="77777777" w:rsidR="007B06F3" w:rsidRPr="00D311AA" w:rsidRDefault="007B06F3" w:rsidP="00FA5D81">
            <w:pPr>
              <w:pStyle w:val="08-Tabelageral"/>
            </w:pPr>
            <w:r w:rsidRPr="00BD4297">
              <w:rPr>
                <w:szCs w:val="14"/>
              </w:rPr>
              <w:t>--</w:t>
            </w:r>
          </w:p>
        </w:tc>
      </w:tr>
      <w:tr w:rsidR="007B06F3" w:rsidRPr="00D311AA" w14:paraId="1AA420D3" w14:textId="77777777" w:rsidTr="0038786A">
        <w:trPr>
          <w:trHeight w:val="238"/>
          <w:jc w:val="center"/>
        </w:trPr>
        <w:tc>
          <w:tcPr>
            <w:tcW w:w="2438" w:type="dxa"/>
            <w:gridSpan w:val="2"/>
            <w:tcBorders>
              <w:bottom w:val="nil"/>
            </w:tcBorders>
            <w:shd w:val="clear" w:color="auto" w:fill="auto"/>
            <w:vAlign w:val="center"/>
          </w:tcPr>
          <w:p w14:paraId="0C6B2FE3" w14:textId="77777777" w:rsidR="007B06F3" w:rsidRPr="00D311AA" w:rsidRDefault="007B06F3" w:rsidP="00FA5D81">
            <w:pPr>
              <w:pStyle w:val="08-Tabelageral"/>
              <w:ind w:left="113"/>
              <w:jc w:val="left"/>
              <w:rPr>
                <w:bCs/>
              </w:rPr>
            </w:pPr>
            <w:r w:rsidRPr="00D311AA">
              <w:rPr>
                <w:bCs/>
              </w:rPr>
              <w:t>Personnel expenses</w:t>
            </w:r>
          </w:p>
        </w:tc>
        <w:tc>
          <w:tcPr>
            <w:tcW w:w="1148" w:type="dxa"/>
            <w:shd w:val="clear" w:color="auto" w:fill="auto"/>
            <w:vAlign w:val="center"/>
          </w:tcPr>
          <w:p w14:paraId="0718C699" w14:textId="77777777" w:rsidR="007B06F3" w:rsidRPr="00D311AA" w:rsidRDefault="007B06F3" w:rsidP="00FA5D81">
            <w:pPr>
              <w:pStyle w:val="08-Tabelageral"/>
            </w:pPr>
            <w:r>
              <w:t>(19,562)</w:t>
            </w:r>
          </w:p>
        </w:tc>
        <w:tc>
          <w:tcPr>
            <w:tcW w:w="1170" w:type="dxa"/>
            <w:shd w:val="clear" w:color="auto" w:fill="auto"/>
            <w:vAlign w:val="center"/>
          </w:tcPr>
          <w:p w14:paraId="5C8798B9" w14:textId="77777777" w:rsidR="007B06F3" w:rsidRPr="00D311AA" w:rsidRDefault="007B06F3" w:rsidP="00FA5D81">
            <w:pPr>
              <w:pStyle w:val="08-Tabelageral"/>
            </w:pPr>
            <w:r>
              <w:t>--</w:t>
            </w:r>
          </w:p>
        </w:tc>
        <w:tc>
          <w:tcPr>
            <w:tcW w:w="1325" w:type="dxa"/>
            <w:shd w:val="clear" w:color="auto" w:fill="auto"/>
            <w:vAlign w:val="center"/>
          </w:tcPr>
          <w:p w14:paraId="58FAD370" w14:textId="77777777" w:rsidR="007B06F3" w:rsidRPr="00D311AA" w:rsidRDefault="007B06F3" w:rsidP="00FA5D81">
            <w:pPr>
              <w:pStyle w:val="08-Tabelageral"/>
            </w:pPr>
            <w:r>
              <w:t>--</w:t>
            </w:r>
          </w:p>
        </w:tc>
        <w:tc>
          <w:tcPr>
            <w:tcW w:w="1323" w:type="dxa"/>
            <w:shd w:val="clear" w:color="auto" w:fill="auto"/>
            <w:vAlign w:val="center"/>
          </w:tcPr>
          <w:p w14:paraId="298E4E8C" w14:textId="77777777" w:rsidR="007B06F3" w:rsidRPr="00D311AA" w:rsidRDefault="007B06F3" w:rsidP="00FA5D81">
            <w:pPr>
              <w:pStyle w:val="08-Tabelageral"/>
              <w:rPr>
                <w:rFonts w:cs="Arial"/>
                <w:szCs w:val="14"/>
              </w:rPr>
            </w:pPr>
            <w:r w:rsidRPr="00BD4297">
              <w:rPr>
                <w:szCs w:val="14"/>
              </w:rPr>
              <w:t>(16</w:t>
            </w:r>
            <w:r>
              <w:rPr>
                <w:szCs w:val="14"/>
              </w:rPr>
              <w:t>,</w:t>
            </w:r>
            <w:r w:rsidRPr="00BD4297">
              <w:rPr>
                <w:szCs w:val="14"/>
              </w:rPr>
              <w:t>390)</w:t>
            </w:r>
          </w:p>
        </w:tc>
        <w:tc>
          <w:tcPr>
            <w:tcW w:w="1112" w:type="dxa"/>
            <w:shd w:val="clear" w:color="auto" w:fill="auto"/>
            <w:vAlign w:val="center"/>
          </w:tcPr>
          <w:p w14:paraId="5368290D" w14:textId="77777777" w:rsidR="007B06F3" w:rsidRPr="00D311AA" w:rsidRDefault="007B06F3" w:rsidP="00FA5D81">
            <w:pPr>
              <w:pStyle w:val="08-Tabelageral"/>
              <w:rPr>
                <w:rFonts w:cs="Arial"/>
                <w:szCs w:val="14"/>
              </w:rPr>
            </w:pPr>
            <w:r w:rsidRPr="00BD4297">
              <w:rPr>
                <w:szCs w:val="14"/>
              </w:rPr>
              <w:t>--</w:t>
            </w:r>
          </w:p>
        </w:tc>
        <w:tc>
          <w:tcPr>
            <w:tcW w:w="1230" w:type="dxa"/>
            <w:shd w:val="clear" w:color="auto" w:fill="auto"/>
            <w:vAlign w:val="center"/>
          </w:tcPr>
          <w:p w14:paraId="5DFBA98B" w14:textId="77777777" w:rsidR="007B06F3" w:rsidRPr="00D311AA" w:rsidRDefault="007B06F3" w:rsidP="00FA5D81">
            <w:pPr>
              <w:pStyle w:val="08-Tabelageral"/>
            </w:pPr>
            <w:r w:rsidRPr="00BD4297">
              <w:rPr>
                <w:szCs w:val="14"/>
              </w:rPr>
              <w:t>--</w:t>
            </w:r>
          </w:p>
        </w:tc>
      </w:tr>
      <w:tr w:rsidR="007B06F3" w:rsidRPr="00D311AA" w14:paraId="63C3111E" w14:textId="77777777" w:rsidTr="0038786A">
        <w:trPr>
          <w:trHeight w:val="238"/>
          <w:jc w:val="center"/>
        </w:trPr>
        <w:tc>
          <w:tcPr>
            <w:tcW w:w="2438" w:type="dxa"/>
            <w:gridSpan w:val="2"/>
            <w:tcBorders>
              <w:top w:val="nil"/>
              <w:bottom w:val="nil"/>
            </w:tcBorders>
            <w:shd w:val="clear" w:color="auto" w:fill="auto"/>
            <w:vAlign w:val="center"/>
          </w:tcPr>
          <w:p w14:paraId="258C04A3" w14:textId="77777777" w:rsidR="007B06F3" w:rsidRPr="00D311AA" w:rsidRDefault="007B06F3" w:rsidP="00FA5D81">
            <w:pPr>
              <w:pStyle w:val="08-Tabelageral"/>
              <w:ind w:left="113"/>
              <w:jc w:val="left"/>
              <w:rPr>
                <w:bCs/>
              </w:rPr>
            </w:pPr>
            <w:r w:rsidRPr="00D311AA">
              <w:rPr>
                <w:bCs/>
              </w:rPr>
              <w:t xml:space="preserve">Administrative expenses/costs of services provided </w:t>
            </w:r>
            <w:r w:rsidRPr="00D311AA">
              <w:rPr>
                <w:bCs/>
                <w:vertAlign w:val="superscript"/>
              </w:rPr>
              <w:t>(</w:t>
            </w:r>
            <w:r>
              <w:rPr>
                <w:bCs/>
                <w:vertAlign w:val="superscript"/>
              </w:rPr>
              <w:t>2</w:t>
            </w:r>
            <w:r w:rsidRPr="00D311AA">
              <w:rPr>
                <w:bCs/>
                <w:vertAlign w:val="superscript"/>
              </w:rPr>
              <w:t>)</w:t>
            </w:r>
          </w:p>
        </w:tc>
        <w:tc>
          <w:tcPr>
            <w:tcW w:w="1148" w:type="dxa"/>
            <w:tcBorders>
              <w:bottom w:val="nil"/>
            </w:tcBorders>
            <w:shd w:val="clear" w:color="auto" w:fill="auto"/>
            <w:vAlign w:val="center"/>
          </w:tcPr>
          <w:p w14:paraId="079AADB8" w14:textId="77777777" w:rsidR="007B06F3" w:rsidRPr="00D311AA" w:rsidRDefault="007B06F3" w:rsidP="00FA5D81">
            <w:pPr>
              <w:pStyle w:val="08-Tabelageral"/>
            </w:pPr>
            <w:r>
              <w:t>(55,320)</w:t>
            </w:r>
          </w:p>
        </w:tc>
        <w:tc>
          <w:tcPr>
            <w:tcW w:w="1170" w:type="dxa"/>
            <w:tcBorders>
              <w:bottom w:val="nil"/>
            </w:tcBorders>
            <w:shd w:val="clear" w:color="auto" w:fill="auto"/>
            <w:vAlign w:val="center"/>
          </w:tcPr>
          <w:p w14:paraId="540730C7" w14:textId="77777777" w:rsidR="007B06F3" w:rsidRPr="00D311AA" w:rsidRDefault="007B06F3" w:rsidP="00FA5D81">
            <w:pPr>
              <w:pStyle w:val="08-Tabelageral"/>
            </w:pPr>
            <w:r>
              <w:t>--</w:t>
            </w:r>
          </w:p>
        </w:tc>
        <w:tc>
          <w:tcPr>
            <w:tcW w:w="1325" w:type="dxa"/>
            <w:tcBorders>
              <w:bottom w:val="nil"/>
            </w:tcBorders>
            <w:shd w:val="clear" w:color="auto" w:fill="auto"/>
            <w:vAlign w:val="center"/>
          </w:tcPr>
          <w:p w14:paraId="32E72054" w14:textId="77777777" w:rsidR="007B06F3" w:rsidRPr="00D311AA" w:rsidRDefault="007B06F3" w:rsidP="00FA5D81">
            <w:pPr>
              <w:pStyle w:val="08-Tabelageral"/>
            </w:pPr>
            <w:r>
              <w:t>--</w:t>
            </w:r>
          </w:p>
        </w:tc>
        <w:tc>
          <w:tcPr>
            <w:tcW w:w="1323" w:type="dxa"/>
            <w:tcBorders>
              <w:bottom w:val="nil"/>
            </w:tcBorders>
            <w:shd w:val="clear" w:color="auto" w:fill="auto"/>
            <w:vAlign w:val="center"/>
          </w:tcPr>
          <w:p w14:paraId="67D00EC7" w14:textId="77777777" w:rsidR="007B06F3" w:rsidRPr="00D311AA" w:rsidRDefault="007B06F3" w:rsidP="00FA5D81">
            <w:pPr>
              <w:pStyle w:val="08-Tabelageral"/>
              <w:rPr>
                <w:rFonts w:cs="Arial"/>
                <w:szCs w:val="14"/>
              </w:rPr>
            </w:pPr>
            <w:r w:rsidRPr="00BD4297">
              <w:rPr>
                <w:szCs w:val="14"/>
              </w:rPr>
              <w:t>(51</w:t>
            </w:r>
            <w:r>
              <w:rPr>
                <w:szCs w:val="14"/>
              </w:rPr>
              <w:t>,</w:t>
            </w:r>
            <w:r w:rsidRPr="00BD4297">
              <w:rPr>
                <w:szCs w:val="14"/>
              </w:rPr>
              <w:t>426)</w:t>
            </w:r>
          </w:p>
        </w:tc>
        <w:tc>
          <w:tcPr>
            <w:tcW w:w="1112" w:type="dxa"/>
            <w:tcBorders>
              <w:bottom w:val="nil"/>
            </w:tcBorders>
            <w:shd w:val="clear" w:color="auto" w:fill="auto"/>
            <w:vAlign w:val="center"/>
          </w:tcPr>
          <w:p w14:paraId="33D3E773" w14:textId="77777777" w:rsidR="007B06F3" w:rsidRPr="00D311AA" w:rsidRDefault="007B06F3" w:rsidP="00FA5D81">
            <w:pPr>
              <w:pStyle w:val="08-Tabelageral"/>
              <w:rPr>
                <w:rFonts w:cs="Arial"/>
                <w:szCs w:val="14"/>
              </w:rPr>
            </w:pPr>
            <w:r w:rsidRPr="00BD4297">
              <w:rPr>
                <w:szCs w:val="14"/>
              </w:rPr>
              <w:t>--</w:t>
            </w:r>
          </w:p>
        </w:tc>
        <w:tc>
          <w:tcPr>
            <w:tcW w:w="1230" w:type="dxa"/>
            <w:tcBorders>
              <w:bottom w:val="nil"/>
            </w:tcBorders>
            <w:shd w:val="clear" w:color="auto" w:fill="auto"/>
            <w:vAlign w:val="center"/>
          </w:tcPr>
          <w:p w14:paraId="6362E39E" w14:textId="77777777" w:rsidR="007B06F3" w:rsidRPr="00D311AA" w:rsidRDefault="007B06F3" w:rsidP="00FA5D81">
            <w:pPr>
              <w:pStyle w:val="08-Tabelageral"/>
            </w:pPr>
            <w:r w:rsidRPr="00BD4297">
              <w:rPr>
                <w:szCs w:val="14"/>
              </w:rPr>
              <w:t>--</w:t>
            </w:r>
          </w:p>
        </w:tc>
      </w:tr>
      <w:tr w:rsidR="007B06F3" w:rsidRPr="00D311AA" w14:paraId="73DA35B5" w14:textId="77777777" w:rsidTr="00CC57B6">
        <w:trPr>
          <w:trHeight w:val="238"/>
          <w:jc w:val="center"/>
        </w:trPr>
        <w:tc>
          <w:tcPr>
            <w:tcW w:w="2438" w:type="dxa"/>
            <w:gridSpan w:val="2"/>
            <w:tcBorders>
              <w:top w:val="nil"/>
              <w:bottom w:val="single" w:sz="4" w:space="0" w:color="2E74B5" w:themeColor="accent1" w:themeShade="BF"/>
            </w:tcBorders>
            <w:shd w:val="clear" w:color="auto" w:fill="auto"/>
            <w:vAlign w:val="center"/>
          </w:tcPr>
          <w:p w14:paraId="4D749B3E" w14:textId="77777777" w:rsidR="007B06F3" w:rsidRPr="00D311AA" w:rsidRDefault="007B06F3" w:rsidP="00FA5D81">
            <w:pPr>
              <w:pStyle w:val="08-Tabelageral"/>
              <w:ind w:left="113"/>
              <w:jc w:val="left"/>
              <w:rPr>
                <w:bCs/>
              </w:rPr>
            </w:pPr>
            <w:r w:rsidRPr="0001502B">
              <w:rPr>
                <w:bCs/>
              </w:rPr>
              <w:t>Monetary liabilities changes</w:t>
            </w:r>
          </w:p>
        </w:tc>
        <w:tc>
          <w:tcPr>
            <w:tcW w:w="1148" w:type="dxa"/>
            <w:tcBorders>
              <w:top w:val="nil"/>
              <w:bottom w:val="single" w:sz="4" w:space="0" w:color="2E74B5" w:themeColor="accent1" w:themeShade="BF"/>
            </w:tcBorders>
            <w:shd w:val="clear" w:color="auto" w:fill="auto"/>
            <w:vAlign w:val="center"/>
          </w:tcPr>
          <w:p w14:paraId="0D747038" w14:textId="77777777" w:rsidR="007B06F3" w:rsidRPr="00D311AA" w:rsidRDefault="007B06F3" w:rsidP="00FA5D81">
            <w:pPr>
              <w:pStyle w:val="08-Tabelageral"/>
            </w:pPr>
            <w:r>
              <w:t>(51,198)</w:t>
            </w:r>
          </w:p>
        </w:tc>
        <w:tc>
          <w:tcPr>
            <w:tcW w:w="1170" w:type="dxa"/>
            <w:tcBorders>
              <w:top w:val="nil"/>
              <w:bottom w:val="single" w:sz="4" w:space="0" w:color="2E74B5" w:themeColor="accent1" w:themeShade="BF"/>
            </w:tcBorders>
            <w:shd w:val="clear" w:color="auto" w:fill="auto"/>
            <w:vAlign w:val="center"/>
          </w:tcPr>
          <w:p w14:paraId="4701CDE3" w14:textId="77777777" w:rsidR="007B06F3" w:rsidRPr="00D311AA" w:rsidRDefault="007B06F3" w:rsidP="00FA5D81">
            <w:pPr>
              <w:pStyle w:val="08-Tabelageral"/>
            </w:pPr>
            <w:r>
              <w:t>--</w:t>
            </w:r>
          </w:p>
        </w:tc>
        <w:tc>
          <w:tcPr>
            <w:tcW w:w="1325" w:type="dxa"/>
            <w:tcBorders>
              <w:top w:val="nil"/>
              <w:bottom w:val="single" w:sz="4" w:space="0" w:color="2E74B5" w:themeColor="accent1" w:themeShade="BF"/>
            </w:tcBorders>
            <w:shd w:val="clear" w:color="auto" w:fill="auto"/>
            <w:vAlign w:val="center"/>
          </w:tcPr>
          <w:p w14:paraId="2B446A7D" w14:textId="77777777" w:rsidR="007B06F3" w:rsidRPr="00D311AA" w:rsidRDefault="007B06F3" w:rsidP="00FA5D81">
            <w:pPr>
              <w:pStyle w:val="08-Tabelageral"/>
            </w:pPr>
            <w:r>
              <w:t>--</w:t>
            </w:r>
          </w:p>
        </w:tc>
        <w:tc>
          <w:tcPr>
            <w:tcW w:w="1323" w:type="dxa"/>
            <w:tcBorders>
              <w:top w:val="nil"/>
              <w:bottom w:val="single" w:sz="4" w:space="0" w:color="2E74B5" w:themeColor="accent1" w:themeShade="BF"/>
            </w:tcBorders>
            <w:shd w:val="clear" w:color="auto" w:fill="auto"/>
            <w:vAlign w:val="center"/>
          </w:tcPr>
          <w:p w14:paraId="7AB5FBE6" w14:textId="77777777" w:rsidR="007B06F3" w:rsidRPr="00D311AA" w:rsidRDefault="007B06F3" w:rsidP="00FA5D81">
            <w:pPr>
              <w:pStyle w:val="08-Tabelageral"/>
              <w:rPr>
                <w:rFonts w:cs="Arial"/>
                <w:szCs w:val="14"/>
              </w:rPr>
            </w:pPr>
            <w:r w:rsidRPr="00BD4297">
              <w:rPr>
                <w:szCs w:val="14"/>
              </w:rPr>
              <w:t>(17</w:t>
            </w:r>
            <w:r>
              <w:rPr>
                <w:szCs w:val="14"/>
              </w:rPr>
              <w:t>,</w:t>
            </w:r>
            <w:r w:rsidRPr="00BD4297">
              <w:rPr>
                <w:szCs w:val="14"/>
              </w:rPr>
              <w:t>056)</w:t>
            </w:r>
          </w:p>
        </w:tc>
        <w:tc>
          <w:tcPr>
            <w:tcW w:w="1112" w:type="dxa"/>
            <w:tcBorders>
              <w:top w:val="nil"/>
              <w:bottom w:val="single" w:sz="4" w:space="0" w:color="2E74B5" w:themeColor="accent1" w:themeShade="BF"/>
            </w:tcBorders>
            <w:shd w:val="clear" w:color="auto" w:fill="auto"/>
            <w:vAlign w:val="center"/>
          </w:tcPr>
          <w:p w14:paraId="328D9320" w14:textId="77777777" w:rsidR="007B06F3" w:rsidRPr="00D311AA" w:rsidRDefault="007B06F3" w:rsidP="00FA5D81">
            <w:pPr>
              <w:pStyle w:val="08-Tabelageral"/>
              <w:rPr>
                <w:rFonts w:cs="Arial"/>
                <w:szCs w:val="14"/>
              </w:rPr>
            </w:pPr>
            <w:r w:rsidRPr="00BD4297">
              <w:rPr>
                <w:szCs w:val="14"/>
              </w:rPr>
              <w:t>--</w:t>
            </w:r>
          </w:p>
        </w:tc>
        <w:tc>
          <w:tcPr>
            <w:tcW w:w="1230" w:type="dxa"/>
            <w:tcBorders>
              <w:top w:val="nil"/>
              <w:bottom w:val="single" w:sz="4" w:space="0" w:color="2E74B5" w:themeColor="accent1" w:themeShade="BF"/>
            </w:tcBorders>
            <w:shd w:val="clear" w:color="auto" w:fill="auto"/>
            <w:vAlign w:val="center"/>
          </w:tcPr>
          <w:p w14:paraId="7C52141A" w14:textId="77777777" w:rsidR="007B06F3" w:rsidRPr="00D311AA" w:rsidRDefault="007B06F3" w:rsidP="00FA5D81">
            <w:pPr>
              <w:pStyle w:val="08-Tabelageral"/>
            </w:pPr>
            <w:r w:rsidRPr="00BD4297">
              <w:rPr>
                <w:szCs w:val="14"/>
              </w:rPr>
              <w:t>--</w:t>
            </w:r>
          </w:p>
        </w:tc>
      </w:tr>
    </w:tbl>
    <w:p w14:paraId="154B6228" w14:textId="77777777" w:rsidR="007B06F3" w:rsidRPr="00CA0C3C" w:rsidRDefault="007B06F3" w:rsidP="007B06F3">
      <w:pPr>
        <w:pStyle w:val="07-Legenda"/>
        <w:numPr>
          <w:ilvl w:val="0"/>
          <w:numId w:val="27"/>
        </w:numPr>
        <w:tabs>
          <w:tab w:val="clear" w:pos="284"/>
          <w:tab w:val="left" w:pos="851"/>
        </w:tabs>
        <w:ind w:left="284" w:hanging="284"/>
      </w:pPr>
      <w:r w:rsidRPr="00CA0C3C">
        <w:t>Related companies BB MAPFRE Participações S.A. and its subsidiaries, Brasilprev Seguros e Previdência S.A. Brasilcap Capitalização S.A. and Brasildental S.A.</w:t>
      </w:r>
    </w:p>
    <w:p w14:paraId="080166AF" w14:textId="77777777" w:rsidR="007B06F3" w:rsidRPr="00D311AA" w:rsidRDefault="007B06F3" w:rsidP="007B06F3">
      <w:pPr>
        <w:pStyle w:val="07-Legenda"/>
        <w:numPr>
          <w:ilvl w:val="0"/>
          <w:numId w:val="27"/>
        </w:numPr>
        <w:tabs>
          <w:tab w:val="clear" w:pos="284"/>
          <w:tab w:val="left" w:pos="851"/>
        </w:tabs>
        <w:ind w:left="284" w:hanging="284"/>
      </w:pPr>
      <w:r w:rsidRPr="00D311AA">
        <w:t>Refers to expenses as sharing contract customer data, use of staff, distribution network and resource materials technological and administrative, between the Banco do Brasil, BB Seguridade, BB Corretora and BB Seguros.</w:t>
      </w:r>
    </w:p>
    <w:p w14:paraId="38CD0C5C" w14:textId="77777777" w:rsidR="007B06F3" w:rsidRPr="00D311AA" w:rsidRDefault="007B06F3" w:rsidP="0038786A">
      <w:pPr>
        <w:pStyle w:val="01-TtulodeNota"/>
        <w:spacing w:before="0" w:after="0"/>
        <w:jc w:val="right"/>
        <w:rPr>
          <w:sz w:val="14"/>
          <w:szCs w:val="14"/>
        </w:rPr>
      </w:pPr>
    </w:p>
    <w:p w14:paraId="2D5FF586" w14:textId="77777777" w:rsidR="007B06F3" w:rsidRPr="00274BB2" w:rsidRDefault="007B06F3" w:rsidP="007B06F3">
      <w:pPr>
        <w:pStyle w:val="03-SubttulodeNota"/>
        <w:numPr>
          <w:ilvl w:val="0"/>
          <w:numId w:val="18"/>
        </w:numPr>
        <w:ind w:left="284" w:hanging="284"/>
        <w:rPr>
          <w:color w:val="1F4E79" w:themeColor="accent1" w:themeShade="80"/>
          <w:sz w:val="18"/>
          <w:szCs w:val="18"/>
        </w:rPr>
      </w:pPr>
      <w:r w:rsidRPr="00274BB2">
        <w:rPr>
          <w:color w:val="1F4E79" w:themeColor="accent1" w:themeShade="80"/>
          <w:sz w:val="18"/>
          <w:szCs w:val="18"/>
        </w:rPr>
        <w:t>Compensation Paid to Employees and Directors</w:t>
      </w:r>
    </w:p>
    <w:p w14:paraId="555ACFD3" w14:textId="77777777" w:rsidR="007B06F3" w:rsidRDefault="007B06F3" w:rsidP="00134991">
      <w:pPr>
        <w:pStyle w:val="05-Textonormal"/>
      </w:pPr>
      <w:r w:rsidRPr="00D311AA">
        <w:t>On April 15, 2021 and May 27, 2021, an agreement of assignment new version of employees of Banco do Brasil S,A, to BB Seguridade, for the office of Director levels, Management and other positions of trust was signed</w:t>
      </w:r>
      <w:r>
        <w:t xml:space="preserve">. </w:t>
      </w:r>
      <w:r w:rsidRPr="00D311AA">
        <w:t>The Banco do Brasil S</w:t>
      </w:r>
      <w:r>
        <w:t>.</w:t>
      </w:r>
      <w:r w:rsidRPr="00D311AA">
        <w:t>A</w:t>
      </w:r>
      <w:r>
        <w:t>.</w:t>
      </w:r>
      <w:r w:rsidRPr="00D311AA">
        <w:t xml:space="preserve"> continues to process the payroll of the transferred employees, receiving a monthly repayment of all current costs from BB Seguridade.</w:t>
      </w:r>
      <w:r w:rsidRPr="00354D32">
        <w:t xml:space="preserve"> On </w:t>
      </w:r>
      <w:r>
        <w:t xml:space="preserve">Mar </w:t>
      </w:r>
      <w:r w:rsidRPr="00354D32">
        <w:t>31</w:t>
      </w:r>
      <w:r>
        <w:t xml:space="preserve">, </w:t>
      </w:r>
      <w:r w:rsidRPr="00354D32">
        <w:t>202</w:t>
      </w:r>
      <w:r>
        <w:t>3</w:t>
      </w:r>
      <w:r w:rsidRPr="00354D32">
        <w:t>, there were 17</w:t>
      </w:r>
      <w:r>
        <w:t>6</w:t>
      </w:r>
      <w:r w:rsidRPr="00354D32">
        <w:t xml:space="preserve"> employees assigned (</w:t>
      </w:r>
      <w:r>
        <w:t>160</w:t>
      </w:r>
      <w:r w:rsidRPr="00354D32">
        <w:t xml:space="preserve"> on </w:t>
      </w:r>
      <w:r>
        <w:t xml:space="preserve">Mar </w:t>
      </w:r>
      <w:r w:rsidRPr="00354D32">
        <w:t>31</w:t>
      </w:r>
      <w:r>
        <w:t xml:space="preserve">, </w:t>
      </w:r>
      <w:r w:rsidRPr="00354D32">
        <w:t>202</w:t>
      </w:r>
      <w:r>
        <w:t>2</w:t>
      </w:r>
      <w:r w:rsidRPr="00354D32">
        <w:t>).</w:t>
      </w:r>
    </w:p>
    <w:p w14:paraId="17E3A9B2" w14:textId="77777777" w:rsidR="007B06F3" w:rsidRPr="00274BB2" w:rsidRDefault="007B06F3" w:rsidP="007B06F3">
      <w:pPr>
        <w:pStyle w:val="03-SubttulodeNota"/>
        <w:numPr>
          <w:ilvl w:val="0"/>
          <w:numId w:val="18"/>
        </w:numPr>
        <w:ind w:left="284" w:hanging="284"/>
        <w:rPr>
          <w:color w:val="1F4E79" w:themeColor="accent1" w:themeShade="80"/>
          <w:sz w:val="18"/>
          <w:szCs w:val="18"/>
        </w:rPr>
      </w:pPr>
      <w:r w:rsidRPr="00274BB2">
        <w:rPr>
          <w:color w:val="1F4E79" w:themeColor="accent1" w:themeShade="80"/>
          <w:sz w:val="18"/>
          <w:szCs w:val="18"/>
        </w:rPr>
        <w:lastRenderedPageBreak/>
        <w:t>Remuneration of employees and managers</w:t>
      </w:r>
    </w:p>
    <w:p w14:paraId="13F1D58D" w14:textId="77777777" w:rsidR="007B06F3" w:rsidRPr="00D311AA" w:rsidRDefault="007B06F3" w:rsidP="00134991">
      <w:pPr>
        <w:pStyle w:val="05-Textonormal"/>
      </w:pPr>
      <w:r w:rsidRPr="00D311AA">
        <w:t>Monthly wages paid to employees and Directors of the BB Seguridade S.A.</w:t>
      </w:r>
    </w:p>
    <w:p w14:paraId="3F9A4B6E" w14:textId="77777777" w:rsidR="007B06F3" w:rsidRPr="00D311AA" w:rsidRDefault="007B06F3" w:rsidP="001A03DC">
      <w:pPr>
        <w:pStyle w:val="05-Textonormal"/>
        <w:spacing w:before="0" w:after="0" w:line="240" w:lineRule="auto"/>
        <w:jc w:val="right"/>
        <w:rPr>
          <w:rFonts w:cs="Arial"/>
          <w:b/>
          <w:sz w:val="14"/>
          <w:szCs w:val="14"/>
          <w:lang w:eastAsia="zh-CN"/>
        </w:rPr>
      </w:pPr>
      <w:r w:rsidRPr="00D311AA">
        <w:rPr>
          <w:rFonts w:cs="Arial"/>
          <w:b/>
          <w:sz w:val="14"/>
          <w:szCs w:val="14"/>
          <w:lang w:eastAsia="zh-CN"/>
        </w:rPr>
        <w:tab/>
      </w:r>
      <w:r w:rsidRPr="00D311AA">
        <w:rPr>
          <w:rFonts w:cs="Arial"/>
          <w:b/>
          <w:sz w:val="14"/>
          <w:szCs w:val="14"/>
          <w:lang w:eastAsia="zh-CN"/>
        </w:rPr>
        <w:tab/>
        <w:t>In Reais</w:t>
      </w:r>
    </w:p>
    <w:tbl>
      <w:tblPr>
        <w:tblStyle w:val="TabeladeLista6Colorida-nfase510"/>
        <w:tblW w:w="9747" w:type="dxa"/>
        <w:tblInd w:w="0" w:type="dxa"/>
        <w:tblLook w:val="04A0" w:firstRow="1" w:lastRow="0" w:firstColumn="1" w:lastColumn="0" w:noHBand="0" w:noVBand="1"/>
      </w:tblPr>
      <w:tblGrid>
        <w:gridCol w:w="3094"/>
        <w:gridCol w:w="604"/>
        <w:gridCol w:w="1411"/>
        <w:gridCol w:w="1412"/>
        <w:gridCol w:w="283"/>
        <w:gridCol w:w="1417"/>
        <w:gridCol w:w="1526"/>
      </w:tblGrid>
      <w:tr w:rsidR="007B06F3" w:rsidRPr="00D311AA" w14:paraId="7510EAA9" w14:textId="77777777" w:rsidTr="000A686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21" w:type="dxa"/>
            <w:gridSpan w:val="4"/>
            <w:tcBorders>
              <w:top w:val="single" w:sz="4" w:space="0" w:color="1F4E79" w:themeColor="accent1" w:themeShade="80"/>
              <w:bottom w:val="single" w:sz="4" w:space="0" w:color="1F4E79" w:themeColor="accent1" w:themeShade="80"/>
            </w:tcBorders>
            <w:shd w:val="clear" w:color="auto" w:fill="auto"/>
          </w:tcPr>
          <w:p w14:paraId="1D4C8032" w14:textId="77777777" w:rsidR="007B06F3" w:rsidRPr="00D311AA" w:rsidRDefault="007B06F3" w:rsidP="00C74364">
            <w:pPr>
              <w:keepNext/>
              <w:keepLines/>
              <w:spacing w:before="40" w:after="40"/>
              <w:jc w:val="right"/>
              <w:rPr>
                <w:rFonts w:cs="Arial"/>
                <w:b w:val="0"/>
                <w:spacing w:val="-2"/>
                <w:sz w:val="14"/>
                <w:szCs w:val="18"/>
              </w:rPr>
            </w:pPr>
          </w:p>
        </w:tc>
        <w:tc>
          <w:tcPr>
            <w:tcW w:w="283" w:type="dxa"/>
            <w:tcBorders>
              <w:top w:val="single" w:sz="4" w:space="0" w:color="1F4E79" w:themeColor="accent1" w:themeShade="80"/>
              <w:bottom w:val="single" w:sz="4" w:space="0" w:color="1F4E79" w:themeColor="accent1" w:themeShade="80"/>
            </w:tcBorders>
            <w:shd w:val="clear" w:color="auto" w:fill="auto"/>
          </w:tcPr>
          <w:p w14:paraId="1ADED1B6" w14:textId="77777777" w:rsidR="007B06F3" w:rsidRPr="00D311AA" w:rsidRDefault="007B06F3" w:rsidP="00C74364">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p>
        </w:tc>
        <w:tc>
          <w:tcPr>
            <w:tcW w:w="1417" w:type="dxa"/>
            <w:tcBorders>
              <w:top w:val="single" w:sz="4" w:space="0" w:color="1F4E79" w:themeColor="accent1" w:themeShade="80"/>
              <w:bottom w:val="single" w:sz="4" w:space="0" w:color="1F4E79" w:themeColor="accent1" w:themeShade="80"/>
            </w:tcBorders>
            <w:shd w:val="clear" w:color="auto" w:fill="auto"/>
          </w:tcPr>
          <w:p w14:paraId="711FFAE5" w14:textId="77777777" w:rsidR="007B06F3" w:rsidRPr="00D311AA" w:rsidRDefault="007B06F3" w:rsidP="0052229F">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Pr>
                <w:rFonts w:cs="Arial"/>
                <w:spacing w:val="-2"/>
                <w:sz w:val="14"/>
                <w:szCs w:val="18"/>
              </w:rPr>
              <w:t>Mar</w:t>
            </w:r>
            <w:r w:rsidRPr="009566CA">
              <w:rPr>
                <w:rFonts w:cs="Arial"/>
                <w:spacing w:val="-2"/>
                <w:sz w:val="14"/>
                <w:szCs w:val="18"/>
              </w:rPr>
              <w:t xml:space="preserve"> 3</w:t>
            </w:r>
            <w:r>
              <w:rPr>
                <w:rFonts w:cs="Arial"/>
                <w:spacing w:val="-2"/>
                <w:sz w:val="14"/>
                <w:szCs w:val="18"/>
              </w:rPr>
              <w:t>1</w:t>
            </w:r>
            <w:r w:rsidRPr="009566CA">
              <w:rPr>
                <w:rFonts w:cs="Arial"/>
                <w:spacing w:val="-2"/>
                <w:sz w:val="14"/>
                <w:szCs w:val="18"/>
              </w:rPr>
              <w:t>, 202</w:t>
            </w:r>
            <w:r>
              <w:rPr>
                <w:rFonts w:cs="Arial"/>
                <w:spacing w:val="-2"/>
                <w:sz w:val="14"/>
                <w:szCs w:val="18"/>
              </w:rPr>
              <w:t>3</w:t>
            </w:r>
          </w:p>
        </w:tc>
        <w:tc>
          <w:tcPr>
            <w:tcW w:w="1526" w:type="dxa"/>
            <w:tcBorders>
              <w:top w:val="single" w:sz="4" w:space="0" w:color="1F4E79" w:themeColor="accent1" w:themeShade="80"/>
              <w:bottom w:val="single" w:sz="4" w:space="0" w:color="1F4E79" w:themeColor="accent1" w:themeShade="80"/>
            </w:tcBorders>
            <w:shd w:val="clear" w:color="auto" w:fill="auto"/>
          </w:tcPr>
          <w:p w14:paraId="72E923D7" w14:textId="77777777" w:rsidR="007B06F3" w:rsidRPr="00D311AA" w:rsidRDefault="007B06F3" w:rsidP="00611EFF">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sidRPr="00D311AA">
              <w:rPr>
                <w:rFonts w:cs="Arial"/>
                <w:spacing w:val="-2"/>
                <w:sz w:val="14"/>
                <w:szCs w:val="18"/>
              </w:rPr>
              <w:t>Dec 31, 202</w:t>
            </w:r>
            <w:r>
              <w:rPr>
                <w:rFonts w:cs="Arial"/>
                <w:spacing w:val="-2"/>
                <w:sz w:val="14"/>
                <w:szCs w:val="18"/>
              </w:rPr>
              <w:t>2</w:t>
            </w:r>
          </w:p>
        </w:tc>
      </w:tr>
      <w:tr w:rsidR="007B06F3" w:rsidRPr="0032222F" w14:paraId="7E0402EB"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single" w:sz="4" w:space="0" w:color="1F4E79" w:themeColor="accent1" w:themeShade="80"/>
            </w:tcBorders>
            <w:shd w:val="clear" w:color="auto" w:fill="auto"/>
          </w:tcPr>
          <w:p w14:paraId="25074377" w14:textId="77777777" w:rsidR="007B06F3" w:rsidRPr="00F50AA9" w:rsidRDefault="007B06F3" w:rsidP="0011319E">
            <w:pPr>
              <w:pStyle w:val="08-Tabelageral"/>
              <w:jc w:val="left"/>
              <w:rPr>
                <w:b w:val="0"/>
              </w:rPr>
            </w:pPr>
            <w:r w:rsidRPr="00F50AA9">
              <w:rPr>
                <w:b w:val="0"/>
              </w:rPr>
              <w:t>Lowest salary</w:t>
            </w:r>
          </w:p>
        </w:tc>
        <w:tc>
          <w:tcPr>
            <w:tcW w:w="604" w:type="dxa"/>
            <w:tcBorders>
              <w:top w:val="single" w:sz="4" w:space="0" w:color="1F4E79" w:themeColor="accent1" w:themeShade="80"/>
            </w:tcBorders>
            <w:shd w:val="clear" w:color="auto" w:fill="auto"/>
          </w:tcPr>
          <w:p w14:paraId="22B3FFA1"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top w:val="single" w:sz="4" w:space="0" w:color="1F4E79" w:themeColor="accent1" w:themeShade="80"/>
            </w:tcBorders>
            <w:shd w:val="clear" w:color="auto" w:fill="auto"/>
          </w:tcPr>
          <w:p w14:paraId="6E627D55"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top w:val="single" w:sz="4" w:space="0" w:color="1F4E79" w:themeColor="accent1" w:themeShade="80"/>
            </w:tcBorders>
            <w:shd w:val="clear" w:color="auto" w:fill="auto"/>
          </w:tcPr>
          <w:p w14:paraId="536F0869"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top w:val="single" w:sz="4" w:space="0" w:color="1F4E79" w:themeColor="accent1" w:themeShade="80"/>
            </w:tcBorders>
            <w:shd w:val="clear" w:color="auto" w:fill="auto"/>
          </w:tcPr>
          <w:p w14:paraId="65A27896"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single" w:sz="2" w:space="0" w:color="8EAADB" w:themeColor="accent5" w:themeTint="99"/>
            </w:tcBorders>
            <w:shd w:val="clear" w:color="auto" w:fill="auto"/>
            <w:vAlign w:val="center"/>
          </w:tcPr>
          <w:p w14:paraId="24F90788"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r w:rsidRPr="005D30AB">
              <w:t>7</w:t>
            </w:r>
            <w:r>
              <w:t>,</w:t>
            </w:r>
            <w:r w:rsidRPr="005D30AB">
              <w:t>721</w:t>
            </w:r>
            <w:r>
              <w:t>.</w:t>
            </w:r>
            <w:r w:rsidRPr="005D30AB">
              <w:t>75</w:t>
            </w:r>
          </w:p>
        </w:tc>
        <w:tc>
          <w:tcPr>
            <w:tcW w:w="1526" w:type="dxa"/>
            <w:tcBorders>
              <w:top w:val="single" w:sz="2" w:space="0" w:color="8EAADB" w:themeColor="accent5" w:themeTint="99"/>
            </w:tcBorders>
            <w:shd w:val="clear" w:color="auto" w:fill="auto"/>
            <w:vAlign w:val="center"/>
          </w:tcPr>
          <w:p w14:paraId="00A2BB9C"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r w:rsidRPr="006C2242">
              <w:t>7</w:t>
            </w:r>
            <w:r>
              <w:t>,</w:t>
            </w:r>
            <w:r w:rsidRPr="006C2242">
              <w:t>721</w:t>
            </w:r>
            <w:r>
              <w:t>.</w:t>
            </w:r>
            <w:r w:rsidRPr="006C2242">
              <w:t>75</w:t>
            </w:r>
          </w:p>
        </w:tc>
      </w:tr>
      <w:tr w:rsidR="007B06F3" w:rsidRPr="00D311AA" w14:paraId="484EB8C7"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AF0FADD" w14:textId="77777777" w:rsidR="007B06F3" w:rsidRPr="00D311AA" w:rsidRDefault="007B06F3" w:rsidP="0011319E">
            <w:pPr>
              <w:pStyle w:val="08-Tabelageral"/>
              <w:jc w:val="left"/>
              <w:rPr>
                <w:b w:val="0"/>
              </w:rPr>
            </w:pPr>
            <w:r w:rsidRPr="00D311AA">
              <w:rPr>
                <w:b w:val="0"/>
              </w:rPr>
              <w:t>Highest salary</w:t>
            </w:r>
          </w:p>
        </w:tc>
        <w:tc>
          <w:tcPr>
            <w:tcW w:w="604" w:type="dxa"/>
            <w:shd w:val="clear" w:color="auto" w:fill="auto"/>
          </w:tcPr>
          <w:p w14:paraId="09D4E1A8"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46E196C3"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761A189"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577EF7C9"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3CF4ACE4"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5D30AB">
              <w:t>46</w:t>
            </w:r>
            <w:r>
              <w:t>,</w:t>
            </w:r>
            <w:r w:rsidRPr="005D30AB">
              <w:t>140</w:t>
            </w:r>
            <w:r>
              <w:t>.</w:t>
            </w:r>
            <w:r w:rsidRPr="005D30AB">
              <w:t>21</w:t>
            </w:r>
          </w:p>
        </w:tc>
        <w:tc>
          <w:tcPr>
            <w:tcW w:w="1526" w:type="dxa"/>
            <w:shd w:val="clear" w:color="auto" w:fill="auto"/>
            <w:vAlign w:val="center"/>
          </w:tcPr>
          <w:p w14:paraId="11997CA0"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6C2242">
              <w:t>46</w:t>
            </w:r>
            <w:r>
              <w:t>,</w:t>
            </w:r>
            <w:r w:rsidRPr="006C2242">
              <w:t>140</w:t>
            </w:r>
            <w:r>
              <w:t>.</w:t>
            </w:r>
            <w:r w:rsidRPr="006C2242">
              <w:t>21</w:t>
            </w:r>
          </w:p>
        </w:tc>
      </w:tr>
      <w:tr w:rsidR="007B06F3" w:rsidRPr="00D311AA" w14:paraId="7B546604"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0F137C0B" w14:textId="77777777" w:rsidR="007B06F3" w:rsidRPr="00D311AA" w:rsidRDefault="007B06F3" w:rsidP="0011319E">
            <w:pPr>
              <w:pStyle w:val="08-Tabelageral"/>
              <w:jc w:val="left"/>
              <w:rPr>
                <w:b w:val="0"/>
              </w:rPr>
            </w:pPr>
            <w:r w:rsidRPr="00D311AA">
              <w:rPr>
                <w:b w:val="0"/>
              </w:rPr>
              <w:t>Average salary</w:t>
            </w:r>
          </w:p>
        </w:tc>
        <w:tc>
          <w:tcPr>
            <w:tcW w:w="604" w:type="dxa"/>
            <w:shd w:val="clear" w:color="auto" w:fill="auto"/>
          </w:tcPr>
          <w:p w14:paraId="798A6BFD"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4E5DB961"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7C9D8A70"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42D4E07A"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7BB47079"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5D30AB">
              <w:t>17</w:t>
            </w:r>
            <w:r>
              <w:t>,</w:t>
            </w:r>
            <w:r w:rsidRPr="005D30AB">
              <w:t>949</w:t>
            </w:r>
            <w:r>
              <w:t>.</w:t>
            </w:r>
            <w:r w:rsidRPr="005D30AB">
              <w:t>42</w:t>
            </w:r>
          </w:p>
        </w:tc>
        <w:tc>
          <w:tcPr>
            <w:tcW w:w="1526" w:type="dxa"/>
            <w:shd w:val="clear" w:color="auto" w:fill="auto"/>
            <w:vAlign w:val="center"/>
          </w:tcPr>
          <w:p w14:paraId="544BCF16"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6C2242">
              <w:t>18</w:t>
            </w:r>
            <w:r>
              <w:t>,</w:t>
            </w:r>
            <w:r w:rsidRPr="006C2242">
              <w:t>151</w:t>
            </w:r>
            <w:r>
              <w:t>.</w:t>
            </w:r>
            <w:r w:rsidRPr="006C2242">
              <w:t>96</w:t>
            </w:r>
          </w:p>
        </w:tc>
      </w:tr>
      <w:tr w:rsidR="007B06F3" w:rsidRPr="00D311AA" w14:paraId="54851A03"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FDA9E49" w14:textId="77777777" w:rsidR="007B06F3" w:rsidRPr="00D311AA" w:rsidRDefault="007B06F3" w:rsidP="0011319E">
            <w:pPr>
              <w:pStyle w:val="08-Tabelageral"/>
              <w:jc w:val="left"/>
              <w:rPr>
                <w:b w:val="0"/>
              </w:rPr>
            </w:pPr>
          </w:p>
        </w:tc>
        <w:tc>
          <w:tcPr>
            <w:tcW w:w="604" w:type="dxa"/>
            <w:shd w:val="clear" w:color="auto" w:fill="auto"/>
          </w:tcPr>
          <w:p w14:paraId="30F75A05"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1C454344"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28324C30"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2CA1A807"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50B7DF2C"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38F97187"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r>
      <w:tr w:rsidR="007B06F3" w:rsidRPr="0032222F" w14:paraId="18745A28"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1143DA5B" w14:textId="77777777" w:rsidR="007B06F3" w:rsidRPr="0032222F" w:rsidRDefault="007B06F3" w:rsidP="0011319E">
            <w:pPr>
              <w:pStyle w:val="08-Tabelageral"/>
              <w:jc w:val="left"/>
              <w:rPr>
                <w:bCs w:val="0"/>
              </w:rPr>
            </w:pPr>
            <w:r w:rsidRPr="0032222F">
              <w:rPr>
                <w:bCs w:val="0"/>
              </w:rPr>
              <w:t xml:space="preserve">Management </w:t>
            </w:r>
          </w:p>
        </w:tc>
        <w:tc>
          <w:tcPr>
            <w:tcW w:w="604" w:type="dxa"/>
            <w:shd w:val="clear" w:color="auto" w:fill="auto"/>
          </w:tcPr>
          <w:p w14:paraId="731C92CC"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2A388FBA"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56EE9089"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192BB9EE"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3D8890FD"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26" w:type="dxa"/>
            <w:shd w:val="clear" w:color="auto" w:fill="auto"/>
            <w:vAlign w:val="center"/>
          </w:tcPr>
          <w:p w14:paraId="3B2F1639"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r>
      <w:tr w:rsidR="007B06F3" w:rsidRPr="00D311AA" w14:paraId="106A551E" w14:textId="77777777" w:rsidTr="00F76B4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42B37504" w14:textId="77777777" w:rsidR="007B06F3" w:rsidRPr="00D311AA" w:rsidRDefault="007B06F3" w:rsidP="0011319E">
            <w:pPr>
              <w:pStyle w:val="08-Tabelageral"/>
              <w:jc w:val="left"/>
              <w:rPr>
                <w:b w:val="0"/>
              </w:rPr>
            </w:pPr>
            <w:r w:rsidRPr="00D311AA">
              <w:rPr>
                <w:b w:val="0"/>
              </w:rPr>
              <w:t>Director-President</w:t>
            </w:r>
          </w:p>
        </w:tc>
        <w:tc>
          <w:tcPr>
            <w:tcW w:w="604" w:type="dxa"/>
            <w:shd w:val="clear" w:color="auto" w:fill="auto"/>
          </w:tcPr>
          <w:p w14:paraId="799CF50A"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157171A1"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3C20DDAB"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53E4BB17"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08EA569F"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5D30AB">
              <w:t>61</w:t>
            </w:r>
            <w:r>
              <w:t>,</w:t>
            </w:r>
            <w:r w:rsidRPr="005D30AB">
              <w:t>564</w:t>
            </w:r>
            <w:r>
              <w:t>.</w:t>
            </w:r>
            <w:r w:rsidRPr="005D30AB">
              <w:t>83</w:t>
            </w:r>
          </w:p>
        </w:tc>
        <w:tc>
          <w:tcPr>
            <w:tcW w:w="1526" w:type="dxa"/>
            <w:shd w:val="clear" w:color="auto" w:fill="auto"/>
          </w:tcPr>
          <w:p w14:paraId="2109CF81"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6C2242">
              <w:t>61</w:t>
            </w:r>
            <w:r>
              <w:t>,</w:t>
            </w:r>
            <w:r w:rsidRPr="006C2242">
              <w:t>564</w:t>
            </w:r>
            <w:r>
              <w:t>.</w:t>
            </w:r>
            <w:r w:rsidRPr="006C2242">
              <w:t>83</w:t>
            </w:r>
          </w:p>
        </w:tc>
      </w:tr>
      <w:tr w:rsidR="007B06F3" w:rsidRPr="00D311AA" w14:paraId="268C1C60" w14:textId="77777777" w:rsidTr="00F76B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5A501DCA" w14:textId="77777777" w:rsidR="007B06F3" w:rsidRPr="00D311AA" w:rsidRDefault="007B06F3" w:rsidP="0011319E">
            <w:pPr>
              <w:pStyle w:val="08-Tabelageral"/>
              <w:jc w:val="left"/>
              <w:rPr>
                <w:b w:val="0"/>
              </w:rPr>
            </w:pPr>
            <w:r w:rsidRPr="00D311AA">
              <w:rPr>
                <w:b w:val="0"/>
              </w:rPr>
              <w:t>Director</w:t>
            </w:r>
          </w:p>
        </w:tc>
        <w:tc>
          <w:tcPr>
            <w:tcW w:w="604" w:type="dxa"/>
            <w:shd w:val="clear" w:color="auto" w:fill="auto"/>
          </w:tcPr>
          <w:p w14:paraId="4E93A992"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11DD220E"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6B7028A8"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48D4B05D"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tcPr>
          <w:p w14:paraId="227EB907"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5D30AB">
              <w:t>52</w:t>
            </w:r>
            <w:r>
              <w:t>,</w:t>
            </w:r>
            <w:r w:rsidRPr="005D30AB">
              <w:t>177</w:t>
            </w:r>
            <w:r>
              <w:t>.</w:t>
            </w:r>
            <w:r w:rsidRPr="005D30AB">
              <w:t>45</w:t>
            </w:r>
          </w:p>
        </w:tc>
        <w:tc>
          <w:tcPr>
            <w:tcW w:w="1526" w:type="dxa"/>
            <w:shd w:val="clear" w:color="auto" w:fill="auto"/>
          </w:tcPr>
          <w:p w14:paraId="728D01D4"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6C2242">
              <w:t>52</w:t>
            </w:r>
            <w:r>
              <w:t>,</w:t>
            </w:r>
            <w:r w:rsidRPr="006C2242">
              <w:t>177</w:t>
            </w:r>
            <w:r>
              <w:t>.</w:t>
            </w:r>
            <w:r w:rsidRPr="006C2242">
              <w:t>45</w:t>
            </w:r>
          </w:p>
        </w:tc>
      </w:tr>
      <w:tr w:rsidR="007B06F3" w:rsidRPr="00D311AA" w14:paraId="75453268"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8295A2D" w14:textId="77777777" w:rsidR="007B06F3" w:rsidRPr="00D311AA" w:rsidRDefault="007B06F3" w:rsidP="0011319E">
            <w:pPr>
              <w:pStyle w:val="08-Tabelageral"/>
              <w:jc w:val="left"/>
              <w:rPr>
                <w:b w:val="0"/>
              </w:rPr>
            </w:pPr>
          </w:p>
        </w:tc>
        <w:tc>
          <w:tcPr>
            <w:tcW w:w="604" w:type="dxa"/>
            <w:shd w:val="clear" w:color="auto" w:fill="auto"/>
          </w:tcPr>
          <w:p w14:paraId="15755F3F"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52D3A0C5"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1BCB77D7"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67C13783"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7A7B9692"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724C5426"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r>
      <w:tr w:rsidR="007B06F3" w:rsidRPr="0032222F" w14:paraId="15F50560"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AABC2AD" w14:textId="77777777" w:rsidR="007B06F3" w:rsidRPr="0032222F" w:rsidRDefault="007B06F3" w:rsidP="0011319E">
            <w:pPr>
              <w:pStyle w:val="08-Tabelageral"/>
              <w:jc w:val="left"/>
              <w:rPr>
                <w:bCs w:val="0"/>
              </w:rPr>
            </w:pPr>
            <w:r w:rsidRPr="0032222F">
              <w:rPr>
                <w:bCs w:val="0"/>
              </w:rPr>
              <w:t>Council members</w:t>
            </w:r>
          </w:p>
        </w:tc>
        <w:tc>
          <w:tcPr>
            <w:tcW w:w="604" w:type="dxa"/>
            <w:shd w:val="clear" w:color="auto" w:fill="auto"/>
          </w:tcPr>
          <w:p w14:paraId="2A5873A4"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1E5919BF"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5B3D6C95"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5E7B72CF"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40F05181"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26" w:type="dxa"/>
            <w:shd w:val="clear" w:color="auto" w:fill="auto"/>
            <w:vAlign w:val="center"/>
          </w:tcPr>
          <w:p w14:paraId="5E73A7B0"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r>
      <w:tr w:rsidR="007B06F3" w:rsidRPr="00D311AA" w14:paraId="54667186" w14:textId="77777777" w:rsidTr="00F76B4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3DBDFB5" w14:textId="77777777" w:rsidR="007B06F3" w:rsidRPr="00D311AA" w:rsidRDefault="007B06F3" w:rsidP="0011319E">
            <w:pPr>
              <w:pStyle w:val="08-Tabelageral"/>
              <w:jc w:val="left"/>
              <w:rPr>
                <w:b w:val="0"/>
              </w:rPr>
            </w:pPr>
            <w:r w:rsidRPr="00D311AA">
              <w:rPr>
                <w:b w:val="0"/>
              </w:rPr>
              <w:t>Board of Directors</w:t>
            </w:r>
          </w:p>
        </w:tc>
        <w:tc>
          <w:tcPr>
            <w:tcW w:w="604" w:type="dxa"/>
            <w:shd w:val="clear" w:color="auto" w:fill="auto"/>
          </w:tcPr>
          <w:p w14:paraId="5522068F"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156273B1"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7CFD1BAC"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151B958A"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5E4492F1"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5D30AB">
              <w:t>5</w:t>
            </w:r>
            <w:r>
              <w:t>,</w:t>
            </w:r>
            <w:r w:rsidRPr="005D30AB">
              <w:t>906</w:t>
            </w:r>
            <w:r>
              <w:t>.</w:t>
            </w:r>
            <w:r w:rsidRPr="005D30AB">
              <w:t>80</w:t>
            </w:r>
          </w:p>
        </w:tc>
        <w:tc>
          <w:tcPr>
            <w:tcW w:w="1526" w:type="dxa"/>
            <w:shd w:val="clear" w:color="auto" w:fill="auto"/>
          </w:tcPr>
          <w:p w14:paraId="07C61028"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6C2242">
              <w:t>5</w:t>
            </w:r>
            <w:r>
              <w:t>,</w:t>
            </w:r>
            <w:r w:rsidRPr="006C2242">
              <w:t>906</w:t>
            </w:r>
            <w:r>
              <w:t>.</w:t>
            </w:r>
            <w:r w:rsidRPr="006C2242">
              <w:t>80</w:t>
            </w:r>
          </w:p>
        </w:tc>
      </w:tr>
      <w:tr w:rsidR="007B06F3" w:rsidRPr="00D311AA" w14:paraId="4976FF11" w14:textId="77777777" w:rsidTr="00F76B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bottom w:val="nil"/>
            </w:tcBorders>
            <w:shd w:val="clear" w:color="auto" w:fill="auto"/>
          </w:tcPr>
          <w:p w14:paraId="791DF4D9" w14:textId="77777777" w:rsidR="007B06F3" w:rsidRPr="00D311AA" w:rsidRDefault="007B06F3" w:rsidP="0011319E">
            <w:pPr>
              <w:pStyle w:val="08-Tabelageral"/>
              <w:jc w:val="left"/>
              <w:rPr>
                <w:b w:val="0"/>
              </w:rPr>
            </w:pPr>
            <w:r w:rsidRPr="00D311AA">
              <w:rPr>
                <w:b w:val="0"/>
              </w:rPr>
              <w:t>Fiscal Council</w:t>
            </w:r>
          </w:p>
        </w:tc>
        <w:tc>
          <w:tcPr>
            <w:tcW w:w="604" w:type="dxa"/>
            <w:tcBorders>
              <w:bottom w:val="nil"/>
            </w:tcBorders>
            <w:shd w:val="clear" w:color="auto" w:fill="auto"/>
          </w:tcPr>
          <w:p w14:paraId="0D471A80"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bottom w:val="nil"/>
            </w:tcBorders>
            <w:shd w:val="clear" w:color="auto" w:fill="auto"/>
          </w:tcPr>
          <w:p w14:paraId="7BD0691A"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bottom w:val="nil"/>
            </w:tcBorders>
            <w:shd w:val="clear" w:color="auto" w:fill="auto"/>
          </w:tcPr>
          <w:p w14:paraId="055D0B07"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bottom w:val="nil"/>
            </w:tcBorders>
            <w:shd w:val="clear" w:color="auto" w:fill="auto"/>
          </w:tcPr>
          <w:p w14:paraId="5D7CB354"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bottom w:val="nil"/>
            </w:tcBorders>
            <w:shd w:val="clear" w:color="auto" w:fill="auto"/>
          </w:tcPr>
          <w:p w14:paraId="13F888AB"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5D30AB">
              <w:t>5</w:t>
            </w:r>
            <w:r>
              <w:t>,</w:t>
            </w:r>
            <w:r w:rsidRPr="005D30AB">
              <w:t>906</w:t>
            </w:r>
            <w:r>
              <w:t>.</w:t>
            </w:r>
            <w:r w:rsidRPr="005D30AB">
              <w:t>80</w:t>
            </w:r>
          </w:p>
        </w:tc>
        <w:tc>
          <w:tcPr>
            <w:tcW w:w="1526" w:type="dxa"/>
            <w:tcBorders>
              <w:bottom w:val="nil"/>
            </w:tcBorders>
            <w:shd w:val="clear" w:color="auto" w:fill="auto"/>
          </w:tcPr>
          <w:p w14:paraId="409FB1DB" w14:textId="77777777" w:rsidR="007B06F3" w:rsidRPr="00D311AA"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6C2242">
              <w:t>5</w:t>
            </w:r>
            <w:r>
              <w:t>,</w:t>
            </w:r>
            <w:r w:rsidRPr="006C2242">
              <w:t>906</w:t>
            </w:r>
            <w:r>
              <w:t>.</w:t>
            </w:r>
            <w:r w:rsidRPr="006C2242">
              <w:t>80</w:t>
            </w:r>
          </w:p>
        </w:tc>
      </w:tr>
      <w:tr w:rsidR="007B06F3" w:rsidRPr="003735AD" w14:paraId="3685BBA5" w14:textId="77777777" w:rsidTr="0032222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75240737" w14:textId="77777777" w:rsidR="007B06F3" w:rsidRPr="00D311AA" w:rsidRDefault="007B06F3" w:rsidP="0011319E">
            <w:pPr>
              <w:pStyle w:val="08-Tabelageral"/>
              <w:jc w:val="left"/>
              <w:rPr>
                <w:b w:val="0"/>
              </w:rPr>
            </w:pPr>
            <w:r w:rsidRPr="00D311AA">
              <w:rPr>
                <w:b w:val="0"/>
              </w:rPr>
              <w:t>Audit Committee - Member</w:t>
            </w:r>
          </w:p>
        </w:tc>
        <w:tc>
          <w:tcPr>
            <w:tcW w:w="604" w:type="dxa"/>
            <w:tcBorders>
              <w:top w:val="nil"/>
              <w:bottom w:val="nil"/>
            </w:tcBorders>
            <w:shd w:val="clear" w:color="auto" w:fill="auto"/>
          </w:tcPr>
          <w:p w14:paraId="0235B33C"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1" w:type="dxa"/>
            <w:tcBorders>
              <w:top w:val="nil"/>
              <w:bottom w:val="nil"/>
            </w:tcBorders>
            <w:shd w:val="clear" w:color="auto" w:fill="auto"/>
          </w:tcPr>
          <w:p w14:paraId="6129A7C9"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12" w:type="dxa"/>
            <w:tcBorders>
              <w:top w:val="nil"/>
              <w:bottom w:val="nil"/>
            </w:tcBorders>
            <w:shd w:val="clear" w:color="auto" w:fill="auto"/>
          </w:tcPr>
          <w:p w14:paraId="1616C38F"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3" w:type="dxa"/>
            <w:tcBorders>
              <w:top w:val="nil"/>
              <w:bottom w:val="nil"/>
            </w:tcBorders>
            <w:shd w:val="clear" w:color="auto" w:fill="auto"/>
          </w:tcPr>
          <w:p w14:paraId="025900E5"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7" w:type="dxa"/>
            <w:tcBorders>
              <w:top w:val="nil"/>
              <w:bottom w:val="nil"/>
            </w:tcBorders>
            <w:shd w:val="clear" w:color="auto" w:fill="auto"/>
          </w:tcPr>
          <w:p w14:paraId="2B8410A8" w14:textId="77777777" w:rsidR="007B06F3" w:rsidRPr="00D311AA"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5D30AB">
              <w:t>9</w:t>
            </w:r>
            <w:r>
              <w:t>,</w:t>
            </w:r>
            <w:r w:rsidRPr="005D30AB">
              <w:t>870</w:t>
            </w:r>
            <w:r>
              <w:t>.</w:t>
            </w:r>
            <w:r w:rsidRPr="005D30AB">
              <w:t>26</w:t>
            </w:r>
          </w:p>
        </w:tc>
        <w:tc>
          <w:tcPr>
            <w:tcW w:w="1526" w:type="dxa"/>
            <w:tcBorders>
              <w:top w:val="nil"/>
              <w:bottom w:val="nil"/>
            </w:tcBorders>
            <w:shd w:val="clear" w:color="auto" w:fill="auto"/>
          </w:tcPr>
          <w:p w14:paraId="047FD11B" w14:textId="77777777" w:rsidR="007B06F3" w:rsidRDefault="007B06F3" w:rsidP="0011319E">
            <w:pPr>
              <w:pStyle w:val="08-Tabelageral"/>
              <w:cnfStyle w:val="000000010000" w:firstRow="0" w:lastRow="0" w:firstColumn="0" w:lastColumn="0" w:oddVBand="0" w:evenVBand="0" w:oddHBand="0" w:evenHBand="1" w:firstRowFirstColumn="0" w:firstRowLastColumn="0" w:lastRowFirstColumn="0" w:lastRowLastColumn="0"/>
            </w:pPr>
            <w:r w:rsidRPr="006C2242">
              <w:t>9</w:t>
            </w:r>
            <w:r>
              <w:t>,</w:t>
            </w:r>
            <w:r w:rsidRPr="006C2242">
              <w:t>870</w:t>
            </w:r>
            <w:r>
              <w:t>.</w:t>
            </w:r>
            <w:r w:rsidRPr="006C2242">
              <w:t>26</w:t>
            </w:r>
          </w:p>
        </w:tc>
      </w:tr>
      <w:tr w:rsidR="007B06F3" w:rsidRPr="0032222F" w14:paraId="403EBAE4" w14:textId="77777777" w:rsidTr="00F76B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4" w:space="0" w:color="1F4E79" w:themeColor="accent1" w:themeShade="80"/>
            </w:tcBorders>
            <w:shd w:val="clear" w:color="auto" w:fill="auto"/>
          </w:tcPr>
          <w:p w14:paraId="437C83AE" w14:textId="77777777" w:rsidR="007B06F3" w:rsidRPr="0032222F" w:rsidRDefault="007B06F3" w:rsidP="0011319E">
            <w:pPr>
              <w:pStyle w:val="08-Tabelageral"/>
              <w:jc w:val="left"/>
              <w:rPr>
                <w:b w:val="0"/>
                <w:bCs w:val="0"/>
              </w:rPr>
            </w:pPr>
            <w:r w:rsidRPr="0032222F">
              <w:rPr>
                <w:b w:val="0"/>
                <w:bCs w:val="0"/>
              </w:rPr>
              <w:t>Risk and Capital Committee</w:t>
            </w:r>
          </w:p>
        </w:tc>
        <w:tc>
          <w:tcPr>
            <w:tcW w:w="604" w:type="dxa"/>
            <w:tcBorders>
              <w:top w:val="nil"/>
              <w:bottom w:val="single" w:sz="4" w:space="0" w:color="1F4E79" w:themeColor="accent1" w:themeShade="80"/>
            </w:tcBorders>
            <w:shd w:val="clear" w:color="auto" w:fill="auto"/>
          </w:tcPr>
          <w:p w14:paraId="1AD482C7"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1" w:type="dxa"/>
            <w:tcBorders>
              <w:top w:val="nil"/>
              <w:bottom w:val="single" w:sz="4" w:space="0" w:color="1F4E79" w:themeColor="accent1" w:themeShade="80"/>
            </w:tcBorders>
            <w:shd w:val="clear" w:color="auto" w:fill="auto"/>
          </w:tcPr>
          <w:p w14:paraId="65A9DA97"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single" w:sz="4" w:space="0" w:color="1F4E79" w:themeColor="accent1" w:themeShade="80"/>
            </w:tcBorders>
            <w:shd w:val="clear" w:color="auto" w:fill="auto"/>
          </w:tcPr>
          <w:p w14:paraId="4033CBF1"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single" w:sz="4" w:space="0" w:color="1F4E79" w:themeColor="accent1" w:themeShade="80"/>
            </w:tcBorders>
            <w:shd w:val="clear" w:color="auto" w:fill="auto"/>
          </w:tcPr>
          <w:p w14:paraId="1E23A469"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7" w:type="dxa"/>
            <w:tcBorders>
              <w:top w:val="nil"/>
              <w:bottom w:val="single" w:sz="4" w:space="0" w:color="1F4E79" w:themeColor="accent1" w:themeShade="80"/>
            </w:tcBorders>
            <w:shd w:val="clear" w:color="auto" w:fill="auto"/>
          </w:tcPr>
          <w:p w14:paraId="58670B09"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5D30AB">
              <w:t>9</w:t>
            </w:r>
            <w:r>
              <w:t>,</w:t>
            </w:r>
            <w:r w:rsidRPr="005D30AB">
              <w:t>870</w:t>
            </w:r>
            <w:r>
              <w:t>.</w:t>
            </w:r>
            <w:r w:rsidRPr="005D30AB">
              <w:t>26</w:t>
            </w:r>
          </w:p>
        </w:tc>
        <w:tc>
          <w:tcPr>
            <w:tcW w:w="1526" w:type="dxa"/>
            <w:tcBorders>
              <w:top w:val="nil"/>
              <w:bottom w:val="single" w:sz="4" w:space="0" w:color="1F4E79" w:themeColor="accent1" w:themeShade="80"/>
            </w:tcBorders>
            <w:shd w:val="clear" w:color="auto" w:fill="auto"/>
          </w:tcPr>
          <w:p w14:paraId="041F4FA2" w14:textId="77777777" w:rsidR="007B06F3" w:rsidRPr="0032222F" w:rsidRDefault="007B06F3" w:rsidP="0011319E">
            <w:pPr>
              <w:pStyle w:val="08-Tabelageral"/>
              <w:cnfStyle w:val="000000100000" w:firstRow="0" w:lastRow="0" w:firstColumn="0" w:lastColumn="0" w:oddVBand="0" w:evenVBand="0" w:oddHBand="1" w:evenHBand="0" w:firstRowFirstColumn="0" w:firstRowLastColumn="0" w:lastRowFirstColumn="0" w:lastRowLastColumn="0"/>
            </w:pPr>
            <w:r w:rsidRPr="006C2242">
              <w:t>9</w:t>
            </w:r>
            <w:r>
              <w:t>,</w:t>
            </w:r>
            <w:r w:rsidRPr="006C2242">
              <w:t>870</w:t>
            </w:r>
            <w:r>
              <w:t>.</w:t>
            </w:r>
            <w:r w:rsidRPr="006C2242">
              <w:t>26</w:t>
            </w:r>
          </w:p>
        </w:tc>
      </w:tr>
    </w:tbl>
    <w:p w14:paraId="419489C8" w14:textId="77777777" w:rsidR="007B06F3" w:rsidRDefault="007B06F3" w:rsidP="00514A18">
      <w:pPr>
        <w:pStyle w:val="05-Textonormal2"/>
        <w:spacing w:before="0" w:line="240" w:lineRule="auto"/>
      </w:pPr>
    </w:p>
    <w:p w14:paraId="7A768609" w14:textId="77777777" w:rsidR="007B06F3" w:rsidRDefault="007B06F3" w:rsidP="007B06F3">
      <w:pPr>
        <w:pStyle w:val="03-SubttulodeNota"/>
        <w:numPr>
          <w:ilvl w:val="0"/>
          <w:numId w:val="18"/>
        </w:numPr>
        <w:ind w:left="284" w:hanging="284"/>
        <w:rPr>
          <w:color w:val="1F4E79" w:themeColor="accent1" w:themeShade="80"/>
          <w:sz w:val="18"/>
          <w:szCs w:val="18"/>
        </w:rPr>
      </w:pPr>
      <w:r w:rsidRPr="00F50AA9">
        <w:rPr>
          <w:color w:val="1F4E79" w:themeColor="accent1" w:themeShade="80"/>
          <w:sz w:val="18"/>
          <w:szCs w:val="18"/>
        </w:rPr>
        <w:t>Compensation and Benefits of Employees and Managers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7B06F3" w:rsidRPr="00EC49EB" w14:paraId="29F2E495" w14:textId="77777777" w:rsidTr="000508AC">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3000F2F1" w14:textId="77777777" w:rsidR="007B06F3" w:rsidRPr="00EC49EB" w:rsidRDefault="007B06F3" w:rsidP="00F50AA9">
            <w:pPr>
              <w:keepNext/>
              <w:keepLines/>
              <w:spacing w:before="40" w:after="40"/>
              <w:jc w:val="right"/>
              <w:rPr>
                <w:rFonts w:cs="Arial"/>
                <w:b/>
                <w:spacing w:val="-2"/>
                <w:sz w:val="14"/>
                <w:szCs w:val="18"/>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2F74E224" w14:textId="77777777" w:rsidR="007B06F3" w:rsidRPr="00EC49EB" w:rsidRDefault="007B06F3" w:rsidP="00F50AA9">
            <w:pPr>
              <w:keepNext/>
              <w:keepLines/>
              <w:spacing w:before="40" w:after="40"/>
              <w:jc w:val="right"/>
              <w:rPr>
                <w:rFonts w:cs="Arial"/>
                <w:b/>
                <w:spacing w:val="-2"/>
                <w:sz w:val="14"/>
                <w:szCs w:val="18"/>
              </w:rPr>
            </w:pPr>
          </w:p>
        </w:tc>
        <w:tc>
          <w:tcPr>
            <w:tcW w:w="1417" w:type="dxa"/>
            <w:tcBorders>
              <w:top w:val="single" w:sz="2" w:space="0" w:color="1F4E79" w:themeColor="accent1" w:themeShade="80"/>
              <w:bottom w:val="single" w:sz="2" w:space="0" w:color="1F4E79" w:themeColor="accent1" w:themeShade="80"/>
            </w:tcBorders>
            <w:shd w:val="clear" w:color="auto" w:fill="auto"/>
          </w:tcPr>
          <w:p w14:paraId="321449B5" w14:textId="77777777" w:rsidR="007B06F3" w:rsidRPr="00F50AA9" w:rsidRDefault="007B06F3" w:rsidP="00F50AA9">
            <w:pPr>
              <w:keepNext/>
              <w:keepLines/>
              <w:spacing w:before="40" w:after="40"/>
              <w:jc w:val="right"/>
              <w:rPr>
                <w:rFonts w:cs="Arial"/>
                <w:b/>
                <w:bCs/>
                <w:spacing w:val="-2"/>
                <w:sz w:val="14"/>
                <w:szCs w:val="18"/>
              </w:rPr>
            </w:pPr>
            <w:r w:rsidRPr="002726FC">
              <w:rPr>
                <w:rFonts w:cs="Arial"/>
                <w:b/>
                <w:bCs/>
                <w:spacing w:val="-2"/>
                <w:sz w:val="14"/>
                <w:szCs w:val="18"/>
              </w:rPr>
              <w:t>1</w:t>
            </w:r>
            <w:r w:rsidRPr="002726FC">
              <w:rPr>
                <w:rFonts w:cs="Arial"/>
                <w:b/>
                <w:bCs/>
                <w:spacing w:val="-2"/>
                <w:sz w:val="14"/>
                <w:szCs w:val="18"/>
                <w:vertAlign w:val="superscript"/>
              </w:rPr>
              <w:t>st</w:t>
            </w:r>
            <w:r w:rsidRPr="002726FC">
              <w:rPr>
                <w:rFonts w:cs="Arial"/>
                <w:b/>
                <w:bCs/>
                <w:spacing w:val="-2"/>
                <w:sz w:val="14"/>
                <w:szCs w:val="18"/>
              </w:rPr>
              <w:t xml:space="preserve"> Quarter 2023</w:t>
            </w:r>
          </w:p>
        </w:tc>
        <w:tc>
          <w:tcPr>
            <w:tcW w:w="1526" w:type="dxa"/>
            <w:tcBorders>
              <w:top w:val="single" w:sz="2" w:space="0" w:color="1F4E79" w:themeColor="accent1" w:themeShade="80"/>
              <w:bottom w:val="single" w:sz="2" w:space="0" w:color="1F4E79" w:themeColor="accent1" w:themeShade="80"/>
            </w:tcBorders>
            <w:shd w:val="clear" w:color="auto" w:fill="auto"/>
          </w:tcPr>
          <w:p w14:paraId="4F5C7B4C" w14:textId="77777777" w:rsidR="007B06F3" w:rsidRPr="00F50AA9" w:rsidRDefault="007B06F3" w:rsidP="00F50AA9">
            <w:pPr>
              <w:keepNext/>
              <w:keepLines/>
              <w:spacing w:before="40" w:after="40"/>
              <w:jc w:val="right"/>
              <w:rPr>
                <w:rFonts w:cs="Arial"/>
                <w:b/>
                <w:bCs/>
                <w:spacing w:val="-2"/>
                <w:sz w:val="14"/>
                <w:szCs w:val="18"/>
              </w:rPr>
            </w:pPr>
            <w:r w:rsidRPr="002726FC">
              <w:rPr>
                <w:rFonts w:cs="Arial"/>
                <w:b/>
                <w:bCs/>
                <w:spacing w:val="-2"/>
                <w:sz w:val="14"/>
                <w:szCs w:val="18"/>
              </w:rPr>
              <w:t>1</w:t>
            </w:r>
            <w:r w:rsidRPr="002726FC">
              <w:rPr>
                <w:rFonts w:cs="Arial"/>
                <w:b/>
                <w:bCs/>
                <w:spacing w:val="-2"/>
                <w:sz w:val="14"/>
                <w:szCs w:val="18"/>
                <w:vertAlign w:val="superscript"/>
              </w:rPr>
              <w:t>st</w:t>
            </w:r>
            <w:r w:rsidRPr="002726FC">
              <w:rPr>
                <w:rFonts w:cs="Arial"/>
                <w:b/>
                <w:bCs/>
                <w:spacing w:val="-2"/>
                <w:sz w:val="14"/>
                <w:szCs w:val="18"/>
              </w:rPr>
              <w:t xml:space="preserve"> Quarter 202</w:t>
            </w:r>
            <w:r>
              <w:rPr>
                <w:rFonts w:cs="Arial"/>
                <w:b/>
                <w:bCs/>
                <w:spacing w:val="-2"/>
                <w:sz w:val="14"/>
                <w:szCs w:val="18"/>
              </w:rPr>
              <w:t>2</w:t>
            </w:r>
          </w:p>
        </w:tc>
      </w:tr>
      <w:tr w:rsidR="007B06F3" w:rsidRPr="003735AD" w14:paraId="53D80190" w14:textId="77777777" w:rsidTr="006F7D1A">
        <w:trPr>
          <w:trHeight w:val="227"/>
          <w:jc w:val="center"/>
        </w:trPr>
        <w:tc>
          <w:tcPr>
            <w:tcW w:w="2986" w:type="dxa"/>
            <w:tcBorders>
              <w:top w:val="single" w:sz="2" w:space="0" w:color="1F4E79" w:themeColor="accent1" w:themeShade="80"/>
            </w:tcBorders>
            <w:shd w:val="clear" w:color="auto" w:fill="auto"/>
          </w:tcPr>
          <w:p w14:paraId="6637F707" w14:textId="77777777" w:rsidR="007B06F3" w:rsidRDefault="007B06F3" w:rsidP="00372C72">
            <w:pPr>
              <w:pStyle w:val="08-Tabelageral"/>
              <w:jc w:val="left"/>
            </w:pPr>
            <w:r>
              <w:rPr>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0C0CABA7" w14:textId="77777777" w:rsidR="007B06F3" w:rsidRPr="0078045C" w:rsidRDefault="007B06F3" w:rsidP="00372C72">
            <w:pPr>
              <w:pStyle w:val="08-Tabelageral"/>
              <w:jc w:val="left"/>
              <w:rPr>
                <w:b/>
              </w:rPr>
            </w:pPr>
            <w:r w:rsidRPr="00F50AA9">
              <w:t>Lowest salary</w:t>
            </w:r>
          </w:p>
        </w:tc>
        <w:tc>
          <w:tcPr>
            <w:tcW w:w="604" w:type="dxa"/>
            <w:tcBorders>
              <w:top w:val="single" w:sz="2" w:space="0" w:color="1F4E79" w:themeColor="accent1" w:themeShade="80"/>
            </w:tcBorders>
            <w:shd w:val="clear" w:color="auto" w:fill="auto"/>
          </w:tcPr>
          <w:p w14:paraId="5D21CC8E" w14:textId="77777777" w:rsidR="007B06F3" w:rsidRPr="003735AD" w:rsidRDefault="007B06F3" w:rsidP="00372C72">
            <w:pPr>
              <w:pStyle w:val="08-Tabelageral"/>
              <w:rPr>
                <w:b/>
              </w:rPr>
            </w:pPr>
          </w:p>
        </w:tc>
        <w:tc>
          <w:tcPr>
            <w:tcW w:w="1411" w:type="dxa"/>
            <w:tcBorders>
              <w:top w:val="single" w:sz="2" w:space="0" w:color="1F4E79" w:themeColor="accent1" w:themeShade="80"/>
            </w:tcBorders>
            <w:shd w:val="clear" w:color="auto" w:fill="auto"/>
          </w:tcPr>
          <w:p w14:paraId="74B147D6" w14:textId="77777777" w:rsidR="007B06F3" w:rsidRPr="003735AD" w:rsidRDefault="007B06F3" w:rsidP="00372C72">
            <w:pPr>
              <w:pStyle w:val="08-Tabelageral"/>
              <w:rPr>
                <w:b/>
              </w:rPr>
            </w:pPr>
          </w:p>
        </w:tc>
        <w:tc>
          <w:tcPr>
            <w:tcW w:w="1412" w:type="dxa"/>
            <w:tcBorders>
              <w:top w:val="single" w:sz="2" w:space="0" w:color="1F4E79" w:themeColor="accent1" w:themeShade="80"/>
            </w:tcBorders>
            <w:shd w:val="clear" w:color="auto" w:fill="auto"/>
            <w:vAlign w:val="center"/>
          </w:tcPr>
          <w:p w14:paraId="501DDE4B" w14:textId="77777777" w:rsidR="007B06F3" w:rsidRPr="003735AD" w:rsidRDefault="007B06F3" w:rsidP="00372C72">
            <w:pPr>
              <w:pStyle w:val="08-Tabelageral"/>
              <w:rPr>
                <w:b/>
              </w:rPr>
            </w:pPr>
          </w:p>
        </w:tc>
        <w:tc>
          <w:tcPr>
            <w:tcW w:w="283" w:type="dxa"/>
            <w:tcBorders>
              <w:top w:val="single" w:sz="2" w:space="0" w:color="1F4E79" w:themeColor="accent1" w:themeShade="80"/>
            </w:tcBorders>
            <w:shd w:val="clear" w:color="auto" w:fill="auto"/>
          </w:tcPr>
          <w:p w14:paraId="24E5BF56" w14:textId="77777777" w:rsidR="007B06F3" w:rsidRPr="003735AD" w:rsidRDefault="007B06F3" w:rsidP="00372C72">
            <w:pPr>
              <w:pStyle w:val="08-Tabelageral"/>
              <w:jc w:val="left"/>
              <w:rPr>
                <w:b/>
              </w:rPr>
            </w:pPr>
          </w:p>
        </w:tc>
        <w:tc>
          <w:tcPr>
            <w:tcW w:w="1417" w:type="dxa"/>
            <w:tcBorders>
              <w:top w:val="single" w:sz="2" w:space="0" w:color="8EAADB" w:themeColor="accent5" w:themeTint="99"/>
            </w:tcBorders>
            <w:shd w:val="clear" w:color="auto" w:fill="auto"/>
            <w:vAlign w:val="center"/>
          </w:tcPr>
          <w:p w14:paraId="1CEA02C9" w14:textId="77777777" w:rsidR="007B06F3" w:rsidRDefault="007B06F3" w:rsidP="00372C72">
            <w:pPr>
              <w:pStyle w:val="08-Tabelageral"/>
            </w:pPr>
          </w:p>
          <w:p w14:paraId="5879A9DE" w14:textId="77777777" w:rsidR="007B06F3" w:rsidRPr="006C2242" w:rsidRDefault="007B06F3" w:rsidP="00372C72">
            <w:pPr>
              <w:pStyle w:val="08-Tabelageral"/>
            </w:pPr>
            <w:r>
              <w:t>167,011.02</w:t>
            </w:r>
          </w:p>
        </w:tc>
        <w:tc>
          <w:tcPr>
            <w:tcW w:w="1526" w:type="dxa"/>
            <w:tcBorders>
              <w:top w:val="single" w:sz="2" w:space="0" w:color="8EAADB" w:themeColor="accent5" w:themeTint="99"/>
            </w:tcBorders>
            <w:shd w:val="clear" w:color="auto" w:fill="auto"/>
            <w:vAlign w:val="center"/>
          </w:tcPr>
          <w:p w14:paraId="4E76831D" w14:textId="77777777" w:rsidR="007B06F3" w:rsidRDefault="007B06F3" w:rsidP="00372C72">
            <w:pPr>
              <w:pStyle w:val="08-Tabelageral"/>
            </w:pPr>
          </w:p>
          <w:p w14:paraId="3390C4BB" w14:textId="77777777" w:rsidR="007B06F3" w:rsidRPr="00C75209" w:rsidRDefault="007B06F3" w:rsidP="00372C72">
            <w:pPr>
              <w:pStyle w:val="08-Tabelageral"/>
            </w:pPr>
            <w:r>
              <w:t>57,255.72</w:t>
            </w:r>
          </w:p>
        </w:tc>
      </w:tr>
      <w:tr w:rsidR="007B06F3" w:rsidRPr="0049410B" w14:paraId="33462314" w14:textId="77777777" w:rsidTr="006F7D1A">
        <w:trPr>
          <w:trHeight w:val="227"/>
          <w:jc w:val="center"/>
        </w:trPr>
        <w:tc>
          <w:tcPr>
            <w:tcW w:w="2986" w:type="dxa"/>
            <w:shd w:val="clear" w:color="auto" w:fill="auto"/>
          </w:tcPr>
          <w:p w14:paraId="20C0E408" w14:textId="77777777" w:rsidR="007B06F3" w:rsidRPr="0078045C" w:rsidRDefault="007B06F3" w:rsidP="00372C72">
            <w:pPr>
              <w:pStyle w:val="08-Tabelageral"/>
              <w:jc w:val="left"/>
              <w:rPr>
                <w:b/>
              </w:rPr>
            </w:pPr>
            <w:r w:rsidRPr="00F50AA9">
              <w:t>Highest salary</w:t>
            </w:r>
          </w:p>
        </w:tc>
        <w:tc>
          <w:tcPr>
            <w:tcW w:w="604" w:type="dxa"/>
            <w:shd w:val="clear" w:color="auto" w:fill="auto"/>
          </w:tcPr>
          <w:p w14:paraId="22F8BDE8" w14:textId="77777777" w:rsidR="007B06F3" w:rsidRPr="0049410B" w:rsidRDefault="007B06F3" w:rsidP="00372C72">
            <w:pPr>
              <w:pStyle w:val="08-Tabelageral"/>
            </w:pPr>
          </w:p>
        </w:tc>
        <w:tc>
          <w:tcPr>
            <w:tcW w:w="1411" w:type="dxa"/>
            <w:shd w:val="clear" w:color="auto" w:fill="auto"/>
          </w:tcPr>
          <w:p w14:paraId="3B9A2D32" w14:textId="77777777" w:rsidR="007B06F3" w:rsidRPr="00110D6B" w:rsidRDefault="007B06F3" w:rsidP="00372C72">
            <w:pPr>
              <w:pStyle w:val="08-Tabelageral"/>
            </w:pPr>
          </w:p>
        </w:tc>
        <w:tc>
          <w:tcPr>
            <w:tcW w:w="1412" w:type="dxa"/>
            <w:shd w:val="clear" w:color="auto" w:fill="auto"/>
            <w:vAlign w:val="center"/>
          </w:tcPr>
          <w:p w14:paraId="24C4AEAF" w14:textId="77777777" w:rsidR="007B06F3" w:rsidRPr="00BB5EF7" w:rsidRDefault="007B06F3" w:rsidP="00372C72">
            <w:pPr>
              <w:pStyle w:val="08-Tabelageral"/>
            </w:pPr>
          </w:p>
        </w:tc>
        <w:tc>
          <w:tcPr>
            <w:tcW w:w="283" w:type="dxa"/>
            <w:shd w:val="clear" w:color="auto" w:fill="auto"/>
          </w:tcPr>
          <w:p w14:paraId="286E290C" w14:textId="77777777" w:rsidR="007B06F3" w:rsidRPr="0049410B" w:rsidRDefault="007B06F3" w:rsidP="00372C72">
            <w:pPr>
              <w:pStyle w:val="08-Tabelageral"/>
            </w:pPr>
          </w:p>
        </w:tc>
        <w:tc>
          <w:tcPr>
            <w:tcW w:w="1417" w:type="dxa"/>
            <w:shd w:val="clear" w:color="auto" w:fill="auto"/>
            <w:vAlign w:val="center"/>
          </w:tcPr>
          <w:p w14:paraId="2529710D" w14:textId="77777777" w:rsidR="007B06F3" w:rsidRPr="006C2242" w:rsidRDefault="007B06F3" w:rsidP="00372C72">
            <w:pPr>
              <w:pStyle w:val="08-Tabelageral"/>
            </w:pPr>
            <w:r>
              <w:t>203,696.47</w:t>
            </w:r>
          </w:p>
        </w:tc>
        <w:tc>
          <w:tcPr>
            <w:tcW w:w="1526" w:type="dxa"/>
            <w:shd w:val="clear" w:color="auto" w:fill="auto"/>
            <w:vAlign w:val="center"/>
          </w:tcPr>
          <w:p w14:paraId="41E2C256" w14:textId="77777777" w:rsidR="007B06F3" w:rsidRPr="00C75209" w:rsidRDefault="007B06F3" w:rsidP="00372C72">
            <w:pPr>
              <w:pStyle w:val="08-Tabelageral"/>
            </w:pPr>
            <w:r>
              <w:t>85,472.47</w:t>
            </w:r>
          </w:p>
        </w:tc>
      </w:tr>
      <w:tr w:rsidR="007B06F3" w:rsidRPr="0049410B" w14:paraId="3AB74BFB" w14:textId="77777777" w:rsidTr="006F7D1A">
        <w:trPr>
          <w:trHeight w:val="227"/>
          <w:jc w:val="center"/>
        </w:trPr>
        <w:tc>
          <w:tcPr>
            <w:tcW w:w="2986" w:type="dxa"/>
            <w:shd w:val="clear" w:color="auto" w:fill="auto"/>
          </w:tcPr>
          <w:p w14:paraId="24BC74D5" w14:textId="77777777" w:rsidR="007B06F3" w:rsidRPr="0078045C" w:rsidRDefault="007B06F3" w:rsidP="00372C72">
            <w:pPr>
              <w:pStyle w:val="08-Tabelageral"/>
              <w:jc w:val="left"/>
              <w:rPr>
                <w:b/>
              </w:rPr>
            </w:pPr>
            <w:r w:rsidRPr="00F50AA9">
              <w:t>Average salary</w:t>
            </w:r>
          </w:p>
        </w:tc>
        <w:tc>
          <w:tcPr>
            <w:tcW w:w="604" w:type="dxa"/>
            <w:shd w:val="clear" w:color="auto" w:fill="auto"/>
          </w:tcPr>
          <w:p w14:paraId="6CDADC8D" w14:textId="77777777" w:rsidR="007B06F3" w:rsidRPr="0049410B" w:rsidRDefault="007B06F3" w:rsidP="00372C72">
            <w:pPr>
              <w:pStyle w:val="08-Tabelageral"/>
            </w:pPr>
          </w:p>
        </w:tc>
        <w:tc>
          <w:tcPr>
            <w:tcW w:w="1411" w:type="dxa"/>
            <w:shd w:val="clear" w:color="auto" w:fill="auto"/>
          </w:tcPr>
          <w:p w14:paraId="234C10E0" w14:textId="77777777" w:rsidR="007B06F3" w:rsidRPr="00110D6B" w:rsidRDefault="007B06F3" w:rsidP="00372C72">
            <w:pPr>
              <w:pStyle w:val="08-Tabelageral"/>
            </w:pPr>
          </w:p>
        </w:tc>
        <w:tc>
          <w:tcPr>
            <w:tcW w:w="1412" w:type="dxa"/>
            <w:shd w:val="clear" w:color="auto" w:fill="auto"/>
            <w:vAlign w:val="center"/>
          </w:tcPr>
          <w:p w14:paraId="38301A65" w14:textId="77777777" w:rsidR="007B06F3" w:rsidRPr="00BB5EF7" w:rsidRDefault="007B06F3" w:rsidP="00372C72">
            <w:pPr>
              <w:pStyle w:val="08-Tabelageral"/>
            </w:pPr>
          </w:p>
        </w:tc>
        <w:tc>
          <w:tcPr>
            <w:tcW w:w="283" w:type="dxa"/>
            <w:shd w:val="clear" w:color="auto" w:fill="auto"/>
          </w:tcPr>
          <w:p w14:paraId="2871774C" w14:textId="77777777" w:rsidR="007B06F3" w:rsidRPr="0049410B" w:rsidRDefault="007B06F3" w:rsidP="00372C72">
            <w:pPr>
              <w:pStyle w:val="08-Tabelageral"/>
            </w:pPr>
          </w:p>
        </w:tc>
        <w:tc>
          <w:tcPr>
            <w:tcW w:w="1417" w:type="dxa"/>
            <w:shd w:val="clear" w:color="auto" w:fill="auto"/>
            <w:vAlign w:val="center"/>
          </w:tcPr>
          <w:p w14:paraId="23FA79F3" w14:textId="77777777" w:rsidR="007B06F3" w:rsidRPr="006C2242" w:rsidRDefault="007B06F3" w:rsidP="00372C72">
            <w:pPr>
              <w:pStyle w:val="08-Tabelageral"/>
            </w:pPr>
            <w:r>
              <w:t>178,034.73</w:t>
            </w:r>
          </w:p>
        </w:tc>
        <w:tc>
          <w:tcPr>
            <w:tcW w:w="1526" w:type="dxa"/>
            <w:shd w:val="clear" w:color="auto" w:fill="auto"/>
            <w:vAlign w:val="center"/>
          </w:tcPr>
          <w:p w14:paraId="5B2522DD" w14:textId="77777777" w:rsidR="007B06F3" w:rsidRPr="00C75209" w:rsidRDefault="007B06F3" w:rsidP="00372C72">
            <w:pPr>
              <w:pStyle w:val="08-Tabelageral"/>
            </w:pPr>
            <w:r>
              <w:t>71,119.22</w:t>
            </w:r>
          </w:p>
        </w:tc>
      </w:tr>
      <w:tr w:rsidR="007B06F3" w:rsidRPr="0049410B" w14:paraId="27FECF21" w14:textId="77777777" w:rsidTr="006F7D1A">
        <w:trPr>
          <w:trHeight w:val="227"/>
          <w:jc w:val="center"/>
        </w:trPr>
        <w:tc>
          <w:tcPr>
            <w:tcW w:w="2986" w:type="dxa"/>
            <w:shd w:val="clear" w:color="auto" w:fill="auto"/>
          </w:tcPr>
          <w:p w14:paraId="24EAB1E7" w14:textId="77777777" w:rsidR="007B06F3" w:rsidRPr="0078045C" w:rsidRDefault="007B06F3" w:rsidP="00372C72">
            <w:pPr>
              <w:pStyle w:val="08-Tabelageral"/>
              <w:jc w:val="left"/>
              <w:rPr>
                <w:b/>
              </w:rPr>
            </w:pPr>
          </w:p>
        </w:tc>
        <w:tc>
          <w:tcPr>
            <w:tcW w:w="604" w:type="dxa"/>
            <w:shd w:val="clear" w:color="auto" w:fill="auto"/>
          </w:tcPr>
          <w:p w14:paraId="5AB7BCF7" w14:textId="77777777" w:rsidR="007B06F3" w:rsidRPr="0049410B" w:rsidRDefault="007B06F3" w:rsidP="00372C72">
            <w:pPr>
              <w:pStyle w:val="08-Tabelageral"/>
            </w:pPr>
          </w:p>
        </w:tc>
        <w:tc>
          <w:tcPr>
            <w:tcW w:w="1411" w:type="dxa"/>
            <w:shd w:val="clear" w:color="auto" w:fill="auto"/>
          </w:tcPr>
          <w:p w14:paraId="55D92599" w14:textId="77777777" w:rsidR="007B06F3" w:rsidRPr="00110D6B" w:rsidRDefault="007B06F3" w:rsidP="00372C72">
            <w:pPr>
              <w:pStyle w:val="08-Tabelageral"/>
            </w:pPr>
          </w:p>
        </w:tc>
        <w:tc>
          <w:tcPr>
            <w:tcW w:w="1412" w:type="dxa"/>
            <w:shd w:val="clear" w:color="auto" w:fill="auto"/>
            <w:vAlign w:val="center"/>
          </w:tcPr>
          <w:p w14:paraId="06843E92" w14:textId="77777777" w:rsidR="007B06F3" w:rsidRPr="00BB5EF7" w:rsidRDefault="007B06F3" w:rsidP="00372C72">
            <w:pPr>
              <w:pStyle w:val="08-Tabelageral"/>
            </w:pPr>
          </w:p>
        </w:tc>
        <w:tc>
          <w:tcPr>
            <w:tcW w:w="283" w:type="dxa"/>
            <w:shd w:val="clear" w:color="auto" w:fill="auto"/>
          </w:tcPr>
          <w:p w14:paraId="1A610E4E" w14:textId="77777777" w:rsidR="007B06F3" w:rsidRPr="0049410B" w:rsidRDefault="007B06F3" w:rsidP="00372C72">
            <w:pPr>
              <w:pStyle w:val="08-Tabelageral"/>
            </w:pPr>
          </w:p>
        </w:tc>
        <w:tc>
          <w:tcPr>
            <w:tcW w:w="1417" w:type="dxa"/>
            <w:shd w:val="clear" w:color="auto" w:fill="auto"/>
            <w:vAlign w:val="center"/>
          </w:tcPr>
          <w:p w14:paraId="186E80B5" w14:textId="77777777" w:rsidR="007B06F3" w:rsidRPr="006C2242" w:rsidRDefault="007B06F3" w:rsidP="00372C72">
            <w:pPr>
              <w:pStyle w:val="08-Tabelageral"/>
            </w:pPr>
          </w:p>
        </w:tc>
        <w:tc>
          <w:tcPr>
            <w:tcW w:w="1526" w:type="dxa"/>
            <w:shd w:val="clear" w:color="auto" w:fill="auto"/>
            <w:vAlign w:val="center"/>
          </w:tcPr>
          <w:p w14:paraId="624C6656" w14:textId="77777777" w:rsidR="007B06F3" w:rsidRPr="00C75209" w:rsidRDefault="007B06F3" w:rsidP="00372C72">
            <w:pPr>
              <w:pStyle w:val="08-Tabelageral"/>
            </w:pPr>
          </w:p>
        </w:tc>
      </w:tr>
      <w:tr w:rsidR="007B06F3" w:rsidRPr="00A63FA4" w14:paraId="0562F952" w14:textId="77777777" w:rsidTr="006F7D1A">
        <w:trPr>
          <w:trHeight w:val="227"/>
          <w:jc w:val="center"/>
        </w:trPr>
        <w:tc>
          <w:tcPr>
            <w:tcW w:w="2986" w:type="dxa"/>
            <w:shd w:val="clear" w:color="auto" w:fill="auto"/>
          </w:tcPr>
          <w:p w14:paraId="755CEF50" w14:textId="77777777" w:rsidR="007B06F3" w:rsidRPr="009A3D96" w:rsidRDefault="007B06F3" w:rsidP="00372C72">
            <w:pPr>
              <w:pStyle w:val="08-Tabelageral"/>
              <w:jc w:val="left"/>
              <w:rPr>
                <w:b/>
                <w:bCs/>
              </w:rPr>
            </w:pPr>
            <w:r>
              <w:rPr>
                <w:b/>
                <w:bCs/>
              </w:rPr>
              <w:t>E</w:t>
            </w:r>
            <w:r w:rsidRPr="00F50AA9">
              <w:rPr>
                <w:b/>
                <w:bCs/>
              </w:rPr>
              <w:t>mployees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0955D776" w14:textId="77777777" w:rsidR="007B06F3" w:rsidRPr="00257FAD" w:rsidRDefault="007B06F3" w:rsidP="00372C72">
            <w:pPr>
              <w:pStyle w:val="08-Tabelageral"/>
              <w:jc w:val="left"/>
              <w:rPr>
                <w:b/>
              </w:rPr>
            </w:pPr>
            <w:r w:rsidRPr="00F50AA9">
              <w:t>Lowest salary</w:t>
            </w:r>
          </w:p>
        </w:tc>
        <w:tc>
          <w:tcPr>
            <w:tcW w:w="604" w:type="dxa"/>
            <w:shd w:val="clear" w:color="auto" w:fill="auto"/>
          </w:tcPr>
          <w:p w14:paraId="3D378609" w14:textId="77777777" w:rsidR="007B06F3" w:rsidRPr="00257FAD" w:rsidRDefault="007B06F3" w:rsidP="00372C72">
            <w:pPr>
              <w:pStyle w:val="08-Tabelageral"/>
              <w:rPr>
                <w:b/>
              </w:rPr>
            </w:pPr>
          </w:p>
        </w:tc>
        <w:tc>
          <w:tcPr>
            <w:tcW w:w="1411" w:type="dxa"/>
            <w:shd w:val="clear" w:color="auto" w:fill="auto"/>
          </w:tcPr>
          <w:p w14:paraId="161DDBA4" w14:textId="77777777" w:rsidR="007B06F3" w:rsidRPr="00257FAD" w:rsidRDefault="007B06F3" w:rsidP="00372C72">
            <w:pPr>
              <w:pStyle w:val="08-Tabelageral"/>
              <w:rPr>
                <w:b/>
              </w:rPr>
            </w:pPr>
          </w:p>
        </w:tc>
        <w:tc>
          <w:tcPr>
            <w:tcW w:w="1412" w:type="dxa"/>
            <w:shd w:val="clear" w:color="auto" w:fill="auto"/>
            <w:vAlign w:val="center"/>
          </w:tcPr>
          <w:p w14:paraId="127FEA4A" w14:textId="77777777" w:rsidR="007B06F3" w:rsidRPr="00257FAD" w:rsidRDefault="007B06F3" w:rsidP="00372C72">
            <w:pPr>
              <w:pStyle w:val="08-Tabelageral"/>
              <w:rPr>
                <w:b/>
              </w:rPr>
            </w:pPr>
          </w:p>
        </w:tc>
        <w:tc>
          <w:tcPr>
            <w:tcW w:w="283" w:type="dxa"/>
            <w:shd w:val="clear" w:color="auto" w:fill="auto"/>
          </w:tcPr>
          <w:p w14:paraId="504BC5D7" w14:textId="77777777" w:rsidR="007B06F3" w:rsidRPr="00257FAD" w:rsidRDefault="007B06F3" w:rsidP="00372C72">
            <w:pPr>
              <w:pStyle w:val="08-Tabelageral"/>
              <w:rPr>
                <w:b/>
              </w:rPr>
            </w:pPr>
          </w:p>
        </w:tc>
        <w:tc>
          <w:tcPr>
            <w:tcW w:w="1417" w:type="dxa"/>
            <w:shd w:val="clear" w:color="auto" w:fill="auto"/>
            <w:vAlign w:val="center"/>
          </w:tcPr>
          <w:p w14:paraId="05F1A259" w14:textId="77777777" w:rsidR="007B06F3" w:rsidRDefault="007B06F3" w:rsidP="00372C72">
            <w:pPr>
              <w:pStyle w:val="08-Tabelageral"/>
              <w:rPr>
                <w:bCs/>
              </w:rPr>
            </w:pPr>
          </w:p>
          <w:p w14:paraId="21EDF09F" w14:textId="77777777" w:rsidR="007B06F3" w:rsidRPr="00571EBD" w:rsidRDefault="007B06F3" w:rsidP="00372C72">
            <w:pPr>
              <w:pStyle w:val="08-Tabelageral"/>
              <w:rPr>
                <w:bCs/>
              </w:rPr>
            </w:pPr>
            <w:r>
              <w:rPr>
                <w:bCs/>
              </w:rPr>
              <w:t>6,368.24</w:t>
            </w:r>
          </w:p>
        </w:tc>
        <w:tc>
          <w:tcPr>
            <w:tcW w:w="1526" w:type="dxa"/>
            <w:shd w:val="clear" w:color="auto" w:fill="auto"/>
            <w:vAlign w:val="center"/>
          </w:tcPr>
          <w:p w14:paraId="4034D7C2" w14:textId="77777777" w:rsidR="007B06F3" w:rsidRDefault="007B06F3" w:rsidP="00372C72">
            <w:pPr>
              <w:pStyle w:val="08-Tabelageral"/>
              <w:rPr>
                <w:b/>
              </w:rPr>
            </w:pPr>
          </w:p>
          <w:p w14:paraId="4645F8B4" w14:textId="77777777" w:rsidR="007B06F3" w:rsidRPr="00A63FA4" w:rsidRDefault="007B06F3" w:rsidP="00372C72">
            <w:pPr>
              <w:pStyle w:val="08-Tabelageral"/>
              <w:rPr>
                <w:bCs/>
              </w:rPr>
            </w:pPr>
            <w:r>
              <w:rPr>
                <w:bCs/>
              </w:rPr>
              <w:t>6,205.84</w:t>
            </w:r>
          </w:p>
        </w:tc>
      </w:tr>
      <w:tr w:rsidR="007B06F3" w:rsidRPr="0049410B" w14:paraId="18763E86" w14:textId="77777777" w:rsidTr="006F7D1A">
        <w:trPr>
          <w:trHeight w:val="227"/>
          <w:jc w:val="center"/>
        </w:trPr>
        <w:tc>
          <w:tcPr>
            <w:tcW w:w="2986" w:type="dxa"/>
            <w:shd w:val="clear" w:color="auto" w:fill="auto"/>
          </w:tcPr>
          <w:p w14:paraId="41036FCB" w14:textId="77777777" w:rsidR="007B06F3" w:rsidRPr="0078045C" w:rsidRDefault="007B06F3" w:rsidP="00372C72">
            <w:pPr>
              <w:pStyle w:val="08-Tabelageral"/>
              <w:jc w:val="left"/>
              <w:rPr>
                <w:b/>
              </w:rPr>
            </w:pPr>
            <w:r w:rsidRPr="00F50AA9">
              <w:t>Highest salary</w:t>
            </w:r>
          </w:p>
        </w:tc>
        <w:tc>
          <w:tcPr>
            <w:tcW w:w="604" w:type="dxa"/>
            <w:shd w:val="clear" w:color="auto" w:fill="auto"/>
          </w:tcPr>
          <w:p w14:paraId="3BE490A5" w14:textId="77777777" w:rsidR="007B06F3" w:rsidRPr="0049410B" w:rsidRDefault="007B06F3" w:rsidP="00372C72">
            <w:pPr>
              <w:pStyle w:val="08-Tabelageral"/>
            </w:pPr>
          </w:p>
        </w:tc>
        <w:tc>
          <w:tcPr>
            <w:tcW w:w="1411" w:type="dxa"/>
            <w:shd w:val="clear" w:color="auto" w:fill="auto"/>
          </w:tcPr>
          <w:p w14:paraId="4A8DD1DF" w14:textId="77777777" w:rsidR="007B06F3" w:rsidRPr="00110D6B" w:rsidRDefault="007B06F3" w:rsidP="00372C72">
            <w:pPr>
              <w:pStyle w:val="08-Tabelageral"/>
            </w:pPr>
          </w:p>
        </w:tc>
        <w:tc>
          <w:tcPr>
            <w:tcW w:w="1412" w:type="dxa"/>
            <w:shd w:val="clear" w:color="auto" w:fill="auto"/>
          </w:tcPr>
          <w:p w14:paraId="3DB9403D" w14:textId="77777777" w:rsidR="007B06F3" w:rsidRPr="00BB5EF7" w:rsidRDefault="007B06F3" w:rsidP="00372C72">
            <w:pPr>
              <w:pStyle w:val="08-Tabelageral"/>
            </w:pPr>
          </w:p>
        </w:tc>
        <w:tc>
          <w:tcPr>
            <w:tcW w:w="283" w:type="dxa"/>
            <w:shd w:val="clear" w:color="auto" w:fill="auto"/>
          </w:tcPr>
          <w:p w14:paraId="06E2310A" w14:textId="77777777" w:rsidR="007B06F3" w:rsidRPr="0049410B" w:rsidRDefault="007B06F3" w:rsidP="00372C72">
            <w:pPr>
              <w:pStyle w:val="08-Tabelageral"/>
            </w:pPr>
          </w:p>
        </w:tc>
        <w:tc>
          <w:tcPr>
            <w:tcW w:w="1417" w:type="dxa"/>
            <w:shd w:val="clear" w:color="auto" w:fill="auto"/>
          </w:tcPr>
          <w:p w14:paraId="2E800E0C" w14:textId="77777777" w:rsidR="007B06F3" w:rsidRPr="006C2242" w:rsidRDefault="007B06F3" w:rsidP="00372C72">
            <w:pPr>
              <w:pStyle w:val="08-Tabelageral"/>
            </w:pPr>
            <w:r>
              <w:t>69,546.24</w:t>
            </w:r>
          </w:p>
        </w:tc>
        <w:tc>
          <w:tcPr>
            <w:tcW w:w="1526" w:type="dxa"/>
            <w:shd w:val="clear" w:color="auto" w:fill="auto"/>
          </w:tcPr>
          <w:p w14:paraId="01A7ABCB" w14:textId="77777777" w:rsidR="007B06F3" w:rsidRPr="00C75209" w:rsidRDefault="007B06F3" w:rsidP="00372C72">
            <w:pPr>
              <w:pStyle w:val="08-Tabelageral"/>
            </w:pPr>
            <w:r>
              <w:t>65,610.13</w:t>
            </w:r>
          </w:p>
        </w:tc>
      </w:tr>
      <w:tr w:rsidR="007B06F3" w:rsidRPr="0049410B" w14:paraId="22A11FE4" w14:textId="77777777" w:rsidTr="006F7D1A">
        <w:trPr>
          <w:trHeight w:val="227"/>
          <w:jc w:val="center"/>
        </w:trPr>
        <w:tc>
          <w:tcPr>
            <w:tcW w:w="2986" w:type="dxa"/>
            <w:shd w:val="clear" w:color="auto" w:fill="auto"/>
          </w:tcPr>
          <w:p w14:paraId="0B4961DE" w14:textId="77777777" w:rsidR="007B06F3" w:rsidRDefault="007B06F3" w:rsidP="00372C72">
            <w:pPr>
              <w:pStyle w:val="08-Tabelageral"/>
              <w:jc w:val="left"/>
            </w:pPr>
            <w:r w:rsidRPr="00F50AA9">
              <w:t xml:space="preserve">Average salary </w:t>
            </w:r>
          </w:p>
          <w:p w14:paraId="193C2FB2" w14:textId="77777777" w:rsidR="007B06F3" w:rsidRPr="0078045C" w:rsidRDefault="007B06F3" w:rsidP="00372C72">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604" w:type="dxa"/>
            <w:shd w:val="clear" w:color="auto" w:fill="auto"/>
          </w:tcPr>
          <w:p w14:paraId="34FE77AD" w14:textId="77777777" w:rsidR="007B06F3" w:rsidRPr="0049410B" w:rsidRDefault="007B06F3" w:rsidP="00372C72">
            <w:pPr>
              <w:pStyle w:val="08-Tabelageral"/>
            </w:pPr>
          </w:p>
        </w:tc>
        <w:tc>
          <w:tcPr>
            <w:tcW w:w="1411" w:type="dxa"/>
            <w:shd w:val="clear" w:color="auto" w:fill="auto"/>
          </w:tcPr>
          <w:p w14:paraId="2141E5EE" w14:textId="77777777" w:rsidR="007B06F3" w:rsidRPr="00110D6B" w:rsidRDefault="007B06F3" w:rsidP="00372C72">
            <w:pPr>
              <w:pStyle w:val="08-Tabelageral"/>
            </w:pPr>
          </w:p>
        </w:tc>
        <w:tc>
          <w:tcPr>
            <w:tcW w:w="1412" w:type="dxa"/>
            <w:shd w:val="clear" w:color="auto" w:fill="auto"/>
          </w:tcPr>
          <w:p w14:paraId="781E8E85" w14:textId="77777777" w:rsidR="007B06F3" w:rsidRPr="00BB5EF7" w:rsidRDefault="007B06F3" w:rsidP="00372C72">
            <w:pPr>
              <w:pStyle w:val="08-Tabelageral"/>
            </w:pPr>
          </w:p>
        </w:tc>
        <w:tc>
          <w:tcPr>
            <w:tcW w:w="283" w:type="dxa"/>
            <w:shd w:val="clear" w:color="auto" w:fill="auto"/>
          </w:tcPr>
          <w:p w14:paraId="474E8F92" w14:textId="77777777" w:rsidR="007B06F3" w:rsidRPr="0049410B" w:rsidRDefault="007B06F3" w:rsidP="00372C72">
            <w:pPr>
              <w:pStyle w:val="08-Tabelageral"/>
            </w:pPr>
          </w:p>
        </w:tc>
        <w:tc>
          <w:tcPr>
            <w:tcW w:w="1417" w:type="dxa"/>
            <w:shd w:val="clear" w:color="auto" w:fill="auto"/>
          </w:tcPr>
          <w:p w14:paraId="2BE6B107" w14:textId="77777777" w:rsidR="007B06F3" w:rsidRDefault="007B06F3" w:rsidP="00372C72">
            <w:pPr>
              <w:pStyle w:val="08-Tabelageral"/>
            </w:pPr>
            <w:r>
              <w:t>24,909.76</w:t>
            </w:r>
          </w:p>
          <w:p w14:paraId="4C221CFA" w14:textId="77777777" w:rsidR="007B06F3" w:rsidRPr="006C2242" w:rsidRDefault="007B06F3" w:rsidP="00372C72">
            <w:pPr>
              <w:pStyle w:val="08-Tabelageral"/>
            </w:pPr>
            <w:r>
              <w:t>4,794.99</w:t>
            </w:r>
          </w:p>
        </w:tc>
        <w:tc>
          <w:tcPr>
            <w:tcW w:w="1526" w:type="dxa"/>
            <w:shd w:val="clear" w:color="auto" w:fill="auto"/>
          </w:tcPr>
          <w:p w14:paraId="53BE8EF1" w14:textId="77777777" w:rsidR="007B06F3" w:rsidRDefault="007B06F3" w:rsidP="00372C72">
            <w:pPr>
              <w:pStyle w:val="08-Tabelageral"/>
            </w:pPr>
            <w:r>
              <w:t>23,715.86</w:t>
            </w:r>
          </w:p>
          <w:p w14:paraId="507E9183" w14:textId="77777777" w:rsidR="007B06F3" w:rsidRPr="00C75209" w:rsidRDefault="007B06F3" w:rsidP="00372C72">
            <w:pPr>
              <w:pStyle w:val="08-Tabelageral"/>
            </w:pPr>
            <w:r>
              <w:t>4,514.84</w:t>
            </w:r>
          </w:p>
        </w:tc>
      </w:tr>
    </w:tbl>
    <w:p w14:paraId="1A512461" w14:textId="77777777" w:rsidR="007B06F3" w:rsidRPr="00961CE3" w:rsidRDefault="007B06F3" w:rsidP="006A362F">
      <w:pPr>
        <w:pStyle w:val="07-Legenda"/>
        <w:numPr>
          <w:ilvl w:val="0"/>
          <w:numId w:val="31"/>
        </w:numPr>
        <w:ind w:left="284" w:hanging="284"/>
        <w:rPr>
          <w:rFonts w:cs="Arial"/>
          <w:szCs w:val="14"/>
        </w:rPr>
      </w:pPr>
      <w:r w:rsidRPr="00BD3712">
        <w:t>Average monthly remuneration of Officers who have held the position for the twelve months of the year, including the Chief Executive Officer, considering variable remuneration and benefits offered, except social charges.</w:t>
      </w:r>
      <w:r>
        <w:t xml:space="preserve"> </w:t>
      </w:r>
      <w:r w:rsidRPr="00961CE3">
        <w:rPr>
          <w:rFonts w:cs="Arial"/>
          <w:szCs w:val="14"/>
        </w:rPr>
        <w:t>In the 1</w:t>
      </w:r>
      <w:r w:rsidRPr="00961CE3">
        <w:rPr>
          <w:rFonts w:cs="Arial"/>
          <w:szCs w:val="14"/>
          <w:vertAlign w:val="superscript"/>
        </w:rPr>
        <w:t>st</w:t>
      </w:r>
      <w:r>
        <w:rPr>
          <w:rFonts w:cs="Arial"/>
          <w:szCs w:val="14"/>
        </w:rPr>
        <w:t xml:space="preserve">Quarter </w:t>
      </w:r>
      <w:r w:rsidRPr="00961CE3">
        <w:rPr>
          <w:rFonts w:cs="Arial"/>
          <w:szCs w:val="14"/>
        </w:rPr>
        <w:t>2023, the variable compensation paid in March/2023 was considered. In the 1</w:t>
      </w:r>
      <w:r w:rsidRPr="00961CE3">
        <w:rPr>
          <w:rFonts w:cs="Arial"/>
          <w:szCs w:val="14"/>
          <w:vertAlign w:val="superscript"/>
        </w:rPr>
        <w:t>st</w:t>
      </w:r>
      <w:r w:rsidRPr="00961CE3">
        <w:rPr>
          <w:rFonts w:cs="Arial"/>
          <w:szCs w:val="14"/>
        </w:rPr>
        <w:t xml:space="preserve"> </w:t>
      </w:r>
      <w:r>
        <w:rPr>
          <w:rFonts w:cs="Arial"/>
          <w:szCs w:val="14"/>
        </w:rPr>
        <w:t xml:space="preserve">Quarter </w:t>
      </w:r>
      <w:r w:rsidRPr="00961CE3">
        <w:rPr>
          <w:rFonts w:cs="Arial"/>
          <w:szCs w:val="14"/>
        </w:rPr>
        <w:t>2022, the payment of variable remuneration, which was paid in April/2022, was not considered.</w:t>
      </w:r>
    </w:p>
    <w:p w14:paraId="35ED59B5" w14:textId="77777777" w:rsidR="007B06F3" w:rsidRPr="00BD3712" w:rsidRDefault="007B06F3" w:rsidP="006A362F">
      <w:pPr>
        <w:pStyle w:val="07-Legenda"/>
        <w:numPr>
          <w:ilvl w:val="0"/>
          <w:numId w:val="31"/>
        </w:numPr>
        <w:ind w:left="284" w:hanging="284"/>
      </w:pPr>
      <w:r w:rsidRPr="00BD3712">
        <w:t>Average monthly remuneration of Employees who have remained in the company for the twelve months of the year, considering expenses with salaries, personal benefits, commissions, gratuities, additional, overtime and other expenses related to remuneration, including benefits offered, except charges.</w:t>
      </w:r>
    </w:p>
    <w:p w14:paraId="6D973EA1" w14:textId="77777777" w:rsidR="007B06F3" w:rsidRPr="00BD3712" w:rsidRDefault="007B06F3" w:rsidP="006A362F">
      <w:pPr>
        <w:pStyle w:val="07-Legenda"/>
        <w:numPr>
          <w:ilvl w:val="0"/>
          <w:numId w:val="31"/>
        </w:numPr>
        <w:ind w:left="284" w:hanging="284"/>
      </w:pPr>
      <w:r w:rsidRPr="00BD3712">
        <w:t>Global average value of benefits offered to Employees, considering, for example, medical and dental care, food and meal allowances, daycare allowance, transportation allowance, supplementary pension. The overall average figure considers the total employee benefit spend for the year divided by the average number of employees for the year.</w:t>
      </w:r>
    </w:p>
    <w:p w14:paraId="61683045" w14:textId="37667017" w:rsidR="000A40F5" w:rsidRDefault="000A40F5" w:rsidP="00EF69B1">
      <w:pPr>
        <w:pStyle w:val="Ttulo1"/>
        <w:rPr>
          <w:rFonts w:eastAsiaTheme="majorEastAsia"/>
        </w:rPr>
        <w:sectPr w:rsidR="000A40F5" w:rsidSect="000A40F5">
          <w:headerReference w:type="even" r:id="rId41"/>
          <w:footerReference w:type="even" r:id="rId42"/>
          <w:footerReference w:type="default" r:id="rId43"/>
          <w:headerReference w:type="first" r:id="rId44"/>
          <w:footerReference w:type="first" r:id="rId45"/>
          <w:type w:val="continuous"/>
          <w:pgSz w:w="11906" w:h="16838" w:code="9"/>
          <w:pgMar w:top="1134" w:right="1134" w:bottom="851" w:left="1134" w:header="851" w:footer="284" w:gutter="0"/>
          <w:cols w:space="708"/>
          <w:docGrid w:linePitch="360"/>
        </w:sectPr>
      </w:pPr>
    </w:p>
    <w:p w14:paraId="05775F9D" w14:textId="77777777" w:rsidR="000E51BC" w:rsidRDefault="000E51BC" w:rsidP="00D20E66">
      <w:pPr>
        <w:pStyle w:val="Ttulo2"/>
        <w:jc w:val="both"/>
        <w:rPr>
          <w:b/>
          <w:bCs/>
        </w:rPr>
      </w:pP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0E51BC" w:rsidRPr="00E8567E" w14:paraId="08B0026D" w14:textId="77777777" w:rsidTr="005E6007">
        <w:trPr>
          <w:cantSplit/>
          <w:trHeight w:val="3969"/>
        </w:trPr>
        <w:tc>
          <w:tcPr>
            <w:tcW w:w="5385" w:type="dxa"/>
          </w:tcPr>
          <w:p w14:paraId="1749780C" w14:textId="77777777" w:rsidR="000E51BC" w:rsidRPr="00425283" w:rsidRDefault="000E51BC" w:rsidP="005E6007">
            <w:pPr>
              <w:pStyle w:val="Normal1"/>
              <w:widowControl w:val="0"/>
              <w:spacing w:after="200" w:line="240" w:lineRule="auto"/>
              <w:ind w:left="0"/>
              <w:jc w:val="left"/>
              <w:rPr>
                <w:rFonts w:ascii="Calibri" w:hAnsi="Calibri" w:cs="Calibri"/>
                <w:b/>
                <w:sz w:val="36"/>
                <w:szCs w:val="36"/>
                <w:lang w:val="pt-BR"/>
              </w:rPr>
            </w:pPr>
            <w:r w:rsidRPr="00425283">
              <w:rPr>
                <w:rFonts w:ascii="Calibri" w:hAnsi="Calibri" w:cs="Calibri"/>
                <w:b/>
                <w:sz w:val="36"/>
                <w:szCs w:val="36"/>
                <w:lang w:val="pt-BR"/>
              </w:rPr>
              <w:t>BB Seguridade Participações S.A.</w:t>
            </w:r>
          </w:p>
          <w:p w14:paraId="788F1A9B" w14:textId="77777777" w:rsidR="000E51BC" w:rsidRPr="00E8567E" w:rsidRDefault="000E51BC" w:rsidP="005E6007">
            <w:pPr>
              <w:pStyle w:val="Descriodotrabalho"/>
              <w:widowControl w:val="0"/>
              <w:shd w:val="clear" w:color="EBEBEB" w:fill="auto"/>
              <w:spacing w:line="240" w:lineRule="auto"/>
              <w:rPr>
                <w:rFonts w:ascii="Calibri" w:eastAsia="Times New Roman" w:hAnsi="Calibri" w:cs="Calibri"/>
                <w:i w:val="0"/>
                <w:sz w:val="22"/>
              </w:rPr>
            </w:pPr>
            <w:r w:rsidRPr="00E8567E">
              <w:rPr>
                <w:rFonts w:ascii="Calibri" w:eastAsia="Times New Roman" w:hAnsi="Calibri" w:cs="Calibri"/>
                <w:i w:val="0"/>
                <w:sz w:val="22"/>
              </w:rPr>
              <w:t xml:space="preserve"> Report on Review of Interim Financial </w:t>
            </w:r>
            <w:r>
              <w:rPr>
                <w:rFonts w:ascii="Calibri" w:eastAsia="Times New Roman" w:hAnsi="Calibri" w:cs="Calibri"/>
                <w:i w:val="0"/>
                <w:sz w:val="22"/>
              </w:rPr>
              <w:t xml:space="preserve">Information </w:t>
            </w:r>
            <w:r w:rsidRPr="00E8567E">
              <w:rPr>
                <w:rFonts w:ascii="Calibri" w:eastAsia="Times New Roman" w:hAnsi="Calibri" w:cs="Calibri"/>
                <w:i w:val="0"/>
                <w:sz w:val="22"/>
              </w:rPr>
              <w:t xml:space="preserve">for the </w:t>
            </w:r>
            <w:r>
              <w:rPr>
                <w:rFonts w:ascii="Calibri" w:eastAsia="Times New Roman" w:hAnsi="Calibri" w:cs="Calibri"/>
                <w:i w:val="0"/>
                <w:sz w:val="22"/>
              </w:rPr>
              <w:t>Quarter</w:t>
            </w:r>
            <w:r w:rsidRPr="00E8567E">
              <w:rPr>
                <w:rFonts w:ascii="Calibri" w:eastAsia="Times New Roman" w:hAnsi="Calibri" w:cs="Calibri"/>
                <w:i w:val="0"/>
                <w:sz w:val="22"/>
              </w:rPr>
              <w:br/>
              <w:t xml:space="preserve">Ended </w:t>
            </w:r>
            <w:r>
              <w:rPr>
                <w:rFonts w:ascii="Calibri" w:eastAsia="Times New Roman" w:hAnsi="Calibri" w:cs="Calibri"/>
                <w:i w:val="0"/>
                <w:sz w:val="22"/>
              </w:rPr>
              <w:t>March</w:t>
            </w:r>
            <w:r w:rsidRPr="00E8567E">
              <w:rPr>
                <w:rFonts w:ascii="Calibri" w:eastAsia="Times New Roman" w:hAnsi="Calibri" w:cs="Calibri"/>
                <w:i w:val="0"/>
                <w:sz w:val="22"/>
              </w:rPr>
              <w:t xml:space="preserve"> </w:t>
            </w:r>
            <w:r>
              <w:rPr>
                <w:rFonts w:ascii="Calibri" w:eastAsia="Times New Roman" w:hAnsi="Calibri" w:cs="Calibri"/>
                <w:i w:val="0"/>
                <w:sz w:val="22"/>
              </w:rPr>
              <w:t>31</w:t>
            </w:r>
            <w:r w:rsidRPr="00E8567E">
              <w:rPr>
                <w:rFonts w:ascii="Calibri" w:eastAsia="Times New Roman" w:hAnsi="Calibri" w:cs="Calibri"/>
                <w:i w:val="0"/>
                <w:sz w:val="22"/>
              </w:rPr>
              <w:t>, 202</w:t>
            </w:r>
            <w:r>
              <w:rPr>
                <w:rFonts w:ascii="Calibri" w:eastAsia="Times New Roman" w:hAnsi="Calibri" w:cs="Calibri"/>
                <w:i w:val="0"/>
                <w:sz w:val="22"/>
              </w:rPr>
              <w:t>3</w:t>
            </w:r>
            <w:r w:rsidRPr="00E8567E">
              <w:rPr>
                <w:rFonts w:ascii="Calibri" w:eastAsia="Times New Roman" w:hAnsi="Calibri" w:cs="Calibri"/>
                <w:i w:val="0"/>
                <w:sz w:val="22"/>
              </w:rPr>
              <w:t xml:space="preserve"> </w:t>
            </w:r>
            <w:r w:rsidRPr="00E8567E">
              <w:rPr>
                <w:rFonts w:ascii="Calibri" w:eastAsia="Times New Roman" w:hAnsi="Calibri" w:cs="Calibri"/>
                <w:i w:val="0"/>
                <w:sz w:val="22"/>
              </w:rPr>
              <w:br/>
            </w:r>
          </w:p>
          <w:p w14:paraId="24FC99A2" w14:textId="77777777" w:rsidR="000E51BC" w:rsidRPr="00E8567E" w:rsidRDefault="000E51BC" w:rsidP="005E6007">
            <w:pPr>
              <w:pStyle w:val="DTT"/>
              <w:widowControl w:val="0"/>
              <w:rPr>
                <w:rFonts w:ascii="Calibri" w:hAnsi="Calibri" w:cs="Calibri"/>
                <w:sz w:val="22"/>
                <w:szCs w:val="22"/>
              </w:rPr>
            </w:pPr>
          </w:p>
          <w:p w14:paraId="099E8FEE" w14:textId="77777777" w:rsidR="000E51BC" w:rsidRPr="00E8567E" w:rsidRDefault="000E51BC" w:rsidP="005E6007">
            <w:pPr>
              <w:pStyle w:val="DTT"/>
              <w:widowControl w:val="0"/>
              <w:rPr>
                <w:rFonts w:ascii="Calibri" w:hAnsi="Calibri" w:cs="Calibri"/>
                <w:sz w:val="22"/>
                <w:szCs w:val="22"/>
              </w:rPr>
            </w:pPr>
          </w:p>
          <w:p w14:paraId="23045A28" w14:textId="77777777" w:rsidR="000E51BC" w:rsidRPr="00E8567E" w:rsidRDefault="000E51BC" w:rsidP="005E6007">
            <w:pPr>
              <w:pStyle w:val="DTT"/>
              <w:widowControl w:val="0"/>
              <w:rPr>
                <w:rFonts w:ascii="Calibri" w:hAnsi="Calibri" w:cs="Calibri"/>
                <w:sz w:val="22"/>
                <w:szCs w:val="22"/>
              </w:rPr>
            </w:pPr>
          </w:p>
          <w:p w14:paraId="790368F3" w14:textId="77777777" w:rsidR="000E51BC" w:rsidRPr="00E8567E" w:rsidRDefault="000E51BC" w:rsidP="005E6007">
            <w:pPr>
              <w:pStyle w:val="DTT"/>
              <w:widowControl w:val="0"/>
              <w:rPr>
                <w:rFonts w:ascii="Calibri" w:hAnsi="Calibri" w:cs="Calibri"/>
                <w:sz w:val="22"/>
                <w:szCs w:val="22"/>
              </w:rPr>
            </w:pPr>
          </w:p>
          <w:p w14:paraId="12DE29DE" w14:textId="77777777" w:rsidR="000E51BC" w:rsidRPr="00E8567E" w:rsidRDefault="000E51BC" w:rsidP="005E6007">
            <w:pPr>
              <w:pStyle w:val="DTT"/>
              <w:widowControl w:val="0"/>
              <w:rPr>
                <w:rFonts w:ascii="Calibri" w:hAnsi="Calibri" w:cs="Calibri"/>
                <w:sz w:val="22"/>
                <w:szCs w:val="22"/>
              </w:rPr>
            </w:pPr>
          </w:p>
          <w:p w14:paraId="6FF8D93A" w14:textId="77777777" w:rsidR="000E51BC" w:rsidRPr="00E8567E" w:rsidRDefault="000E51BC" w:rsidP="005E6007">
            <w:pPr>
              <w:pStyle w:val="DTT"/>
              <w:widowControl w:val="0"/>
              <w:rPr>
                <w:rFonts w:ascii="Calibri" w:hAnsi="Calibri" w:cs="Calibri"/>
                <w:sz w:val="22"/>
                <w:szCs w:val="22"/>
              </w:rPr>
            </w:pPr>
          </w:p>
          <w:p w14:paraId="38B26D06" w14:textId="77777777" w:rsidR="000E51BC" w:rsidRPr="00E8567E" w:rsidRDefault="000E51BC" w:rsidP="005E6007">
            <w:pPr>
              <w:pStyle w:val="DTT"/>
              <w:widowControl w:val="0"/>
              <w:rPr>
                <w:rFonts w:ascii="Calibri" w:hAnsi="Calibri" w:cs="Calibri"/>
                <w:sz w:val="22"/>
                <w:szCs w:val="22"/>
              </w:rPr>
            </w:pPr>
          </w:p>
          <w:p w14:paraId="300D48D6" w14:textId="77777777" w:rsidR="000E51BC" w:rsidRPr="00E8567E" w:rsidRDefault="000E51BC" w:rsidP="005E6007">
            <w:pPr>
              <w:pStyle w:val="DTT"/>
              <w:widowControl w:val="0"/>
              <w:rPr>
                <w:rFonts w:ascii="Calibri" w:hAnsi="Calibri" w:cs="Calibri"/>
                <w:szCs w:val="18"/>
              </w:rPr>
            </w:pPr>
            <w:r w:rsidRPr="00E8567E">
              <w:rPr>
                <w:rFonts w:ascii="Calibri" w:hAnsi="Calibri" w:cs="Calibri"/>
                <w:szCs w:val="18"/>
              </w:rPr>
              <w:t>Deloitte Touche Tohmatsu Auditores Independentes Ltda.</w:t>
            </w:r>
          </w:p>
        </w:tc>
      </w:tr>
    </w:tbl>
    <w:p w14:paraId="6359CA6A" w14:textId="77777777" w:rsidR="000E51BC" w:rsidRPr="00E8567E" w:rsidRDefault="000E51BC" w:rsidP="000E51BC">
      <w:pPr>
        <w:widowControl w:val="0"/>
        <w:rPr>
          <w:rFonts w:ascii="Calibri" w:hAnsi="Calibri" w:cs="Calibri"/>
          <w:sz w:val="20"/>
          <w:szCs w:val="20"/>
        </w:rPr>
      </w:pPr>
      <w:bookmarkStart w:id="64" w:name="Start"/>
      <w:bookmarkEnd w:id="64"/>
      <w:r w:rsidRPr="00E8567E">
        <w:rPr>
          <w:rFonts w:ascii="Calibri" w:hAnsi="Calibri" w:cs="Calibri"/>
          <w:b/>
          <w:i/>
          <w:noProof/>
          <w:sz w:val="20"/>
          <w:szCs w:val="20"/>
        </w:rPr>
        <mc:AlternateContent>
          <mc:Choice Requires="wps">
            <w:drawing>
              <wp:anchor distT="0" distB="0" distL="114300" distR="114300" simplePos="0" relativeHeight="251656192" behindDoc="0" locked="0" layoutInCell="1" allowOverlap="1" wp14:anchorId="78424CDC" wp14:editId="228B98FF">
                <wp:simplePos x="0" y="0"/>
                <wp:positionH relativeFrom="column">
                  <wp:posOffset>1929130</wp:posOffset>
                </wp:positionH>
                <wp:positionV relativeFrom="paragraph">
                  <wp:posOffset>-3041813</wp:posOffset>
                </wp:positionV>
                <wp:extent cx="3168650" cy="463550"/>
                <wp:effectExtent l="0" t="0" r="0" b="0"/>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463550"/>
                        </a:xfrm>
                        <a:prstGeom prst="rect">
                          <a:avLst/>
                        </a:prstGeom>
                        <a:noFill/>
                        <a:ln>
                          <a:noFill/>
                        </a:ln>
                        <a:extLst>
                          <a:ext uri="{909E8E84-426E-40DD-AFC4-6F175D3DCCD1}">
                            <a14:hiddenFill xmlns:a14="http://schemas.microsoft.com/office/drawing/2010/main">
                              <a:solidFill>
                                <a:srgbClr val="F49100"/>
                              </a:solidFill>
                            </a14:hiddenFill>
                          </a:ext>
                          <a:ext uri="{91240B29-F687-4F45-9708-019B960494DF}">
                            <a14:hiddenLine xmlns:a14="http://schemas.microsoft.com/office/drawing/2010/main" w="9525">
                              <a:solidFill>
                                <a:srgbClr val="F49100"/>
                              </a:solidFill>
                              <a:miter lim="800000"/>
                              <a:headEnd/>
                              <a:tailEnd/>
                            </a14:hiddenLine>
                          </a:ext>
                        </a:extLst>
                      </wps:spPr>
                      <wps:txbx>
                        <w:txbxContent>
                          <w:p w14:paraId="5316E400" w14:textId="77777777" w:rsidR="000E51BC" w:rsidRPr="000B6A80" w:rsidRDefault="000E51BC" w:rsidP="000E51BC">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4CDC" id="_x0000_t202" coordsize="21600,21600" o:spt="202" path="m,l,21600r21600,l21600,xe">
                <v:stroke joinstyle="miter"/>
                <v:path gradientshapeok="t" o:connecttype="rect"/>
              </v:shapetype>
              <v:shape id="Text Box 5" o:spid="_x0000_s1026" type="#_x0000_t202" style="position:absolute;margin-left:151.9pt;margin-top:-239.5pt;width:24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" filled="f" fillcolor="#f49100" stroked="f" strokecolor="#f49100">
                <v:textbox>
                  <w:txbxContent>
                    <w:p w14:paraId="5316E400" w14:textId="77777777" w:rsidR="000E51BC" w:rsidRPr="000B6A80" w:rsidRDefault="000E51BC" w:rsidP="000E51BC">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v:textbox>
              </v:shape>
            </w:pict>
          </mc:Fallback>
        </mc:AlternateContent>
      </w:r>
    </w:p>
    <w:p w14:paraId="06B734E7" w14:textId="77777777" w:rsidR="000E51BC" w:rsidRPr="00E8567E" w:rsidRDefault="000E51BC" w:rsidP="000E51BC">
      <w:pPr>
        <w:widowControl w:val="0"/>
        <w:rPr>
          <w:rFonts w:ascii="Calibri" w:hAnsi="Calibri" w:cs="Calibri"/>
          <w:sz w:val="20"/>
          <w:szCs w:val="20"/>
        </w:rPr>
        <w:sectPr w:rsidR="000E51BC" w:rsidRPr="00E8567E" w:rsidSect="000E51BC">
          <w:headerReference w:type="even" r:id="rId46"/>
          <w:headerReference w:type="default" r:id="rId47"/>
          <w:footerReference w:type="even" r:id="rId48"/>
          <w:footerReference w:type="default" r:id="rId49"/>
          <w:headerReference w:type="first" r:id="rId50"/>
          <w:footerReference w:type="first" r:id="rId51"/>
          <w:pgSz w:w="11907" w:h="16840" w:code="9"/>
          <w:pgMar w:top="3402" w:right="1134" w:bottom="1134" w:left="1134" w:header="850" w:footer="567" w:gutter="0"/>
          <w:pgNumType w:start="1"/>
          <w:cols w:space="720"/>
          <w:titlePg/>
          <w:docGrid w:linePitch="326"/>
        </w:sectPr>
      </w:pPr>
    </w:p>
    <w:p w14:paraId="3D754714" w14:textId="05132EE3" w:rsidR="000E51BC" w:rsidRPr="00E8567E" w:rsidRDefault="000E51BC" w:rsidP="000E51BC">
      <w:pPr>
        <w:widowControl w:val="0"/>
        <w:spacing w:before="1440" w:after="200"/>
        <w:rPr>
          <w:rFonts w:ascii="Calibri" w:hAnsi="Calibri" w:cs="Calibri"/>
          <w:sz w:val="22"/>
          <w:szCs w:val="20"/>
        </w:rPr>
      </w:pPr>
      <w:r w:rsidRPr="00E8567E">
        <w:rPr>
          <w:rFonts w:ascii="Calibri" w:hAnsi="Calibri" w:cs="Calibri"/>
          <w:sz w:val="22"/>
          <w:szCs w:val="20"/>
        </w:rPr>
        <w:lastRenderedPageBreak/>
        <w:t>(Convenience Translation into English from the Original Previously Issued in Portuguese)</w:t>
      </w:r>
    </w:p>
    <w:p w14:paraId="573496D7" w14:textId="77777777" w:rsidR="000E51BC" w:rsidRPr="00E8567E" w:rsidRDefault="000E51BC" w:rsidP="000E51BC">
      <w:pPr>
        <w:pStyle w:val="17TEXTOcorpojustificado"/>
        <w:widowControl w:val="0"/>
        <w:spacing w:after="200" w:line="240" w:lineRule="auto"/>
        <w:jc w:val="left"/>
        <w:outlineLvl w:val="0"/>
        <w:rPr>
          <w:rFonts w:ascii="Calibri" w:hAnsi="Calibri" w:cs="Calibri"/>
          <w:u w:val="single"/>
        </w:rPr>
      </w:pPr>
      <w:bookmarkStart w:id="67" w:name="_Toc134823591"/>
      <w:r w:rsidRPr="00425283">
        <w:rPr>
          <w:rFonts w:ascii="Calibri" w:hAnsi="Calibri" w:cs="Calibri"/>
        </w:rPr>
        <w:t xml:space="preserve">REPORT ON REVIEW OF </w:t>
      </w:r>
      <w:r w:rsidRPr="00C30050">
        <w:rPr>
          <w:rFonts w:ascii="Calibri" w:hAnsi="Calibri" w:cs="Calibri"/>
          <w:u w:val="single"/>
        </w:rPr>
        <w:t>INTERIM</w:t>
      </w:r>
      <w:r w:rsidRPr="00E8567E">
        <w:rPr>
          <w:rFonts w:ascii="Calibri" w:hAnsi="Calibri" w:cs="Calibri"/>
          <w:u w:val="single"/>
        </w:rPr>
        <w:t xml:space="preserve"> FINANCIAL </w:t>
      </w:r>
      <w:r>
        <w:rPr>
          <w:rFonts w:ascii="Calibri" w:hAnsi="Calibri" w:cs="Calibri"/>
          <w:u w:val="single"/>
        </w:rPr>
        <w:t>INFORMATION</w:t>
      </w:r>
      <w:bookmarkEnd w:id="67"/>
    </w:p>
    <w:p w14:paraId="178BA860" w14:textId="77777777" w:rsidR="000E51BC" w:rsidRPr="00E8567E" w:rsidRDefault="000E51BC" w:rsidP="000E51BC">
      <w:pPr>
        <w:widowControl w:val="0"/>
        <w:rPr>
          <w:rFonts w:ascii="Calibri" w:hAnsi="Calibri" w:cs="Calibri"/>
          <w:sz w:val="22"/>
          <w:szCs w:val="20"/>
        </w:rPr>
      </w:pPr>
      <w:r w:rsidRPr="00E8567E">
        <w:rPr>
          <w:rFonts w:ascii="Calibri" w:hAnsi="Calibri" w:cs="Calibri"/>
          <w:sz w:val="22"/>
          <w:szCs w:val="20"/>
        </w:rPr>
        <w:t>To the Management, Members of the Board and Shareholders of</w:t>
      </w:r>
    </w:p>
    <w:p w14:paraId="63C71E6C" w14:textId="77777777" w:rsidR="000E51BC" w:rsidRPr="00425283" w:rsidRDefault="000E51BC" w:rsidP="000E51BC">
      <w:pPr>
        <w:pStyle w:val="17TEXTOcorpojustificado"/>
        <w:widowControl w:val="0"/>
        <w:spacing w:after="200" w:line="240" w:lineRule="auto"/>
        <w:jc w:val="left"/>
        <w:rPr>
          <w:rFonts w:ascii="Calibri" w:hAnsi="Calibri" w:cs="Calibri"/>
          <w:szCs w:val="22"/>
          <w:u w:val="single"/>
          <w:lang w:eastAsia="en-US"/>
        </w:rPr>
      </w:pPr>
      <w:r w:rsidRPr="00425283">
        <w:rPr>
          <w:rFonts w:ascii="Calibri" w:hAnsi="Calibri" w:cs="Calibri"/>
        </w:rPr>
        <w:t>BB Seguridade Participações S.A.</w:t>
      </w:r>
      <w:r w:rsidRPr="00425283">
        <w:rPr>
          <w:rFonts w:ascii="Calibri" w:hAnsi="Calibri" w:cs="Calibri"/>
        </w:rPr>
        <w:br/>
      </w:r>
      <w:r w:rsidRPr="00425283">
        <w:rPr>
          <w:rFonts w:ascii="Calibri" w:hAnsi="Calibri" w:cs="Calibri"/>
          <w:szCs w:val="22"/>
          <w:u w:val="single"/>
        </w:rPr>
        <w:t>Brasília - DF</w:t>
      </w:r>
    </w:p>
    <w:p w14:paraId="68E7143C" w14:textId="77777777" w:rsidR="000E51BC" w:rsidRPr="00E8567E" w:rsidRDefault="000E51BC" w:rsidP="000E51BC">
      <w:pPr>
        <w:pStyle w:val="17TEXTOcorpojustificado"/>
        <w:widowControl w:val="0"/>
        <w:spacing w:after="200" w:line="240" w:lineRule="auto"/>
        <w:jc w:val="left"/>
        <w:rPr>
          <w:rFonts w:ascii="Calibri" w:hAnsi="Calibri" w:cs="Calibri"/>
          <w:b/>
        </w:rPr>
      </w:pPr>
      <w:r w:rsidRPr="00E8567E">
        <w:rPr>
          <w:rFonts w:ascii="Calibri" w:hAnsi="Calibri" w:cs="Calibri"/>
          <w:b/>
        </w:rPr>
        <w:t>Introduction</w:t>
      </w:r>
    </w:p>
    <w:p w14:paraId="04003D6F" w14:textId="77777777" w:rsidR="000E51BC" w:rsidRPr="00E8567E" w:rsidRDefault="000E51BC" w:rsidP="000E51BC">
      <w:pPr>
        <w:widowControl w:val="0"/>
        <w:autoSpaceDE w:val="0"/>
        <w:autoSpaceDN w:val="0"/>
        <w:spacing w:after="200"/>
        <w:rPr>
          <w:rFonts w:ascii="Calibri" w:hAnsi="Calibri" w:cs="Calibri"/>
          <w:sz w:val="22"/>
          <w:szCs w:val="20"/>
          <w:lang w:eastAsia="pt-BR"/>
        </w:rPr>
      </w:pPr>
      <w:r w:rsidRPr="00E8567E">
        <w:rPr>
          <w:rFonts w:ascii="Calibri" w:hAnsi="Calibri" w:cs="Calibri"/>
          <w:color w:val="000000"/>
          <w:sz w:val="22"/>
          <w:szCs w:val="20"/>
          <w:lang w:eastAsia="pt-BR"/>
        </w:rPr>
        <w:t xml:space="preserve">We have reviewed the accompanying individual and consolidated interim financial </w:t>
      </w:r>
      <w:r>
        <w:rPr>
          <w:rFonts w:ascii="Calibri" w:hAnsi="Calibri" w:cs="Calibri"/>
          <w:color w:val="000000"/>
          <w:sz w:val="22"/>
          <w:szCs w:val="20"/>
          <w:lang w:eastAsia="pt-BR"/>
        </w:rPr>
        <w:t xml:space="preserve">information </w:t>
      </w:r>
      <w:r w:rsidRPr="00E8567E">
        <w:rPr>
          <w:rFonts w:ascii="Calibri" w:hAnsi="Calibri" w:cs="Calibri"/>
          <w:color w:val="000000"/>
          <w:sz w:val="22"/>
          <w:szCs w:val="20"/>
          <w:lang w:eastAsia="pt-BR"/>
        </w:rPr>
        <w:t xml:space="preserve">of </w:t>
      </w:r>
      <w:r w:rsidRPr="00E8567E">
        <w:rPr>
          <w:rFonts w:ascii="Calibri" w:hAnsi="Calibri" w:cs="Calibri"/>
          <w:sz w:val="22"/>
        </w:rPr>
        <w:t>BB Seguridade Participações S.A.</w:t>
      </w:r>
      <w:r w:rsidRPr="00E8567E">
        <w:rPr>
          <w:rFonts w:ascii="Calibri" w:hAnsi="Calibri" w:cs="Calibri"/>
          <w:sz w:val="22"/>
          <w:szCs w:val="20"/>
        </w:rPr>
        <w:t xml:space="preserve"> (“Company”),</w:t>
      </w:r>
      <w:r w:rsidRPr="00E8567E">
        <w:rPr>
          <w:rFonts w:ascii="Calibri" w:hAnsi="Calibri" w:cs="Calibri"/>
          <w:sz w:val="22"/>
          <w:szCs w:val="20"/>
          <w:lang w:eastAsia="pt-BR"/>
        </w:rPr>
        <w:t xml:space="preserve"> </w:t>
      </w:r>
      <w:r w:rsidRPr="00D81F06">
        <w:rPr>
          <w:rFonts w:ascii="Calibri" w:hAnsi="Calibri" w:cs="Calibri"/>
          <w:sz w:val="22"/>
          <w:szCs w:val="20"/>
          <w:lang w:eastAsia="pt-BR"/>
        </w:rPr>
        <w:t>included in the Interim Financial Information Form (ITR)</w:t>
      </w:r>
      <w:r>
        <w:rPr>
          <w:rFonts w:ascii="Calibri" w:hAnsi="Calibri" w:cs="Calibri"/>
          <w:sz w:val="22"/>
          <w:szCs w:val="20"/>
          <w:lang w:eastAsia="pt-BR"/>
        </w:rPr>
        <w:t xml:space="preserve">, for the quarter ended March 31, 2023, </w:t>
      </w:r>
      <w:r w:rsidRPr="00E8567E">
        <w:rPr>
          <w:rFonts w:ascii="Calibri" w:hAnsi="Calibri" w:cs="Calibri"/>
          <w:sz w:val="22"/>
          <w:szCs w:val="20"/>
          <w:lang w:eastAsia="pt-BR"/>
        </w:rPr>
        <w:t xml:space="preserve">which comprise the balance sheet as at </w:t>
      </w:r>
      <w:r>
        <w:rPr>
          <w:rFonts w:ascii="Calibri" w:hAnsi="Calibri" w:cs="Calibri"/>
          <w:sz w:val="22"/>
          <w:szCs w:val="20"/>
          <w:lang w:eastAsia="pt-BR"/>
        </w:rPr>
        <w:t>March 31</w:t>
      </w:r>
      <w:r w:rsidRPr="00E8567E">
        <w:rPr>
          <w:rFonts w:ascii="Calibri" w:hAnsi="Calibri" w:cs="Calibri"/>
          <w:sz w:val="22"/>
          <w:szCs w:val="20"/>
          <w:lang w:eastAsia="pt-BR"/>
        </w:rPr>
        <w:t>, 202</w:t>
      </w:r>
      <w:r>
        <w:rPr>
          <w:rFonts w:ascii="Calibri" w:hAnsi="Calibri" w:cs="Calibri"/>
          <w:sz w:val="22"/>
          <w:szCs w:val="20"/>
          <w:lang w:eastAsia="pt-BR"/>
        </w:rPr>
        <w:t>3</w:t>
      </w:r>
      <w:r w:rsidRPr="00E8567E">
        <w:rPr>
          <w:rFonts w:ascii="Calibri" w:hAnsi="Calibri" w:cs="Calibri"/>
          <w:sz w:val="22"/>
          <w:szCs w:val="20"/>
          <w:lang w:eastAsia="pt-BR"/>
        </w:rPr>
        <w:t>, and the related statements of income</w:t>
      </w:r>
      <w:r>
        <w:rPr>
          <w:rFonts w:ascii="Calibri" w:hAnsi="Calibri" w:cs="Calibri"/>
          <w:sz w:val="22"/>
          <w:szCs w:val="20"/>
          <w:lang w:eastAsia="pt-BR"/>
        </w:rPr>
        <w:t xml:space="preserve">, </w:t>
      </w:r>
      <w:r w:rsidRPr="00E8567E">
        <w:rPr>
          <w:rFonts w:ascii="Calibri" w:hAnsi="Calibri" w:cs="Calibri"/>
          <w:sz w:val="22"/>
          <w:szCs w:val="20"/>
          <w:lang w:eastAsia="pt-BR"/>
        </w:rPr>
        <w:t>of comprehensive income</w:t>
      </w:r>
      <w:r>
        <w:rPr>
          <w:rFonts w:ascii="Calibri" w:hAnsi="Calibri" w:cs="Calibri"/>
          <w:sz w:val="22"/>
          <w:szCs w:val="20"/>
          <w:lang w:eastAsia="pt-BR"/>
        </w:rPr>
        <w:t xml:space="preserve">, of </w:t>
      </w:r>
      <w:r w:rsidRPr="00E8567E">
        <w:rPr>
          <w:rFonts w:ascii="Calibri" w:hAnsi="Calibri" w:cs="Calibri"/>
          <w:sz w:val="22"/>
          <w:szCs w:val="20"/>
          <w:lang w:eastAsia="pt-BR"/>
        </w:rPr>
        <w:t>changes in equity and of cash flows</w:t>
      </w:r>
      <w:r>
        <w:rPr>
          <w:rFonts w:ascii="Calibri" w:hAnsi="Calibri" w:cs="Calibri"/>
          <w:sz w:val="22"/>
          <w:szCs w:val="20"/>
          <w:lang w:eastAsia="pt-BR"/>
        </w:rPr>
        <w:t xml:space="preserve"> for the three-month period then ended</w:t>
      </w:r>
      <w:r w:rsidRPr="00E8567E">
        <w:rPr>
          <w:rFonts w:ascii="Calibri" w:hAnsi="Calibri" w:cs="Calibri"/>
          <w:sz w:val="22"/>
          <w:szCs w:val="20"/>
          <w:lang w:eastAsia="pt-BR"/>
        </w:rPr>
        <w:t xml:space="preserve">, as well as the </w:t>
      </w:r>
      <w:r w:rsidRPr="00E8567E">
        <w:rPr>
          <w:rFonts w:ascii="Calibri" w:hAnsi="Calibri" w:cs="Calibri"/>
          <w:sz w:val="22"/>
          <w:szCs w:val="20"/>
        </w:rPr>
        <w:t xml:space="preserve">summary of significant accounting practices and other explanatory notes. </w:t>
      </w:r>
    </w:p>
    <w:p w14:paraId="18417390" w14:textId="77777777" w:rsidR="000E51BC" w:rsidRPr="00E8567E" w:rsidRDefault="000E51BC" w:rsidP="000E51BC">
      <w:pPr>
        <w:widowControl w:val="0"/>
        <w:spacing w:after="200"/>
        <w:rPr>
          <w:rFonts w:ascii="Calibri" w:hAnsi="Calibri" w:cs="Calibri"/>
          <w:sz w:val="22"/>
          <w:szCs w:val="20"/>
        </w:rPr>
      </w:pPr>
      <w:r>
        <w:rPr>
          <w:rFonts w:ascii="Calibri" w:hAnsi="Calibri" w:cs="Calibri"/>
          <w:sz w:val="22"/>
          <w:szCs w:val="20"/>
        </w:rPr>
        <w:t>The Executive Board</w:t>
      </w:r>
      <w:r w:rsidRPr="00E8567E">
        <w:rPr>
          <w:rFonts w:ascii="Calibri" w:hAnsi="Calibri" w:cs="Calibri"/>
          <w:sz w:val="22"/>
          <w:szCs w:val="20"/>
        </w:rPr>
        <w:t xml:space="preserve"> </w:t>
      </w:r>
      <w:r>
        <w:rPr>
          <w:rFonts w:ascii="Calibri" w:hAnsi="Calibri" w:cs="Calibri"/>
          <w:sz w:val="22"/>
          <w:szCs w:val="20"/>
        </w:rPr>
        <w:t>is</w:t>
      </w:r>
      <w:r w:rsidRPr="00E8567E">
        <w:rPr>
          <w:rFonts w:ascii="Calibri" w:hAnsi="Calibri" w:cs="Calibri"/>
          <w:sz w:val="22"/>
          <w:szCs w:val="20"/>
        </w:rPr>
        <w:t xml:space="preserve"> responsible for the preparation of the individual and consolidated interim financial </w:t>
      </w:r>
      <w:r>
        <w:rPr>
          <w:rFonts w:ascii="Calibri" w:hAnsi="Calibri" w:cs="Calibri"/>
          <w:sz w:val="22"/>
          <w:szCs w:val="20"/>
        </w:rPr>
        <w:t xml:space="preserve">information </w:t>
      </w:r>
      <w:r w:rsidRPr="00E8567E">
        <w:rPr>
          <w:rFonts w:ascii="Calibri" w:hAnsi="Calibri" w:cs="Calibri"/>
          <w:sz w:val="22"/>
          <w:szCs w:val="20"/>
        </w:rPr>
        <w:t xml:space="preserve">in accordance with </w:t>
      </w:r>
      <w:r>
        <w:rPr>
          <w:rFonts w:ascii="Calibri" w:hAnsi="Calibri" w:cs="Calibri"/>
          <w:sz w:val="22"/>
          <w:szCs w:val="20"/>
        </w:rPr>
        <w:t xml:space="preserve">technical pronouncement </w:t>
      </w:r>
      <w:r w:rsidRPr="00D81F06">
        <w:rPr>
          <w:rFonts w:ascii="Calibri" w:hAnsi="Calibri" w:cs="Calibri"/>
          <w:sz w:val="22"/>
          <w:szCs w:val="20"/>
        </w:rPr>
        <w:t xml:space="preserve">CPC 21 (R1) </w:t>
      </w:r>
      <w:r>
        <w:rPr>
          <w:rFonts w:ascii="Calibri" w:hAnsi="Calibri" w:cs="Calibri"/>
          <w:sz w:val="22"/>
          <w:szCs w:val="20"/>
        </w:rPr>
        <w:t>–</w:t>
      </w:r>
      <w:r w:rsidRPr="00D81F06">
        <w:rPr>
          <w:rFonts w:ascii="Calibri" w:hAnsi="Calibri" w:cs="Calibri"/>
          <w:sz w:val="22"/>
          <w:szCs w:val="20"/>
        </w:rPr>
        <w:t xml:space="preserve"> </w:t>
      </w:r>
      <w:r>
        <w:rPr>
          <w:rFonts w:ascii="Calibri" w:hAnsi="Calibri" w:cs="Calibri"/>
          <w:sz w:val="22"/>
          <w:szCs w:val="20"/>
        </w:rPr>
        <w:t xml:space="preserve">and </w:t>
      </w:r>
      <w:r w:rsidRPr="00D81F06">
        <w:rPr>
          <w:rFonts w:ascii="Calibri" w:hAnsi="Calibri" w:cs="Calibri"/>
          <w:sz w:val="22"/>
          <w:szCs w:val="20"/>
        </w:rPr>
        <w:t>interna</w:t>
      </w:r>
      <w:r>
        <w:rPr>
          <w:rFonts w:ascii="Calibri" w:hAnsi="Calibri" w:cs="Calibri"/>
          <w:sz w:val="22"/>
          <w:szCs w:val="20"/>
        </w:rPr>
        <w:t>t</w:t>
      </w:r>
      <w:r w:rsidRPr="00D81F06">
        <w:rPr>
          <w:rFonts w:ascii="Calibri" w:hAnsi="Calibri" w:cs="Calibri"/>
          <w:sz w:val="22"/>
          <w:szCs w:val="20"/>
        </w:rPr>
        <w:t xml:space="preserve">ional </w:t>
      </w:r>
      <w:r>
        <w:rPr>
          <w:rFonts w:ascii="Calibri" w:hAnsi="Calibri" w:cs="Calibri"/>
          <w:sz w:val="22"/>
          <w:szCs w:val="20"/>
        </w:rPr>
        <w:t xml:space="preserve">standard </w:t>
      </w:r>
      <w:r w:rsidRPr="00D81F06">
        <w:rPr>
          <w:rFonts w:ascii="Calibri" w:hAnsi="Calibri" w:cs="Calibri"/>
          <w:sz w:val="22"/>
          <w:szCs w:val="20"/>
        </w:rPr>
        <w:t xml:space="preserve">IAS 34 - Interim Financial Reporting, </w:t>
      </w:r>
      <w:r>
        <w:rPr>
          <w:rFonts w:ascii="Calibri" w:hAnsi="Calibri" w:cs="Calibri"/>
          <w:sz w:val="22"/>
          <w:szCs w:val="20"/>
        </w:rPr>
        <w:t xml:space="preserve">issued by the </w:t>
      </w:r>
      <w:r w:rsidRPr="00D81F06">
        <w:rPr>
          <w:rFonts w:ascii="Calibri" w:hAnsi="Calibri" w:cs="Calibri"/>
          <w:sz w:val="22"/>
          <w:szCs w:val="20"/>
        </w:rPr>
        <w:t xml:space="preserve">International Accounting Standards Board </w:t>
      </w:r>
      <w:r>
        <w:rPr>
          <w:rFonts w:ascii="Calibri" w:hAnsi="Calibri" w:cs="Calibri"/>
          <w:sz w:val="22"/>
          <w:szCs w:val="20"/>
        </w:rPr>
        <w:t>–</w:t>
      </w:r>
      <w:r w:rsidRPr="00D81F06">
        <w:rPr>
          <w:rFonts w:ascii="Calibri" w:hAnsi="Calibri" w:cs="Calibri"/>
          <w:sz w:val="22"/>
          <w:szCs w:val="20"/>
        </w:rPr>
        <w:t xml:space="preserve"> IASB</w:t>
      </w:r>
      <w:r>
        <w:rPr>
          <w:rFonts w:ascii="Calibri" w:hAnsi="Calibri" w:cs="Calibri"/>
          <w:sz w:val="22"/>
          <w:szCs w:val="20"/>
        </w:rPr>
        <w:t xml:space="preserve">, </w:t>
      </w:r>
      <w:r w:rsidRPr="00D81F06">
        <w:rPr>
          <w:rFonts w:ascii="Calibri" w:hAnsi="Calibri" w:cs="Calibri"/>
          <w:sz w:val="22"/>
          <w:szCs w:val="20"/>
        </w:rPr>
        <w:t>as well as for the presentation of such information in accordance with the standards issued by the Brazilian Securities and Exchange Commission (CVM), applicable to the preparation of ITR</w:t>
      </w:r>
      <w:r w:rsidRPr="00E8567E">
        <w:rPr>
          <w:rFonts w:ascii="Calibri" w:hAnsi="Calibri" w:cs="Calibri"/>
          <w:sz w:val="22"/>
          <w:szCs w:val="20"/>
        </w:rPr>
        <w:t xml:space="preserve">. </w:t>
      </w:r>
      <w:r w:rsidRPr="00E8567E">
        <w:rPr>
          <w:rFonts w:ascii="Calibri" w:hAnsi="Calibri" w:cs="Calibri"/>
          <w:color w:val="000000"/>
          <w:sz w:val="22"/>
          <w:szCs w:val="20"/>
          <w:lang w:eastAsia="pt-BR"/>
        </w:rPr>
        <w:t xml:space="preserve">Our responsibility is to express a conclusion on </w:t>
      </w:r>
      <w:r>
        <w:rPr>
          <w:rFonts w:ascii="Calibri" w:hAnsi="Calibri" w:cs="Calibri"/>
          <w:color w:val="000000"/>
          <w:sz w:val="22"/>
          <w:szCs w:val="20"/>
          <w:lang w:eastAsia="pt-BR"/>
        </w:rPr>
        <w:t xml:space="preserve">this </w:t>
      </w:r>
      <w:r w:rsidRPr="00E8567E">
        <w:rPr>
          <w:rFonts w:ascii="Calibri" w:hAnsi="Calibri" w:cs="Calibri"/>
          <w:color w:val="000000"/>
          <w:sz w:val="22"/>
          <w:szCs w:val="20"/>
          <w:lang w:eastAsia="pt-BR"/>
        </w:rPr>
        <w:t xml:space="preserve">interim financial </w:t>
      </w:r>
      <w:r>
        <w:rPr>
          <w:rFonts w:ascii="Calibri" w:hAnsi="Calibri" w:cs="Calibri"/>
          <w:sz w:val="22"/>
          <w:szCs w:val="20"/>
        </w:rPr>
        <w:t xml:space="preserve">information </w:t>
      </w:r>
      <w:r w:rsidRPr="00E8567E">
        <w:rPr>
          <w:rFonts w:ascii="Calibri" w:hAnsi="Calibri" w:cs="Calibri"/>
          <w:color w:val="000000"/>
          <w:sz w:val="22"/>
          <w:szCs w:val="20"/>
          <w:lang w:eastAsia="pt-BR"/>
        </w:rPr>
        <w:t>based on our review.</w:t>
      </w:r>
      <w:r>
        <w:rPr>
          <w:rFonts w:ascii="Calibri" w:hAnsi="Calibri" w:cs="Calibri"/>
          <w:color w:val="000000"/>
          <w:sz w:val="22"/>
          <w:szCs w:val="20"/>
          <w:lang w:eastAsia="pt-BR"/>
        </w:rPr>
        <w:t xml:space="preserve"> </w:t>
      </w:r>
    </w:p>
    <w:p w14:paraId="21FB238C" w14:textId="77777777" w:rsidR="000E51BC" w:rsidRPr="00E8567E" w:rsidRDefault="000E51BC" w:rsidP="000E51BC">
      <w:pPr>
        <w:pStyle w:val="Parecer"/>
        <w:widowControl w:val="0"/>
        <w:numPr>
          <w:ilvl w:val="0"/>
          <w:numId w:val="0"/>
        </w:numPr>
        <w:spacing w:after="200" w:line="240" w:lineRule="auto"/>
        <w:outlineLvl w:val="0"/>
        <w:rPr>
          <w:rFonts w:ascii="Calibri" w:hAnsi="Calibri" w:cs="Calibri"/>
          <w:color w:val="000000"/>
          <w:sz w:val="22"/>
          <w:szCs w:val="20"/>
        </w:rPr>
      </w:pPr>
      <w:bookmarkStart w:id="68" w:name="_Toc134823592"/>
      <w:r w:rsidRPr="00E8567E">
        <w:rPr>
          <w:rFonts w:ascii="Calibri" w:hAnsi="Calibri" w:cs="Calibri"/>
          <w:b/>
          <w:iCs/>
          <w:sz w:val="22"/>
          <w:szCs w:val="20"/>
        </w:rPr>
        <w:t>Scope of review</w:t>
      </w:r>
      <w:bookmarkEnd w:id="68"/>
    </w:p>
    <w:p w14:paraId="3A8F693B" w14:textId="77777777" w:rsidR="000E51BC" w:rsidRPr="00E8567E" w:rsidRDefault="000E51BC" w:rsidP="000E51BC">
      <w:pPr>
        <w:widowControl w:val="0"/>
        <w:autoSpaceDE w:val="0"/>
        <w:autoSpaceDN w:val="0"/>
        <w:adjustRightInd w:val="0"/>
        <w:spacing w:after="200"/>
        <w:rPr>
          <w:rFonts w:ascii="Calibri" w:hAnsi="Calibri" w:cs="Calibri"/>
          <w:sz w:val="22"/>
          <w:szCs w:val="20"/>
        </w:rPr>
      </w:pPr>
      <w:r w:rsidRPr="00E8567E">
        <w:rPr>
          <w:rFonts w:ascii="Calibri" w:hAnsi="Calibri" w:cs="Calibri"/>
          <w:sz w:val="22"/>
          <w:szCs w:val="20"/>
        </w:rPr>
        <w:t xml:space="preserve">We conducted our review in accordance with Brazilian and </w:t>
      </w:r>
      <w:r>
        <w:rPr>
          <w:rFonts w:ascii="Calibri" w:hAnsi="Calibri" w:cs="Calibri"/>
          <w:sz w:val="22"/>
          <w:szCs w:val="20"/>
        </w:rPr>
        <w:t>i</w:t>
      </w:r>
      <w:r w:rsidRPr="00E8567E">
        <w:rPr>
          <w:rFonts w:ascii="Calibri" w:hAnsi="Calibri" w:cs="Calibri"/>
          <w:sz w:val="22"/>
          <w:szCs w:val="20"/>
        </w:rPr>
        <w:t xml:space="preserve">nternational </w:t>
      </w:r>
      <w:r>
        <w:rPr>
          <w:rFonts w:ascii="Calibri" w:hAnsi="Calibri" w:cs="Calibri"/>
          <w:sz w:val="22"/>
          <w:szCs w:val="20"/>
        </w:rPr>
        <w:t>s</w:t>
      </w:r>
      <w:r w:rsidRPr="00E8567E">
        <w:rPr>
          <w:rFonts w:ascii="Calibri" w:hAnsi="Calibri" w:cs="Calibri"/>
          <w:sz w:val="22"/>
          <w:szCs w:val="20"/>
        </w:rPr>
        <w:t xml:space="preserve">tandards on </w:t>
      </w:r>
      <w:r>
        <w:rPr>
          <w:rFonts w:ascii="Calibri" w:hAnsi="Calibri" w:cs="Calibri"/>
          <w:sz w:val="22"/>
          <w:szCs w:val="20"/>
        </w:rPr>
        <w:t>r</w:t>
      </w:r>
      <w:r w:rsidRPr="00E8567E">
        <w:rPr>
          <w:rFonts w:ascii="Calibri" w:hAnsi="Calibri" w:cs="Calibri"/>
          <w:sz w:val="22"/>
          <w:szCs w:val="20"/>
        </w:rPr>
        <w:t xml:space="preserve">eview of </w:t>
      </w:r>
      <w:r>
        <w:rPr>
          <w:rFonts w:ascii="Calibri" w:hAnsi="Calibri" w:cs="Calibri"/>
          <w:sz w:val="22"/>
          <w:szCs w:val="20"/>
        </w:rPr>
        <w:t>i</w:t>
      </w:r>
      <w:r w:rsidRPr="00E8567E">
        <w:rPr>
          <w:rFonts w:ascii="Calibri" w:hAnsi="Calibri" w:cs="Calibri"/>
          <w:sz w:val="22"/>
          <w:szCs w:val="20"/>
        </w:rPr>
        <w:t xml:space="preserve">nterim </w:t>
      </w:r>
      <w:r>
        <w:rPr>
          <w:rFonts w:ascii="Calibri" w:hAnsi="Calibri" w:cs="Calibri"/>
          <w:sz w:val="22"/>
          <w:szCs w:val="20"/>
        </w:rPr>
        <w:t>f</w:t>
      </w:r>
      <w:r w:rsidRPr="00E8567E">
        <w:rPr>
          <w:rFonts w:ascii="Calibri" w:hAnsi="Calibri" w:cs="Calibri"/>
          <w:sz w:val="22"/>
          <w:szCs w:val="20"/>
        </w:rPr>
        <w:t xml:space="preserve">inancial </w:t>
      </w:r>
      <w:r>
        <w:rPr>
          <w:rFonts w:ascii="Calibri" w:hAnsi="Calibri" w:cs="Calibri"/>
          <w:sz w:val="22"/>
          <w:szCs w:val="20"/>
        </w:rPr>
        <w:t>Information</w:t>
      </w:r>
      <w:r w:rsidRPr="00E8567E">
        <w:rPr>
          <w:rFonts w:ascii="Calibri" w:hAnsi="Calibri" w:cs="Calibri"/>
          <w:sz w:val="22"/>
          <w:szCs w:val="20"/>
        </w:rPr>
        <w:t xml:space="preserve"> (NBC TR 2410 and ISRE 2410 - Review of Interim Financial Information Performed by the Independent Auditor of the Entity, respectively). A review of interim </w:t>
      </w:r>
      <w:r w:rsidRPr="00E8567E">
        <w:rPr>
          <w:rFonts w:ascii="Calibri" w:hAnsi="Calibri" w:cs="Calibri"/>
          <w:color w:val="000000"/>
          <w:sz w:val="22"/>
          <w:szCs w:val="20"/>
          <w:lang w:eastAsia="pt-BR"/>
        </w:rPr>
        <w:t xml:space="preserve">financial </w:t>
      </w:r>
      <w:r w:rsidRPr="00E8567E">
        <w:rPr>
          <w:rFonts w:ascii="Calibri" w:hAnsi="Calibri" w:cs="Calibri"/>
          <w:sz w:val="22"/>
          <w:szCs w:val="20"/>
        </w:rPr>
        <w:t>statements consists of making inquiries, primarily of persons responsible for financial and accounting matters, and applying analytical and other review procedures. A review is substantially less in scope than an audit conducted in accordance with</w:t>
      </w:r>
      <w:r>
        <w:rPr>
          <w:rFonts w:ascii="Calibri" w:hAnsi="Calibri" w:cs="Calibri"/>
          <w:sz w:val="22"/>
          <w:szCs w:val="20"/>
        </w:rPr>
        <w:t xml:space="preserve"> the</w:t>
      </w:r>
      <w:r w:rsidRPr="00E8567E">
        <w:rPr>
          <w:rFonts w:ascii="Calibri" w:hAnsi="Calibri" w:cs="Calibri"/>
          <w:sz w:val="22"/>
          <w:szCs w:val="20"/>
        </w:rPr>
        <w:t xml:space="preserve"> standards on auditing and, consequently, does not enable us to obtain assurance that we would become aware of all significant matters that might be identified in an audit. Accordingly, we do not express an audit opinion.</w:t>
      </w:r>
      <w:r>
        <w:rPr>
          <w:rFonts w:ascii="Calibri" w:hAnsi="Calibri" w:cs="Calibri"/>
          <w:sz w:val="22"/>
          <w:szCs w:val="20"/>
        </w:rPr>
        <w:t xml:space="preserve"> </w:t>
      </w:r>
    </w:p>
    <w:p w14:paraId="2AC4DF31" w14:textId="77777777" w:rsidR="000E51BC" w:rsidRPr="00E8567E" w:rsidRDefault="000E51BC" w:rsidP="000E51BC">
      <w:pPr>
        <w:pStyle w:val="Parecer"/>
        <w:widowControl w:val="0"/>
        <w:numPr>
          <w:ilvl w:val="0"/>
          <w:numId w:val="0"/>
        </w:numPr>
        <w:spacing w:after="200" w:line="240" w:lineRule="auto"/>
        <w:outlineLvl w:val="0"/>
        <w:rPr>
          <w:rFonts w:ascii="Calibri" w:hAnsi="Calibri" w:cs="Calibri"/>
          <w:b/>
          <w:iCs/>
          <w:sz w:val="22"/>
          <w:szCs w:val="20"/>
        </w:rPr>
      </w:pPr>
      <w:bookmarkStart w:id="69" w:name="_Toc134823593"/>
      <w:r w:rsidRPr="00E8567E">
        <w:rPr>
          <w:rFonts w:ascii="Calibri" w:hAnsi="Calibri" w:cs="Calibri"/>
          <w:b/>
          <w:iCs/>
          <w:sz w:val="22"/>
          <w:szCs w:val="20"/>
        </w:rPr>
        <w:t xml:space="preserve">Conclusion on the individual and consolidated interim financial </w:t>
      </w:r>
      <w:r>
        <w:rPr>
          <w:rFonts w:ascii="Calibri" w:hAnsi="Calibri" w:cs="Calibri"/>
          <w:b/>
          <w:iCs/>
          <w:sz w:val="22"/>
          <w:szCs w:val="20"/>
        </w:rPr>
        <w:t>information</w:t>
      </w:r>
      <w:bookmarkEnd w:id="69"/>
    </w:p>
    <w:p w14:paraId="5DB31DB6" w14:textId="77777777" w:rsidR="000E51BC" w:rsidRPr="00A83F53" w:rsidRDefault="000E51BC" w:rsidP="000E51BC">
      <w:pPr>
        <w:rPr>
          <w:rFonts w:ascii="Segoe UI" w:hAnsi="Segoe UI" w:cs="Segoe UI"/>
          <w:noProof/>
          <w:color w:val="000080"/>
          <w:sz w:val="8"/>
        </w:rPr>
      </w:pPr>
      <w:r w:rsidRPr="00E8567E">
        <w:rPr>
          <w:rFonts w:ascii="Calibri" w:hAnsi="Calibri" w:cs="Calibri"/>
          <w:sz w:val="22"/>
          <w:szCs w:val="20"/>
        </w:rPr>
        <w:t xml:space="preserve">Based on our review, nothing has come to our attention that causes us to believe that the individual and consolidated interim financial </w:t>
      </w:r>
      <w:r>
        <w:rPr>
          <w:rFonts w:ascii="Calibri" w:hAnsi="Calibri" w:cs="Calibri"/>
          <w:sz w:val="22"/>
          <w:szCs w:val="20"/>
        </w:rPr>
        <w:t>information included in the interim financial information referred to above has not been prepared</w:t>
      </w:r>
      <w:r w:rsidRPr="00E8567E">
        <w:rPr>
          <w:rFonts w:ascii="Calibri" w:hAnsi="Calibri" w:cs="Calibri"/>
          <w:sz w:val="22"/>
          <w:szCs w:val="20"/>
        </w:rPr>
        <w:t xml:space="preserve">, in all material respects, </w:t>
      </w:r>
      <w:r>
        <w:rPr>
          <w:rFonts w:ascii="Calibri" w:hAnsi="Calibri" w:cs="Calibri"/>
          <w:sz w:val="22"/>
          <w:szCs w:val="20"/>
        </w:rPr>
        <w:t xml:space="preserve">in accordance with </w:t>
      </w:r>
      <w:r w:rsidRPr="00D81F06">
        <w:rPr>
          <w:rFonts w:ascii="Calibri" w:hAnsi="Calibri" w:cs="Calibri"/>
          <w:sz w:val="22"/>
          <w:szCs w:val="20"/>
        </w:rPr>
        <w:t>technical pronouncement CPC 21 (R1) and international standard IAS 34 applicable to the preparation of ITR and presented in accordance with the standards issued by the CVM.</w:t>
      </w:r>
      <w:r>
        <w:rPr>
          <w:rFonts w:ascii="Calibri" w:hAnsi="Calibri" w:cs="Calibri"/>
          <w:sz w:val="22"/>
          <w:szCs w:val="20"/>
        </w:rPr>
        <w:t xml:space="preserve">  </w:t>
      </w:r>
      <w:r w:rsidRPr="00A83F53">
        <w:rPr>
          <w:rFonts w:ascii="Segoe UI" w:hAnsi="Segoe UI" w:cs="Segoe UI"/>
          <w:noProof/>
          <w:color w:val="000080"/>
          <w:sz w:val="8"/>
        </w:rPr>
        <w:t xml:space="preserve"> </w:t>
      </w:r>
    </w:p>
    <w:p w14:paraId="1E4D3F7D" w14:textId="77777777" w:rsidR="00246CB5" w:rsidRDefault="00246CB5" w:rsidP="000E51BC">
      <w:pPr>
        <w:widowControl w:val="0"/>
        <w:spacing w:after="200"/>
        <w:rPr>
          <w:rFonts w:ascii="Calibri" w:hAnsi="Calibri" w:cs="Calibri"/>
          <w:b/>
          <w:iCs/>
          <w:sz w:val="22"/>
          <w:szCs w:val="20"/>
        </w:rPr>
        <w:sectPr w:rsidR="00246CB5" w:rsidSect="000E51BC">
          <w:headerReference w:type="default" r:id="rId52"/>
          <w:type w:val="continuous"/>
          <w:pgSz w:w="11906" w:h="16838" w:code="9"/>
          <w:pgMar w:top="1134" w:right="1134" w:bottom="851" w:left="1134" w:header="851" w:footer="284" w:gutter="0"/>
          <w:cols w:space="708"/>
          <w:docGrid w:linePitch="360"/>
        </w:sectPr>
      </w:pPr>
    </w:p>
    <w:p w14:paraId="012B3640" w14:textId="77777777" w:rsidR="00206D2C" w:rsidRDefault="00206D2C" w:rsidP="000E51BC">
      <w:pPr>
        <w:widowControl w:val="0"/>
        <w:spacing w:after="200"/>
        <w:rPr>
          <w:rFonts w:ascii="Calibri" w:hAnsi="Calibri" w:cs="Calibri"/>
          <w:b/>
          <w:iCs/>
          <w:sz w:val="22"/>
          <w:szCs w:val="20"/>
        </w:rPr>
      </w:pPr>
    </w:p>
    <w:p w14:paraId="5F976318" w14:textId="1703A059" w:rsidR="000E51BC" w:rsidRPr="00E8567E" w:rsidRDefault="000E51BC" w:rsidP="000E51BC">
      <w:pPr>
        <w:widowControl w:val="0"/>
        <w:spacing w:after="200"/>
        <w:rPr>
          <w:rFonts w:ascii="Calibri" w:hAnsi="Calibri" w:cs="Calibri"/>
          <w:b/>
          <w:iCs/>
          <w:sz w:val="22"/>
          <w:szCs w:val="20"/>
        </w:rPr>
      </w:pPr>
      <w:r w:rsidRPr="00E8567E">
        <w:rPr>
          <w:rFonts w:ascii="Calibri" w:hAnsi="Calibri" w:cs="Calibri"/>
          <w:b/>
          <w:iCs/>
          <w:sz w:val="22"/>
          <w:szCs w:val="20"/>
        </w:rPr>
        <w:t>Other matter</w:t>
      </w:r>
      <w:r>
        <w:rPr>
          <w:rFonts w:ascii="Calibri" w:hAnsi="Calibri" w:cs="Calibri"/>
          <w:b/>
          <w:iCs/>
          <w:sz w:val="22"/>
          <w:szCs w:val="20"/>
        </w:rPr>
        <w:t>s</w:t>
      </w:r>
    </w:p>
    <w:p w14:paraId="4DC184C2" w14:textId="77777777" w:rsidR="000E51BC" w:rsidRPr="00E8567E" w:rsidRDefault="000E51BC" w:rsidP="000E51BC">
      <w:pPr>
        <w:pStyle w:val="Parecer"/>
        <w:widowControl w:val="0"/>
        <w:numPr>
          <w:ilvl w:val="0"/>
          <w:numId w:val="0"/>
        </w:numPr>
        <w:spacing w:after="200" w:line="240" w:lineRule="auto"/>
        <w:rPr>
          <w:rFonts w:ascii="Calibri" w:hAnsi="Calibri" w:cs="Calibri"/>
          <w:i/>
          <w:iCs/>
          <w:sz w:val="22"/>
          <w:szCs w:val="20"/>
        </w:rPr>
      </w:pPr>
      <w:r w:rsidRPr="00E8567E">
        <w:rPr>
          <w:rFonts w:ascii="Calibri" w:hAnsi="Calibri" w:cs="Calibri"/>
          <w:i/>
          <w:iCs/>
          <w:sz w:val="22"/>
          <w:szCs w:val="20"/>
        </w:rPr>
        <w:t>Statements of value added</w:t>
      </w:r>
    </w:p>
    <w:p w14:paraId="140ED5AE" w14:textId="77777777" w:rsidR="000E51BC" w:rsidRPr="00E8567E" w:rsidRDefault="000E51BC" w:rsidP="000E51BC">
      <w:pPr>
        <w:pStyle w:val="Parecer"/>
        <w:widowControl w:val="0"/>
        <w:numPr>
          <w:ilvl w:val="0"/>
          <w:numId w:val="0"/>
        </w:numPr>
        <w:spacing w:after="200" w:line="240" w:lineRule="auto"/>
        <w:rPr>
          <w:rFonts w:ascii="Calibri" w:hAnsi="Calibri" w:cs="Calibri"/>
          <w:sz w:val="22"/>
          <w:szCs w:val="20"/>
        </w:rPr>
      </w:pPr>
      <w:r w:rsidRPr="000F417C">
        <w:rPr>
          <w:rFonts w:ascii="Calibri" w:hAnsi="Calibri" w:cs="Calibri"/>
          <w:sz w:val="22"/>
          <w:szCs w:val="22"/>
        </w:rPr>
        <w:t>The interim financial information referred to above includes the individual and consolidated statements of value added (“DVA”) for the three-month period ended March 31, 2023, prepared under the responsibility of the Company’s Executive Board and presented as supplemental information for purposes of international standard IAS 34. These statements were subject to review procedures performed together with the review of the ITR to reach a conclusion on whether they are reconciled with the interim financial information and the accounting records, as applicable, and if their form and content are consistent with the criteria set forth in technical pronouncement CPC 09 - Statement of Value Added.</w:t>
      </w:r>
      <w:r w:rsidRPr="00BB18C4">
        <w:rPr>
          <w:rFonts w:ascii="Calibri" w:hAnsi="Calibri" w:cs="Calibri"/>
          <w:sz w:val="22"/>
          <w:szCs w:val="22"/>
        </w:rPr>
        <w:t xml:space="preserve"> </w:t>
      </w:r>
      <w:r w:rsidRPr="000F417C">
        <w:rPr>
          <w:rFonts w:ascii="Calibri" w:hAnsi="Calibri" w:cs="Calibri"/>
          <w:sz w:val="22"/>
          <w:szCs w:val="22"/>
        </w:rPr>
        <w:t>Based on our review, nothing has come to our attention that causes us to believe that these statements of value added were not prepared, in all material respects, in accordance with CPC 09 and consistently with the accompanying individual and consolidated interim financial information taken as a whole</w:t>
      </w:r>
      <w:r w:rsidRPr="00E8567E">
        <w:rPr>
          <w:rFonts w:ascii="Calibri" w:hAnsi="Calibri" w:cs="Calibri"/>
          <w:sz w:val="22"/>
          <w:szCs w:val="20"/>
        </w:rPr>
        <w:t>.</w:t>
      </w:r>
    </w:p>
    <w:p w14:paraId="18282777" w14:textId="77777777" w:rsidR="000E51BC" w:rsidRPr="00E8567E" w:rsidRDefault="000E51BC" w:rsidP="000E51BC">
      <w:pPr>
        <w:pStyle w:val="Parecer"/>
        <w:widowControl w:val="0"/>
        <w:numPr>
          <w:ilvl w:val="0"/>
          <w:numId w:val="0"/>
        </w:numPr>
        <w:spacing w:after="200" w:line="240" w:lineRule="auto"/>
        <w:rPr>
          <w:rFonts w:ascii="Calibri" w:hAnsi="Calibri" w:cs="Calibri"/>
          <w:sz w:val="22"/>
          <w:szCs w:val="20"/>
        </w:rPr>
      </w:pPr>
      <w:r w:rsidRPr="00E8567E">
        <w:rPr>
          <w:rFonts w:ascii="Calibri" w:hAnsi="Calibri" w:cs="Calibri"/>
          <w:sz w:val="22"/>
          <w:szCs w:val="20"/>
        </w:rPr>
        <w:t xml:space="preserve">The accompanying individual and consolidated </w:t>
      </w:r>
      <w:r w:rsidRPr="00E8567E">
        <w:rPr>
          <w:rFonts w:ascii="Calibri" w:hAnsi="Calibri" w:cs="Calibri"/>
          <w:iCs/>
          <w:sz w:val="22"/>
          <w:szCs w:val="20"/>
        </w:rPr>
        <w:t xml:space="preserve">interim </w:t>
      </w:r>
      <w:r w:rsidRPr="00E8567E">
        <w:rPr>
          <w:rFonts w:ascii="Calibri" w:hAnsi="Calibri" w:cs="Calibri"/>
          <w:sz w:val="22"/>
          <w:szCs w:val="20"/>
        </w:rPr>
        <w:t xml:space="preserve">financial </w:t>
      </w:r>
      <w:r>
        <w:rPr>
          <w:rFonts w:ascii="Calibri" w:hAnsi="Calibri" w:cs="Calibri"/>
          <w:sz w:val="22"/>
          <w:szCs w:val="20"/>
        </w:rPr>
        <w:t xml:space="preserve">information has </w:t>
      </w:r>
      <w:r w:rsidRPr="00E8567E">
        <w:rPr>
          <w:rFonts w:ascii="Calibri" w:hAnsi="Calibri" w:cs="Calibri"/>
          <w:sz w:val="22"/>
          <w:szCs w:val="20"/>
        </w:rPr>
        <w:t>been translated into English for the convenience of readers outside Brazil.</w:t>
      </w:r>
    </w:p>
    <w:p w14:paraId="577EBCFF" w14:textId="77777777" w:rsidR="000E51BC" w:rsidRPr="00E8567E" w:rsidRDefault="000E51BC" w:rsidP="000E51BC">
      <w:pPr>
        <w:pStyle w:val="17TEXTOcorpojustificado"/>
        <w:widowControl w:val="0"/>
        <w:spacing w:after="600" w:line="240" w:lineRule="auto"/>
        <w:jc w:val="left"/>
        <w:outlineLvl w:val="0"/>
        <w:rPr>
          <w:rFonts w:ascii="Calibri" w:hAnsi="Calibri" w:cs="Calibri"/>
        </w:rPr>
      </w:pPr>
      <w:bookmarkStart w:id="70" w:name="_Toc134823594"/>
      <w:r w:rsidRPr="00E8567E">
        <w:rPr>
          <w:rFonts w:ascii="Calibri" w:hAnsi="Calibri" w:cs="Calibri"/>
        </w:rPr>
        <w:t xml:space="preserve">Brasília, </w:t>
      </w:r>
      <w:r>
        <w:rPr>
          <w:rFonts w:ascii="Calibri" w:hAnsi="Calibri" w:cs="Calibri"/>
        </w:rPr>
        <w:t>May</w:t>
      </w:r>
      <w:r w:rsidRPr="00E8567E">
        <w:rPr>
          <w:rFonts w:ascii="Calibri" w:hAnsi="Calibri" w:cs="Calibri"/>
        </w:rPr>
        <w:t xml:space="preserve"> </w:t>
      </w:r>
      <w:r>
        <w:rPr>
          <w:rFonts w:ascii="Calibri" w:hAnsi="Calibri" w:cs="Calibri"/>
        </w:rPr>
        <w:t>12</w:t>
      </w:r>
      <w:r w:rsidRPr="00E8567E">
        <w:rPr>
          <w:rFonts w:ascii="Calibri" w:hAnsi="Calibri" w:cs="Calibri"/>
        </w:rPr>
        <w:t>, 202</w:t>
      </w:r>
      <w:r>
        <w:rPr>
          <w:rFonts w:ascii="Calibri" w:hAnsi="Calibri" w:cs="Calibri"/>
        </w:rPr>
        <w:t>3</w:t>
      </w:r>
      <w:bookmarkEnd w:id="70"/>
    </w:p>
    <w:tbl>
      <w:tblPr>
        <w:tblW w:w="9752" w:type="dxa"/>
        <w:tblInd w:w="-113" w:type="dxa"/>
        <w:tblLayout w:type="fixed"/>
        <w:tblCellMar>
          <w:left w:w="113" w:type="dxa"/>
          <w:right w:w="113" w:type="dxa"/>
        </w:tblCellMar>
        <w:tblLook w:val="0000" w:firstRow="0" w:lastRow="0" w:firstColumn="0" w:lastColumn="0" w:noHBand="0" w:noVBand="0"/>
      </w:tblPr>
      <w:tblGrid>
        <w:gridCol w:w="7059"/>
        <w:gridCol w:w="2693"/>
      </w:tblGrid>
      <w:tr w:rsidR="000E51BC" w:rsidRPr="00E8567E" w14:paraId="3B31FF47" w14:textId="77777777" w:rsidTr="005E6007">
        <w:tc>
          <w:tcPr>
            <w:tcW w:w="7059" w:type="dxa"/>
          </w:tcPr>
          <w:p w14:paraId="34256864" w14:textId="77777777" w:rsidR="000E51BC" w:rsidRPr="00E8567E" w:rsidRDefault="000E51BC" w:rsidP="005E6007">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DELOITTE TOUCHE TOHMATSU</w:t>
            </w:r>
          </w:p>
        </w:tc>
        <w:tc>
          <w:tcPr>
            <w:tcW w:w="2693" w:type="dxa"/>
          </w:tcPr>
          <w:p w14:paraId="1A22916F" w14:textId="77777777" w:rsidR="000E51BC" w:rsidRPr="00E8567E" w:rsidRDefault="000E51BC" w:rsidP="005E6007">
            <w:pPr>
              <w:pStyle w:val="Normal1"/>
              <w:widowControl w:val="0"/>
              <w:spacing w:after="0" w:line="240" w:lineRule="auto"/>
              <w:ind w:left="1" w:hanging="1"/>
              <w:jc w:val="left"/>
              <w:rPr>
                <w:rFonts w:ascii="Calibri" w:hAnsi="Calibri" w:cs="Calibri"/>
                <w:sz w:val="22"/>
                <w:szCs w:val="20"/>
              </w:rPr>
            </w:pPr>
            <w:r w:rsidRPr="00E8567E">
              <w:rPr>
                <w:rFonts w:ascii="Calibri" w:eastAsia="Calibri" w:hAnsi="Calibri" w:cs="Calibri"/>
                <w:color w:val="000000"/>
                <w:sz w:val="22"/>
              </w:rPr>
              <w:t>Roberto Paulo Kenedi</w:t>
            </w:r>
          </w:p>
        </w:tc>
      </w:tr>
      <w:tr w:rsidR="000E51BC" w:rsidRPr="00E8567E" w14:paraId="604BB813" w14:textId="77777777" w:rsidTr="005E6007">
        <w:tc>
          <w:tcPr>
            <w:tcW w:w="7059" w:type="dxa"/>
          </w:tcPr>
          <w:p w14:paraId="081B2A3A" w14:textId="77777777" w:rsidR="000E51BC" w:rsidRPr="00E8567E" w:rsidRDefault="000E51BC" w:rsidP="005E6007">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Auditores Independentes Ltda.</w:t>
            </w:r>
          </w:p>
        </w:tc>
        <w:tc>
          <w:tcPr>
            <w:tcW w:w="2693" w:type="dxa"/>
          </w:tcPr>
          <w:p w14:paraId="152FA7F9" w14:textId="77777777" w:rsidR="000E51BC" w:rsidRPr="00E8567E" w:rsidRDefault="000E51BC" w:rsidP="005E6007">
            <w:pPr>
              <w:pStyle w:val="Normal1"/>
              <w:widowControl w:val="0"/>
              <w:spacing w:after="0" w:line="240" w:lineRule="auto"/>
              <w:ind w:left="1" w:hanging="1"/>
              <w:jc w:val="left"/>
              <w:rPr>
                <w:rFonts w:ascii="Calibri" w:hAnsi="Calibri" w:cs="Calibri"/>
                <w:sz w:val="22"/>
                <w:szCs w:val="20"/>
              </w:rPr>
            </w:pPr>
            <w:r w:rsidRPr="00E8567E">
              <w:rPr>
                <w:rFonts w:ascii="Calibri" w:hAnsi="Calibri" w:cs="Calibri"/>
                <w:sz w:val="22"/>
                <w:szCs w:val="20"/>
              </w:rPr>
              <w:t>Engagement Partner</w:t>
            </w:r>
          </w:p>
        </w:tc>
      </w:tr>
    </w:tbl>
    <w:p w14:paraId="53E188B8" w14:textId="77777777" w:rsidR="000E51BC" w:rsidRDefault="000E51BC" w:rsidP="000E51BC">
      <w:pPr>
        <w:rPr>
          <w:rFonts w:ascii="Calibri" w:hAnsi="Calibri" w:cs="Calibri"/>
          <w:sz w:val="22"/>
          <w:szCs w:val="10"/>
        </w:rPr>
      </w:pPr>
    </w:p>
    <w:p w14:paraId="0E46D031" w14:textId="77777777" w:rsidR="000E51BC" w:rsidRPr="002865DF" w:rsidRDefault="000E51BC" w:rsidP="000E51BC">
      <w:pPr>
        <w:rPr>
          <w:rFonts w:ascii="Calibri" w:hAnsi="Calibri" w:cs="Calibri"/>
          <w:sz w:val="12"/>
          <w:szCs w:val="12"/>
        </w:rPr>
      </w:pPr>
    </w:p>
    <w:p w14:paraId="4DAD9701" w14:textId="77777777" w:rsidR="000E51BC" w:rsidRDefault="000E51BC" w:rsidP="000E51BC">
      <w:pPr>
        <w:rPr>
          <w:rFonts w:ascii="Calibri" w:hAnsi="Calibri" w:cs="Calibri"/>
          <w:sz w:val="22"/>
          <w:szCs w:val="10"/>
        </w:rPr>
      </w:pPr>
    </w:p>
    <w:p w14:paraId="1786EBD7" w14:textId="77777777" w:rsidR="000E51BC" w:rsidRPr="006D1484" w:rsidRDefault="000E51BC" w:rsidP="000E51BC">
      <w:pPr>
        <w:rPr>
          <w:rFonts w:ascii="Calibri" w:hAnsi="Calibri" w:cs="Calibri"/>
          <w:sz w:val="22"/>
          <w:szCs w:val="10"/>
        </w:rPr>
      </w:pPr>
    </w:p>
    <w:p w14:paraId="2E124EDB" w14:textId="77777777" w:rsidR="000E51BC" w:rsidRPr="006D1484" w:rsidRDefault="000E51BC" w:rsidP="000E51BC">
      <w:pPr>
        <w:rPr>
          <w:rFonts w:ascii="Calibri" w:hAnsi="Calibri" w:cs="Calibri"/>
          <w:sz w:val="22"/>
          <w:szCs w:val="10"/>
        </w:rPr>
      </w:pPr>
    </w:p>
    <w:p w14:paraId="0F67E06F" w14:textId="77777777" w:rsidR="000E51BC" w:rsidRPr="006D1484" w:rsidRDefault="000E51BC" w:rsidP="000E51BC">
      <w:pPr>
        <w:rPr>
          <w:rFonts w:ascii="Calibri" w:hAnsi="Calibri" w:cs="Calibri"/>
          <w:sz w:val="22"/>
          <w:szCs w:val="10"/>
        </w:rPr>
      </w:pPr>
    </w:p>
    <w:p w14:paraId="1F19B0A2" w14:textId="77777777" w:rsidR="000E51BC" w:rsidRPr="006D1484" w:rsidRDefault="000E51BC" w:rsidP="000E51BC">
      <w:pPr>
        <w:rPr>
          <w:rFonts w:ascii="Calibri" w:hAnsi="Calibri" w:cs="Calibri"/>
          <w:sz w:val="22"/>
          <w:szCs w:val="10"/>
        </w:rPr>
      </w:pPr>
    </w:p>
    <w:p w14:paraId="3799F412" w14:textId="77777777" w:rsidR="000E51BC" w:rsidRPr="006D1484" w:rsidRDefault="000E51BC" w:rsidP="000E51BC">
      <w:pPr>
        <w:rPr>
          <w:rFonts w:ascii="Calibri" w:hAnsi="Calibri" w:cs="Calibri"/>
          <w:sz w:val="22"/>
          <w:szCs w:val="10"/>
        </w:rPr>
      </w:pPr>
    </w:p>
    <w:p w14:paraId="28351960" w14:textId="77777777" w:rsidR="000E51BC" w:rsidRPr="006D1484" w:rsidRDefault="000E51BC" w:rsidP="000E51BC">
      <w:pPr>
        <w:rPr>
          <w:rFonts w:ascii="Calibri" w:hAnsi="Calibri" w:cs="Calibri"/>
          <w:sz w:val="22"/>
          <w:szCs w:val="10"/>
        </w:rPr>
      </w:pPr>
    </w:p>
    <w:p w14:paraId="181B529E" w14:textId="77777777" w:rsidR="000E51BC" w:rsidRPr="006D1484" w:rsidRDefault="000E51BC" w:rsidP="000E51BC">
      <w:pPr>
        <w:rPr>
          <w:rFonts w:ascii="Calibri" w:hAnsi="Calibri" w:cs="Calibri"/>
          <w:sz w:val="22"/>
          <w:szCs w:val="10"/>
        </w:rPr>
      </w:pPr>
    </w:p>
    <w:p w14:paraId="6B3D2999" w14:textId="77777777" w:rsidR="000E51BC" w:rsidRPr="006D1484" w:rsidRDefault="000E51BC" w:rsidP="000E51BC">
      <w:pPr>
        <w:rPr>
          <w:rFonts w:ascii="Calibri" w:hAnsi="Calibri" w:cs="Calibri"/>
          <w:sz w:val="22"/>
          <w:szCs w:val="10"/>
        </w:rPr>
      </w:pPr>
    </w:p>
    <w:p w14:paraId="2471C73F" w14:textId="77777777" w:rsidR="000E51BC" w:rsidRPr="006D1484" w:rsidRDefault="000E51BC" w:rsidP="000E51BC">
      <w:pPr>
        <w:rPr>
          <w:rFonts w:ascii="Calibri" w:hAnsi="Calibri" w:cs="Calibri"/>
          <w:sz w:val="22"/>
          <w:szCs w:val="10"/>
        </w:rPr>
      </w:pPr>
    </w:p>
    <w:p w14:paraId="3BF58EAF" w14:textId="77777777" w:rsidR="000E51BC" w:rsidRPr="006D1484" w:rsidRDefault="000E51BC" w:rsidP="000E51BC">
      <w:pPr>
        <w:rPr>
          <w:rFonts w:ascii="Calibri" w:hAnsi="Calibri" w:cs="Calibri"/>
          <w:sz w:val="22"/>
          <w:szCs w:val="10"/>
        </w:rPr>
      </w:pPr>
    </w:p>
    <w:p w14:paraId="493B052C" w14:textId="77777777" w:rsidR="000E51BC" w:rsidRPr="006D1484" w:rsidRDefault="000E51BC" w:rsidP="000E51BC">
      <w:pPr>
        <w:tabs>
          <w:tab w:val="left" w:pos="3570"/>
        </w:tabs>
        <w:rPr>
          <w:rFonts w:ascii="Calibri" w:hAnsi="Calibri" w:cs="Calibri"/>
          <w:sz w:val="22"/>
          <w:szCs w:val="10"/>
        </w:rPr>
      </w:pPr>
      <w:r>
        <w:rPr>
          <w:rFonts w:ascii="Calibri" w:hAnsi="Calibri" w:cs="Calibri"/>
          <w:sz w:val="22"/>
          <w:szCs w:val="10"/>
        </w:rPr>
        <w:tab/>
      </w:r>
    </w:p>
    <w:p w14:paraId="6CE0327A" w14:textId="77777777" w:rsidR="00246CB5" w:rsidRDefault="00246CB5" w:rsidP="000E51BC">
      <w:pPr>
        <w:sectPr w:rsidR="00246CB5" w:rsidSect="00246CB5">
          <w:headerReference w:type="default" r:id="rId53"/>
          <w:footerReference w:type="default" r:id="rId54"/>
          <w:pgSz w:w="11906" w:h="16838" w:code="9"/>
          <w:pgMar w:top="1134" w:right="1134" w:bottom="851" w:left="1134" w:header="851" w:footer="284" w:gutter="0"/>
          <w:cols w:space="708"/>
          <w:docGrid w:linePitch="360"/>
        </w:sectPr>
      </w:pPr>
    </w:p>
    <w:p w14:paraId="5DFA8E75" w14:textId="77777777" w:rsidR="000E51BC" w:rsidRDefault="000E51BC" w:rsidP="000E51BC"/>
    <w:p w14:paraId="267E89F5" w14:textId="2626BE7C" w:rsidR="00B84747" w:rsidRDefault="00B84747" w:rsidP="00D20E66">
      <w:pPr>
        <w:pStyle w:val="Ttulo2"/>
        <w:jc w:val="both"/>
        <w:rPr>
          <w:rFonts w:ascii="Arial" w:hAnsi="Arial" w:cs="Arial"/>
          <w:b/>
          <w:bCs/>
          <w:color w:val="1F4E79" w:themeColor="accent1" w:themeShade="80"/>
          <w:sz w:val="20"/>
          <w:szCs w:val="20"/>
        </w:rPr>
      </w:pPr>
    </w:p>
    <w:p w14:paraId="5F7F48A7" w14:textId="77777777" w:rsidR="00B84747" w:rsidRPr="00794410" w:rsidRDefault="00B84747" w:rsidP="00D20E66">
      <w:pPr>
        <w:pStyle w:val="Ttulo2"/>
        <w:jc w:val="both"/>
        <w:rPr>
          <w:rFonts w:ascii="Arial" w:hAnsi="Arial" w:cs="Arial"/>
          <w:b/>
          <w:bCs/>
          <w:color w:val="1F4E79" w:themeColor="accent1" w:themeShade="80"/>
          <w:sz w:val="20"/>
          <w:szCs w:val="20"/>
          <w:lang w:val="en-US"/>
        </w:rPr>
      </w:pPr>
      <w:r w:rsidRPr="00794410">
        <w:rPr>
          <w:rFonts w:ascii="Arial" w:hAnsi="Arial" w:cs="Arial"/>
          <w:b/>
          <w:bCs/>
          <w:color w:val="1F4E79" w:themeColor="accent1" w:themeShade="80"/>
          <w:sz w:val="20"/>
          <w:szCs w:val="20"/>
          <w:lang w:val="en-US"/>
        </w:rPr>
        <w:t>DECLARATION OF THE MEMBERS OF THE EXECUTIVE BOARD ABOUT THE FINANCIAL STATEMENTS</w:t>
      </w:r>
    </w:p>
    <w:p w14:paraId="311327E7" w14:textId="77777777" w:rsidR="00B84747" w:rsidRPr="00B15CC5" w:rsidRDefault="00B84747" w:rsidP="00451954">
      <w:pPr>
        <w:spacing w:after="0" w:line="240" w:lineRule="auto"/>
        <w:jc w:val="both"/>
        <w:rPr>
          <w:rFonts w:eastAsia="Times New Roman" w:cs="Times New Roman"/>
          <w:kern w:val="20"/>
          <w:sz w:val="20"/>
          <w:szCs w:val="20"/>
          <w:lang w:val="en-US" w:eastAsia="en-GB"/>
        </w:rPr>
      </w:pPr>
    </w:p>
    <w:p w14:paraId="46EE9EB6" w14:textId="77777777" w:rsidR="00B84747" w:rsidRPr="0021556C" w:rsidRDefault="00B84747" w:rsidP="00451954">
      <w:pPr>
        <w:pStyle w:val="Body"/>
        <w:spacing w:after="0" w:line="240" w:lineRule="auto"/>
        <w:rPr>
          <w:sz w:val="18"/>
          <w:szCs w:val="18"/>
          <w:lang w:val="en-US"/>
        </w:rPr>
      </w:pPr>
      <w:r w:rsidRPr="0021556C">
        <w:rPr>
          <w:sz w:val="18"/>
          <w:szCs w:val="18"/>
          <w:lang w:val="en-US"/>
        </w:rPr>
        <w:t xml:space="preserve">In accordance with </w:t>
      </w:r>
      <w:r>
        <w:rPr>
          <w:sz w:val="18"/>
          <w:szCs w:val="18"/>
          <w:lang w:val="en-US"/>
        </w:rPr>
        <w:t>A</w:t>
      </w:r>
      <w:r w:rsidRPr="0021556C">
        <w:rPr>
          <w:sz w:val="18"/>
          <w:szCs w:val="18"/>
          <w:lang w:val="en-US"/>
        </w:rPr>
        <w:t xml:space="preserve">rticle </w:t>
      </w:r>
      <w:r>
        <w:rPr>
          <w:sz w:val="18"/>
          <w:szCs w:val="18"/>
          <w:lang w:val="en-US"/>
        </w:rPr>
        <w:t>27</w:t>
      </w:r>
      <w:r w:rsidRPr="0021556C">
        <w:rPr>
          <w:sz w:val="18"/>
          <w:szCs w:val="18"/>
          <w:lang w:val="en-US"/>
        </w:rPr>
        <w:t xml:space="preserve"> of CVM Rule 80, dated </w:t>
      </w:r>
      <w:r>
        <w:rPr>
          <w:sz w:val="18"/>
          <w:szCs w:val="18"/>
          <w:lang w:val="en-US"/>
        </w:rPr>
        <w:t>March</w:t>
      </w:r>
      <w:r w:rsidRPr="0021556C">
        <w:rPr>
          <w:sz w:val="18"/>
          <w:szCs w:val="18"/>
          <w:lang w:val="en-US"/>
        </w:rPr>
        <w:t xml:space="preserve"> </w:t>
      </w:r>
      <w:r>
        <w:rPr>
          <w:sz w:val="18"/>
          <w:szCs w:val="18"/>
          <w:lang w:val="en-US"/>
        </w:rPr>
        <w:t>29</w:t>
      </w:r>
      <w:r w:rsidRPr="0021556C">
        <w:rPr>
          <w:sz w:val="18"/>
          <w:szCs w:val="18"/>
          <w:lang w:val="en-US"/>
        </w:rPr>
        <w:t>, 20</w:t>
      </w:r>
      <w:r>
        <w:rPr>
          <w:sz w:val="18"/>
          <w:szCs w:val="18"/>
          <w:lang w:val="en-US"/>
        </w:rPr>
        <w:t>22</w:t>
      </w:r>
      <w:r w:rsidRPr="0021556C">
        <w:rPr>
          <w:sz w:val="18"/>
          <w:szCs w:val="18"/>
          <w:lang w:val="en-US"/>
        </w:rPr>
        <w:t xml:space="preserve">, I declare that I have reviewed the Financial Statements for the </w:t>
      </w:r>
      <w:r>
        <w:rPr>
          <w:sz w:val="18"/>
          <w:szCs w:val="18"/>
          <w:lang w:val="en-US"/>
        </w:rPr>
        <w:t>fiscal year</w:t>
      </w:r>
      <w:r w:rsidRPr="0021556C">
        <w:rPr>
          <w:sz w:val="18"/>
          <w:szCs w:val="18"/>
          <w:lang w:val="en-US"/>
        </w:rPr>
        <w:t xml:space="preserve"> ended on </w:t>
      </w:r>
      <w:r>
        <w:rPr>
          <w:sz w:val="18"/>
          <w:szCs w:val="18"/>
          <w:lang w:val="en-US"/>
        </w:rPr>
        <w:t>March 31</w:t>
      </w:r>
      <w:r w:rsidRPr="0021556C">
        <w:rPr>
          <w:sz w:val="18"/>
          <w:szCs w:val="18"/>
          <w:lang w:val="en-US"/>
        </w:rPr>
        <w:t>, 202</w:t>
      </w:r>
      <w:r>
        <w:rPr>
          <w:sz w:val="18"/>
          <w:szCs w:val="18"/>
          <w:lang w:val="en-US"/>
        </w:rPr>
        <w:t>3,</w:t>
      </w:r>
      <w:r w:rsidRPr="0021556C">
        <w:rPr>
          <w:sz w:val="18"/>
          <w:szCs w:val="18"/>
          <w:lang w:val="en-US"/>
        </w:rPr>
        <w:t xml:space="preserve"> of the BB Seguridade Participações S.A. and, based on subsequent discussions, I agree that such statements reflect fairly, in all material respects, the financial position for the period presented.</w:t>
      </w:r>
    </w:p>
    <w:p w14:paraId="4B4B8522" w14:textId="77777777" w:rsidR="00B84747" w:rsidRDefault="00B84747" w:rsidP="00451954">
      <w:pPr>
        <w:pStyle w:val="Body"/>
        <w:tabs>
          <w:tab w:val="left" w:pos="2393"/>
        </w:tabs>
        <w:spacing w:after="0" w:line="240" w:lineRule="auto"/>
        <w:rPr>
          <w:sz w:val="18"/>
          <w:szCs w:val="18"/>
          <w:lang w:val="en-US"/>
        </w:rPr>
      </w:pPr>
    </w:p>
    <w:p w14:paraId="2B3F3B1A" w14:textId="77777777" w:rsidR="00B84747" w:rsidRPr="0021556C" w:rsidRDefault="00B84747" w:rsidP="00451954">
      <w:pPr>
        <w:pStyle w:val="Body"/>
        <w:spacing w:after="0" w:line="240" w:lineRule="auto"/>
        <w:rPr>
          <w:sz w:val="18"/>
          <w:szCs w:val="18"/>
          <w:lang w:val="en-US"/>
        </w:rPr>
      </w:pPr>
    </w:p>
    <w:p w14:paraId="33CB0E71" w14:textId="77777777" w:rsidR="00B84747" w:rsidRPr="00794410" w:rsidRDefault="00B84747" w:rsidP="00451954">
      <w:pPr>
        <w:pStyle w:val="Body"/>
        <w:spacing w:after="0" w:line="240" w:lineRule="auto"/>
        <w:rPr>
          <w:sz w:val="18"/>
          <w:szCs w:val="18"/>
          <w:lang w:val="en-US"/>
        </w:rPr>
      </w:pPr>
      <w:r w:rsidRPr="00794410">
        <w:rPr>
          <w:sz w:val="18"/>
          <w:szCs w:val="18"/>
          <w:lang w:val="en-US"/>
        </w:rPr>
        <w:t xml:space="preserve">Brasília, </w:t>
      </w:r>
      <w:bookmarkStart w:id="71" w:name="_Hlk78441283"/>
      <w:r>
        <w:rPr>
          <w:sz w:val="18"/>
          <w:szCs w:val="18"/>
          <w:lang w:val="en-US"/>
        </w:rPr>
        <w:t>May 12, 2023</w:t>
      </w:r>
      <w:bookmarkEnd w:id="71"/>
      <w:r w:rsidRPr="00794410">
        <w:rPr>
          <w:sz w:val="18"/>
          <w:szCs w:val="18"/>
          <w:lang w:val="en-US"/>
        </w:rPr>
        <w:t>.</w:t>
      </w:r>
    </w:p>
    <w:p w14:paraId="0FF5CF28" w14:textId="77777777" w:rsidR="00B84747" w:rsidRPr="00794410" w:rsidRDefault="00B84747" w:rsidP="00451954">
      <w:pPr>
        <w:pStyle w:val="Body"/>
        <w:tabs>
          <w:tab w:val="left" w:pos="3083"/>
        </w:tabs>
        <w:spacing w:after="0" w:line="240" w:lineRule="auto"/>
        <w:rPr>
          <w:sz w:val="18"/>
          <w:szCs w:val="18"/>
          <w:lang w:val="en-US"/>
        </w:rPr>
      </w:pPr>
    </w:p>
    <w:p w14:paraId="6418FDA8" w14:textId="77777777" w:rsidR="00B84747" w:rsidRPr="00794410" w:rsidRDefault="00B84747" w:rsidP="00451954">
      <w:pPr>
        <w:pStyle w:val="Body"/>
        <w:tabs>
          <w:tab w:val="left" w:pos="3083"/>
        </w:tabs>
        <w:spacing w:after="0" w:line="240" w:lineRule="auto"/>
        <w:rPr>
          <w:sz w:val="18"/>
          <w:szCs w:val="18"/>
          <w:lang w:val="en-US"/>
        </w:rPr>
      </w:pPr>
    </w:p>
    <w:p w14:paraId="2DC804DA" w14:textId="77777777" w:rsidR="00B84747" w:rsidRPr="00794410" w:rsidRDefault="00B84747" w:rsidP="00BD1849">
      <w:pPr>
        <w:pStyle w:val="05-Textonormal"/>
        <w:spacing w:before="0" w:after="0" w:line="240" w:lineRule="auto"/>
        <w:rPr>
          <w:snapToGrid w:val="0"/>
          <w:lang w:val="en-US"/>
        </w:rPr>
      </w:pPr>
      <w:bookmarkStart w:id="72" w:name="_Hlk78441167"/>
      <w:r w:rsidRPr="00794410">
        <w:rPr>
          <w:snapToGrid w:val="0"/>
          <w:lang w:val="en-US"/>
        </w:rPr>
        <w:t>Ullisses Christian Silva Assis</w:t>
      </w:r>
    </w:p>
    <w:p w14:paraId="6D6EEB78" w14:textId="77777777" w:rsidR="00B84747" w:rsidRPr="00794410" w:rsidRDefault="00B84747" w:rsidP="00451954">
      <w:pPr>
        <w:pStyle w:val="Body"/>
        <w:spacing w:after="0" w:line="240" w:lineRule="auto"/>
        <w:rPr>
          <w:sz w:val="18"/>
          <w:szCs w:val="18"/>
          <w:lang w:val="en-US"/>
        </w:rPr>
      </w:pPr>
      <w:r w:rsidRPr="00794410">
        <w:rPr>
          <w:sz w:val="18"/>
          <w:szCs w:val="18"/>
          <w:lang w:val="en-US"/>
        </w:rPr>
        <w:t>Chief Executive Officer</w:t>
      </w:r>
    </w:p>
    <w:p w14:paraId="534C5759" w14:textId="77777777" w:rsidR="00B84747" w:rsidRDefault="00B84747" w:rsidP="00451954">
      <w:pPr>
        <w:pStyle w:val="Body"/>
        <w:spacing w:after="0" w:line="240" w:lineRule="auto"/>
        <w:rPr>
          <w:sz w:val="18"/>
          <w:szCs w:val="18"/>
        </w:rPr>
      </w:pPr>
    </w:p>
    <w:p w14:paraId="32BFDBCE" w14:textId="77777777" w:rsidR="00B84747" w:rsidRPr="00794410" w:rsidRDefault="00B84747" w:rsidP="00451954">
      <w:pPr>
        <w:pStyle w:val="Body"/>
        <w:spacing w:after="0" w:line="240" w:lineRule="auto"/>
        <w:rPr>
          <w:sz w:val="18"/>
          <w:szCs w:val="18"/>
          <w:lang w:val="en-US"/>
        </w:rPr>
      </w:pPr>
    </w:p>
    <w:p w14:paraId="05604BF3" w14:textId="77777777" w:rsidR="00B84747" w:rsidRPr="00794410" w:rsidRDefault="00B84747" w:rsidP="00451954">
      <w:pPr>
        <w:pStyle w:val="Body"/>
        <w:spacing w:after="0" w:line="240" w:lineRule="auto"/>
        <w:rPr>
          <w:sz w:val="18"/>
          <w:szCs w:val="18"/>
          <w:lang w:val="en-US"/>
        </w:rPr>
      </w:pPr>
    </w:p>
    <w:p w14:paraId="5A4E6226" w14:textId="77777777" w:rsidR="00B84747" w:rsidRPr="00794410" w:rsidRDefault="00B84747" w:rsidP="00B14E27">
      <w:pPr>
        <w:pStyle w:val="05-Textonormal"/>
        <w:spacing w:before="0" w:after="0" w:line="240" w:lineRule="auto"/>
        <w:rPr>
          <w:lang w:val="en-US"/>
        </w:rPr>
      </w:pPr>
    </w:p>
    <w:p w14:paraId="0C18207A" w14:textId="77777777" w:rsidR="00B84747" w:rsidRDefault="00B84747" w:rsidP="00B14E27">
      <w:pPr>
        <w:pStyle w:val="05-Textonormal"/>
        <w:spacing w:before="0" w:after="0" w:line="240" w:lineRule="auto"/>
      </w:pPr>
      <w:r>
        <w:t>Bruno Alves do Nascimento</w:t>
      </w:r>
    </w:p>
    <w:p w14:paraId="14A2A58A" w14:textId="77777777" w:rsidR="00B84747" w:rsidRPr="00794410" w:rsidRDefault="00B84747" w:rsidP="00B14E27">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3EB561F8" w14:textId="77777777" w:rsidR="00B84747" w:rsidRDefault="00B84747" w:rsidP="00451954">
      <w:pPr>
        <w:pStyle w:val="Body"/>
        <w:spacing w:after="0" w:line="240" w:lineRule="auto"/>
        <w:rPr>
          <w:sz w:val="18"/>
          <w:szCs w:val="18"/>
        </w:rPr>
      </w:pPr>
    </w:p>
    <w:p w14:paraId="4F7C41D5" w14:textId="77777777" w:rsidR="00B84747" w:rsidRDefault="00B84747" w:rsidP="00451954">
      <w:pPr>
        <w:pStyle w:val="Body"/>
        <w:spacing w:after="0" w:line="240" w:lineRule="auto"/>
        <w:rPr>
          <w:sz w:val="18"/>
          <w:szCs w:val="18"/>
        </w:rPr>
      </w:pPr>
    </w:p>
    <w:p w14:paraId="6CF660F1" w14:textId="77777777" w:rsidR="00B84747" w:rsidRDefault="00B84747" w:rsidP="00451954">
      <w:pPr>
        <w:pStyle w:val="Body"/>
        <w:spacing w:after="0" w:line="240" w:lineRule="auto"/>
        <w:rPr>
          <w:sz w:val="18"/>
          <w:szCs w:val="18"/>
        </w:rPr>
      </w:pPr>
    </w:p>
    <w:p w14:paraId="42F1F237" w14:textId="77777777" w:rsidR="00B84747" w:rsidRPr="00B45054" w:rsidRDefault="00B84747" w:rsidP="00451954">
      <w:pPr>
        <w:pStyle w:val="Body"/>
        <w:spacing w:after="0" w:line="240" w:lineRule="auto"/>
        <w:rPr>
          <w:sz w:val="18"/>
          <w:szCs w:val="18"/>
        </w:rPr>
      </w:pPr>
    </w:p>
    <w:p w14:paraId="56E5FAC6" w14:textId="77777777" w:rsidR="00B84747" w:rsidRPr="00794410" w:rsidRDefault="00B84747" w:rsidP="00BD1849">
      <w:pPr>
        <w:pStyle w:val="05-Textonormal"/>
        <w:spacing w:before="0" w:after="0" w:line="240" w:lineRule="auto"/>
        <w:rPr>
          <w:snapToGrid w:val="0"/>
          <w:lang w:val="en-US"/>
        </w:rPr>
      </w:pPr>
      <w:r w:rsidRPr="00794410">
        <w:rPr>
          <w:snapToGrid w:val="0"/>
          <w:lang w:val="en-US"/>
        </w:rPr>
        <w:t>Marcelo Lopes Lourenço</w:t>
      </w:r>
    </w:p>
    <w:p w14:paraId="4FD2731E" w14:textId="77777777" w:rsidR="00B84747" w:rsidRPr="00B15CC5" w:rsidRDefault="00B84747" w:rsidP="00451954">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57972308" w14:textId="77777777" w:rsidR="00B84747" w:rsidRPr="00794410" w:rsidRDefault="00B84747" w:rsidP="00451954">
      <w:pPr>
        <w:pStyle w:val="Body"/>
        <w:spacing w:after="0" w:line="240" w:lineRule="auto"/>
        <w:rPr>
          <w:sz w:val="18"/>
          <w:szCs w:val="18"/>
          <w:lang w:val="en-US"/>
        </w:rPr>
      </w:pPr>
    </w:p>
    <w:p w14:paraId="5C27E1A4" w14:textId="77777777" w:rsidR="00B84747" w:rsidRPr="00794410" w:rsidRDefault="00B84747" w:rsidP="00451954">
      <w:pPr>
        <w:pStyle w:val="Body"/>
        <w:spacing w:after="0" w:line="240" w:lineRule="auto"/>
        <w:rPr>
          <w:sz w:val="18"/>
          <w:szCs w:val="18"/>
          <w:lang w:val="en-US"/>
        </w:rPr>
      </w:pPr>
    </w:p>
    <w:p w14:paraId="01083476" w14:textId="77777777" w:rsidR="00B84747" w:rsidRPr="00794410" w:rsidRDefault="00B84747" w:rsidP="00451954">
      <w:pPr>
        <w:pStyle w:val="Body"/>
        <w:spacing w:after="0" w:line="240" w:lineRule="auto"/>
        <w:rPr>
          <w:sz w:val="18"/>
          <w:szCs w:val="18"/>
          <w:lang w:val="en-US"/>
        </w:rPr>
      </w:pPr>
    </w:p>
    <w:p w14:paraId="32D14B37" w14:textId="77777777" w:rsidR="00B84747" w:rsidRPr="00794410" w:rsidRDefault="00B84747" w:rsidP="00451954">
      <w:pPr>
        <w:pStyle w:val="Body"/>
        <w:spacing w:after="0" w:line="240" w:lineRule="auto"/>
        <w:rPr>
          <w:sz w:val="18"/>
          <w:szCs w:val="18"/>
          <w:lang w:val="en-US"/>
        </w:rPr>
      </w:pPr>
    </w:p>
    <w:p w14:paraId="223F473D" w14:textId="77777777" w:rsidR="00B84747" w:rsidRPr="00794410" w:rsidRDefault="00B84747" w:rsidP="00BD1849">
      <w:pPr>
        <w:pStyle w:val="05-Textonormal"/>
        <w:spacing w:before="0" w:after="0" w:line="240" w:lineRule="auto"/>
        <w:rPr>
          <w:rFonts w:cs="Arial"/>
          <w:snapToGrid w:val="0"/>
          <w:lang w:val="en-US"/>
        </w:rPr>
      </w:pPr>
      <w:r w:rsidRPr="00794410">
        <w:rPr>
          <w:rFonts w:cs="Arial"/>
          <w:snapToGrid w:val="0"/>
          <w:lang w:val="en-US"/>
        </w:rPr>
        <w:t>Rafael Augusto Sperendio</w:t>
      </w:r>
    </w:p>
    <w:p w14:paraId="709CAE5C" w14:textId="77777777" w:rsidR="00B84747" w:rsidRDefault="00B84747" w:rsidP="00BD1849">
      <w:pPr>
        <w:pStyle w:val="Body"/>
        <w:spacing w:after="0" w:line="240" w:lineRule="auto"/>
        <w:rPr>
          <w:sz w:val="18"/>
          <w:szCs w:val="18"/>
          <w:lang w:val="en-US"/>
        </w:rPr>
      </w:pPr>
      <w:r w:rsidRPr="0021556C">
        <w:rPr>
          <w:sz w:val="18"/>
          <w:szCs w:val="18"/>
          <w:lang w:val="en-US"/>
        </w:rPr>
        <w:t>Chief Financial Officer</w:t>
      </w:r>
    </w:p>
    <w:bookmarkEnd w:id="72"/>
    <w:p w14:paraId="45D9F4A6" w14:textId="77777777" w:rsidR="00B84747" w:rsidRPr="00B15CC5" w:rsidRDefault="00B84747" w:rsidP="00451954">
      <w:pPr>
        <w:spacing w:after="0" w:line="240" w:lineRule="auto"/>
        <w:rPr>
          <w:rFonts w:eastAsia="Times New Roman" w:cs="Arial"/>
          <w:sz w:val="20"/>
          <w:szCs w:val="20"/>
          <w:lang w:val="en-US" w:eastAsia="pt-BR"/>
        </w:rPr>
      </w:pPr>
      <w:r w:rsidRPr="00B15CC5">
        <w:rPr>
          <w:rFonts w:eastAsia="Times New Roman" w:cs="Arial"/>
          <w:sz w:val="20"/>
          <w:szCs w:val="20"/>
          <w:lang w:val="en-US" w:eastAsia="pt-BR"/>
        </w:rPr>
        <w:br w:type="page"/>
      </w:r>
    </w:p>
    <w:p w14:paraId="558B51DB" w14:textId="77777777" w:rsidR="00B84747" w:rsidRPr="00794410" w:rsidRDefault="00B84747" w:rsidP="00B14E27">
      <w:pPr>
        <w:pStyle w:val="Ttulo2"/>
        <w:jc w:val="both"/>
        <w:rPr>
          <w:rFonts w:ascii="Arial" w:hAnsi="Arial" w:cs="Arial"/>
          <w:b/>
          <w:bCs/>
          <w:color w:val="1F4E79" w:themeColor="accent1" w:themeShade="80"/>
          <w:sz w:val="20"/>
          <w:szCs w:val="20"/>
          <w:lang w:val="en-US"/>
        </w:rPr>
      </w:pPr>
    </w:p>
    <w:p w14:paraId="5CD01852" w14:textId="77777777" w:rsidR="00B84747" w:rsidRPr="00794410" w:rsidRDefault="00B84747" w:rsidP="00B14E27">
      <w:pPr>
        <w:pStyle w:val="Ttulo2"/>
        <w:jc w:val="both"/>
        <w:rPr>
          <w:rFonts w:ascii="Arial" w:hAnsi="Arial" w:cs="Arial"/>
          <w:b/>
          <w:bCs/>
          <w:color w:val="1F4E79" w:themeColor="accent1" w:themeShade="80"/>
          <w:sz w:val="20"/>
          <w:szCs w:val="20"/>
          <w:lang w:val="en-US"/>
        </w:rPr>
      </w:pPr>
      <w:r w:rsidRPr="00794410">
        <w:rPr>
          <w:rFonts w:ascii="Arial" w:hAnsi="Arial" w:cs="Arial"/>
          <w:b/>
          <w:bCs/>
          <w:color w:val="1F4E79" w:themeColor="accent1" w:themeShade="80"/>
          <w:sz w:val="20"/>
          <w:szCs w:val="20"/>
          <w:lang w:val="en-US"/>
        </w:rPr>
        <w:t>DECLARATION OF THE MEMBERS OF THE EXECUTIVE BOARD ON THE REPORT OF THE INDEPENDENT AUDITORS</w:t>
      </w:r>
    </w:p>
    <w:p w14:paraId="3641F2DB" w14:textId="77777777" w:rsidR="00B84747" w:rsidRPr="00B15CC5" w:rsidRDefault="00B84747" w:rsidP="00451954">
      <w:pPr>
        <w:spacing w:after="0" w:line="240" w:lineRule="auto"/>
        <w:jc w:val="both"/>
        <w:rPr>
          <w:rFonts w:eastAsia="Times New Roman" w:cs="Times New Roman"/>
          <w:kern w:val="20"/>
          <w:sz w:val="20"/>
          <w:szCs w:val="24"/>
          <w:lang w:val="en" w:eastAsia="en-GB"/>
        </w:rPr>
      </w:pPr>
    </w:p>
    <w:p w14:paraId="1B0E9912" w14:textId="77777777" w:rsidR="00B84747" w:rsidRPr="00A111C3" w:rsidRDefault="00B84747" w:rsidP="00451954">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w:t>
      </w:r>
      <w:r>
        <w:rPr>
          <w:lang w:val="en"/>
        </w:rPr>
        <w:t>27</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80, dated</w:t>
      </w:r>
      <w:r w:rsidRPr="00A111C3">
        <w:rPr>
          <w:lang w:val="en"/>
        </w:rPr>
        <w:t xml:space="preserve"> </w:t>
      </w:r>
      <w:r>
        <w:rPr>
          <w:lang w:val="en"/>
        </w:rPr>
        <w:t>03</w:t>
      </w:r>
      <w:r w:rsidRPr="00A111C3">
        <w:rPr>
          <w:rStyle w:val="hps"/>
          <w:lang w:val="en"/>
        </w:rPr>
        <w:t>.</w:t>
      </w:r>
      <w:r>
        <w:rPr>
          <w:rStyle w:val="hps"/>
          <w:lang w:val="en"/>
        </w:rPr>
        <w:t>29</w:t>
      </w:r>
      <w:r w:rsidRPr="00A111C3">
        <w:rPr>
          <w:rStyle w:val="hps"/>
          <w:lang w:val="en"/>
        </w:rPr>
        <w:t>.20</w:t>
      </w:r>
      <w:r>
        <w:rPr>
          <w:rStyle w:val="hps"/>
          <w:lang w:val="en"/>
        </w:rPr>
        <w:t>22</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sidRPr="00794410">
        <w:rPr>
          <w:lang w:val="en-US"/>
        </w:rPr>
        <w:t>Deloitte Touche Tohmatsu</w:t>
      </w:r>
      <w:r w:rsidRPr="00A111C3">
        <w:rPr>
          <w:rStyle w:val="hps"/>
          <w:lang w:val="en"/>
        </w:rPr>
        <w:t xml:space="preserve"> Independent Auditors’ report</w:t>
      </w:r>
      <w:r w:rsidRPr="00A111C3">
        <w:rPr>
          <w:lang w:val="en"/>
        </w:rPr>
        <w:t xml:space="preserve">, </w:t>
      </w:r>
      <w:r w:rsidRPr="00A111C3">
        <w:rPr>
          <w:rStyle w:val="hps"/>
          <w:lang w:val="en"/>
        </w:rPr>
        <w:t>dated</w:t>
      </w:r>
      <w:r w:rsidRPr="00A111C3">
        <w:rPr>
          <w:lang w:val="en"/>
        </w:rPr>
        <w:t xml:space="preserve"> </w:t>
      </w:r>
      <w:r>
        <w:rPr>
          <w:lang w:val="en"/>
        </w:rPr>
        <w:t>May</w:t>
      </w:r>
      <w:r w:rsidRPr="00794410">
        <w:rPr>
          <w:lang w:val="en-US"/>
        </w:rPr>
        <w:t xml:space="preserve"> </w:t>
      </w:r>
      <w:r>
        <w:rPr>
          <w:lang w:val="en-US"/>
        </w:rPr>
        <w:t>12</w:t>
      </w:r>
      <w:r w:rsidRPr="00794410">
        <w:rPr>
          <w:lang w:val="en-US"/>
        </w:rPr>
        <w:t>, 202</w:t>
      </w:r>
      <w:r>
        <w:rPr>
          <w:lang w:val="en-US"/>
        </w:rPr>
        <w:t>3</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r w:rsidRPr="00A111C3">
        <w:rPr>
          <w:rStyle w:val="hps"/>
          <w:lang w:val="en"/>
        </w:rPr>
        <w:t>Seguridade</w:t>
      </w:r>
      <w:r w:rsidRPr="00A111C3">
        <w:rPr>
          <w:lang w:val="en"/>
        </w:rPr>
        <w:t xml:space="preserve"> </w:t>
      </w:r>
      <w:r w:rsidRPr="00A111C3">
        <w:rPr>
          <w:rStyle w:val="hps"/>
          <w:lang w:val="en"/>
        </w:rPr>
        <w:t>Participações</w:t>
      </w:r>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Pr>
          <w:lang w:val="en"/>
        </w:rPr>
        <w:t>March</w:t>
      </w:r>
      <w:r w:rsidRPr="0021556C">
        <w:rPr>
          <w:lang w:val="en-US"/>
        </w:rPr>
        <w:t xml:space="preserve"> </w:t>
      </w:r>
      <w:r>
        <w:rPr>
          <w:lang w:val="en-US"/>
        </w:rPr>
        <w:t>31</w:t>
      </w:r>
      <w:r w:rsidRPr="0021556C">
        <w:rPr>
          <w:lang w:val="en-US"/>
        </w:rPr>
        <w:t>, 202</w:t>
      </w:r>
      <w:r>
        <w:rPr>
          <w:lang w:val="en-US"/>
        </w:rPr>
        <w:t>3,</w:t>
      </w:r>
      <w:r w:rsidRPr="00A111C3">
        <w:rPr>
          <w:lang w:val="en"/>
        </w:rPr>
        <w:t xml:space="preserve"> </w:t>
      </w:r>
      <w:r w:rsidRPr="00A111C3">
        <w:rPr>
          <w:rStyle w:val="hps"/>
          <w:lang w:val="en"/>
        </w:rPr>
        <w:t>there being no disagreement.</w:t>
      </w:r>
    </w:p>
    <w:p w14:paraId="1A131564" w14:textId="77777777" w:rsidR="00B84747" w:rsidRDefault="00B84747" w:rsidP="00451954">
      <w:pPr>
        <w:pStyle w:val="05-Textonormal"/>
        <w:spacing w:before="0" w:after="0" w:line="240" w:lineRule="auto"/>
        <w:rPr>
          <w:rStyle w:val="hps"/>
          <w:lang w:val="en"/>
        </w:rPr>
      </w:pPr>
    </w:p>
    <w:p w14:paraId="69286C9A" w14:textId="77777777" w:rsidR="00B84747" w:rsidRPr="00A111C3" w:rsidRDefault="00B84747" w:rsidP="00451954">
      <w:pPr>
        <w:pStyle w:val="05-Textonormal"/>
        <w:spacing w:before="0" w:after="0" w:line="240" w:lineRule="auto"/>
        <w:rPr>
          <w:rStyle w:val="hps"/>
          <w:lang w:val="en"/>
        </w:rPr>
      </w:pPr>
    </w:p>
    <w:p w14:paraId="4EDB3087" w14:textId="77777777" w:rsidR="00B84747" w:rsidRPr="00794410" w:rsidRDefault="00B84747" w:rsidP="005B01B3">
      <w:pPr>
        <w:pStyle w:val="Body"/>
        <w:spacing w:after="0" w:line="240" w:lineRule="auto"/>
        <w:rPr>
          <w:sz w:val="18"/>
          <w:szCs w:val="18"/>
          <w:lang w:val="en-US"/>
        </w:rPr>
      </w:pPr>
      <w:r w:rsidRPr="00794410">
        <w:rPr>
          <w:sz w:val="18"/>
          <w:szCs w:val="18"/>
          <w:lang w:val="en-US"/>
        </w:rPr>
        <w:t xml:space="preserve">Brasília (DF), </w:t>
      </w:r>
      <w:r>
        <w:rPr>
          <w:sz w:val="18"/>
          <w:szCs w:val="18"/>
          <w:lang w:val="en-US"/>
        </w:rPr>
        <w:t>May</w:t>
      </w:r>
      <w:r w:rsidRPr="00794410">
        <w:rPr>
          <w:sz w:val="18"/>
          <w:szCs w:val="18"/>
          <w:lang w:val="en-US"/>
        </w:rPr>
        <w:t xml:space="preserve"> </w:t>
      </w:r>
      <w:r>
        <w:rPr>
          <w:sz w:val="18"/>
          <w:szCs w:val="18"/>
          <w:lang w:val="en-US"/>
        </w:rPr>
        <w:t xml:space="preserve">12, </w:t>
      </w:r>
      <w:r w:rsidRPr="00794410">
        <w:rPr>
          <w:sz w:val="18"/>
          <w:szCs w:val="18"/>
          <w:lang w:val="en-US"/>
        </w:rPr>
        <w:t>202</w:t>
      </w:r>
      <w:r>
        <w:rPr>
          <w:sz w:val="18"/>
          <w:szCs w:val="18"/>
          <w:lang w:val="en-US"/>
        </w:rPr>
        <w:t>3</w:t>
      </w:r>
      <w:r w:rsidRPr="00794410">
        <w:rPr>
          <w:sz w:val="18"/>
          <w:szCs w:val="18"/>
          <w:lang w:val="en-US"/>
        </w:rPr>
        <w:t>.</w:t>
      </w:r>
    </w:p>
    <w:p w14:paraId="49E18A0D" w14:textId="77777777" w:rsidR="00B84747" w:rsidRPr="00794410" w:rsidRDefault="00B84747" w:rsidP="005B01B3">
      <w:pPr>
        <w:pStyle w:val="Body"/>
        <w:tabs>
          <w:tab w:val="left" w:pos="3083"/>
        </w:tabs>
        <w:spacing w:after="0" w:line="240" w:lineRule="auto"/>
        <w:rPr>
          <w:sz w:val="18"/>
          <w:szCs w:val="18"/>
          <w:lang w:val="en-US"/>
        </w:rPr>
      </w:pPr>
    </w:p>
    <w:p w14:paraId="6C79FAD9" w14:textId="77777777" w:rsidR="00B84747" w:rsidRPr="00794410" w:rsidRDefault="00B84747" w:rsidP="005B01B3">
      <w:pPr>
        <w:pStyle w:val="Body"/>
        <w:tabs>
          <w:tab w:val="left" w:pos="3083"/>
        </w:tabs>
        <w:spacing w:after="0" w:line="240" w:lineRule="auto"/>
        <w:rPr>
          <w:sz w:val="18"/>
          <w:szCs w:val="18"/>
          <w:lang w:val="en-US"/>
        </w:rPr>
      </w:pPr>
    </w:p>
    <w:p w14:paraId="1E9946C7" w14:textId="77777777" w:rsidR="00B84747" w:rsidRPr="00794410" w:rsidRDefault="00B84747" w:rsidP="005B01B3">
      <w:pPr>
        <w:pStyle w:val="05-Textonormal"/>
        <w:spacing w:before="0" w:after="0" w:line="240" w:lineRule="auto"/>
        <w:rPr>
          <w:snapToGrid w:val="0"/>
          <w:lang w:val="en-US"/>
        </w:rPr>
      </w:pPr>
      <w:r w:rsidRPr="00794410">
        <w:rPr>
          <w:snapToGrid w:val="0"/>
          <w:lang w:val="en-US"/>
        </w:rPr>
        <w:t>Ullisses Christian Silva Assis</w:t>
      </w:r>
    </w:p>
    <w:p w14:paraId="793D0227" w14:textId="77777777" w:rsidR="00B84747" w:rsidRPr="00794410" w:rsidRDefault="00B84747" w:rsidP="005B01B3">
      <w:pPr>
        <w:pStyle w:val="Body"/>
        <w:spacing w:after="0" w:line="240" w:lineRule="auto"/>
        <w:rPr>
          <w:sz w:val="18"/>
          <w:szCs w:val="18"/>
          <w:lang w:val="en-US"/>
        </w:rPr>
      </w:pPr>
      <w:r w:rsidRPr="00794410">
        <w:rPr>
          <w:sz w:val="18"/>
          <w:szCs w:val="18"/>
          <w:lang w:val="en-US"/>
        </w:rPr>
        <w:t>Chief Executive Officer</w:t>
      </w:r>
    </w:p>
    <w:p w14:paraId="34888569" w14:textId="77777777" w:rsidR="00B84747" w:rsidRPr="00794410" w:rsidRDefault="00B84747" w:rsidP="005B01B3">
      <w:pPr>
        <w:pStyle w:val="Body"/>
        <w:spacing w:after="0" w:line="240" w:lineRule="auto"/>
        <w:rPr>
          <w:sz w:val="18"/>
          <w:szCs w:val="18"/>
          <w:lang w:val="en-US"/>
        </w:rPr>
      </w:pPr>
    </w:p>
    <w:p w14:paraId="7472CEB4" w14:textId="77777777" w:rsidR="00B84747" w:rsidRPr="00794410" w:rsidRDefault="00B84747" w:rsidP="005B01B3">
      <w:pPr>
        <w:pStyle w:val="Body"/>
        <w:spacing w:after="0" w:line="240" w:lineRule="auto"/>
        <w:rPr>
          <w:sz w:val="18"/>
          <w:szCs w:val="18"/>
          <w:lang w:val="en-US"/>
        </w:rPr>
      </w:pPr>
    </w:p>
    <w:p w14:paraId="7370CD1E" w14:textId="77777777" w:rsidR="00B84747" w:rsidRPr="00794410" w:rsidRDefault="00B84747" w:rsidP="005B01B3">
      <w:pPr>
        <w:pStyle w:val="Body"/>
        <w:spacing w:after="0" w:line="240" w:lineRule="auto"/>
        <w:rPr>
          <w:sz w:val="18"/>
          <w:szCs w:val="18"/>
          <w:lang w:val="en-US"/>
        </w:rPr>
      </w:pPr>
    </w:p>
    <w:p w14:paraId="4979F04F" w14:textId="77777777" w:rsidR="00B84747" w:rsidRPr="00794410" w:rsidRDefault="00B84747" w:rsidP="005B01B3">
      <w:pPr>
        <w:pStyle w:val="05-Textonormal"/>
        <w:spacing w:before="0" w:after="0" w:line="240" w:lineRule="auto"/>
        <w:rPr>
          <w:lang w:val="en-US"/>
        </w:rPr>
      </w:pPr>
    </w:p>
    <w:p w14:paraId="6604DCA4" w14:textId="77777777" w:rsidR="00B84747" w:rsidRDefault="00B84747" w:rsidP="005B01B3">
      <w:pPr>
        <w:pStyle w:val="05-Textonormal"/>
        <w:spacing w:before="0" w:after="0" w:line="240" w:lineRule="auto"/>
      </w:pPr>
      <w:r>
        <w:t>Bruno Alves do Nascimento</w:t>
      </w:r>
    </w:p>
    <w:p w14:paraId="63916687" w14:textId="77777777" w:rsidR="00B84747" w:rsidRPr="00794410" w:rsidRDefault="00B84747" w:rsidP="005B01B3">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5C1738E9" w14:textId="77777777" w:rsidR="00B84747" w:rsidRDefault="00B84747" w:rsidP="005B01B3">
      <w:pPr>
        <w:pStyle w:val="Body"/>
        <w:spacing w:after="0" w:line="240" w:lineRule="auto"/>
        <w:rPr>
          <w:sz w:val="18"/>
          <w:szCs w:val="18"/>
        </w:rPr>
      </w:pPr>
    </w:p>
    <w:p w14:paraId="01EF23C1" w14:textId="77777777" w:rsidR="00B84747" w:rsidRDefault="00B84747" w:rsidP="005B01B3">
      <w:pPr>
        <w:pStyle w:val="Body"/>
        <w:spacing w:after="0" w:line="240" w:lineRule="auto"/>
        <w:rPr>
          <w:sz w:val="18"/>
          <w:szCs w:val="18"/>
        </w:rPr>
      </w:pPr>
    </w:p>
    <w:p w14:paraId="4E3B662C" w14:textId="77777777" w:rsidR="00B84747" w:rsidRDefault="00B84747" w:rsidP="005B01B3">
      <w:pPr>
        <w:pStyle w:val="Body"/>
        <w:spacing w:after="0" w:line="240" w:lineRule="auto"/>
        <w:rPr>
          <w:sz w:val="18"/>
          <w:szCs w:val="18"/>
        </w:rPr>
      </w:pPr>
    </w:p>
    <w:p w14:paraId="57CB95A1" w14:textId="77777777" w:rsidR="00B84747" w:rsidRPr="00B45054" w:rsidRDefault="00B84747" w:rsidP="005B01B3">
      <w:pPr>
        <w:pStyle w:val="Body"/>
        <w:spacing w:after="0" w:line="240" w:lineRule="auto"/>
        <w:rPr>
          <w:sz w:val="18"/>
          <w:szCs w:val="18"/>
        </w:rPr>
      </w:pPr>
    </w:p>
    <w:p w14:paraId="383824B2" w14:textId="77777777" w:rsidR="00B84747" w:rsidRDefault="00B84747" w:rsidP="005B01B3">
      <w:pPr>
        <w:pStyle w:val="05-Textonormal"/>
        <w:spacing w:before="0" w:after="0" w:line="240" w:lineRule="auto"/>
        <w:rPr>
          <w:snapToGrid w:val="0"/>
        </w:rPr>
      </w:pPr>
      <w:r w:rsidRPr="007B2A36">
        <w:rPr>
          <w:snapToGrid w:val="0"/>
        </w:rPr>
        <w:t>Marcelo Lopes Lourenço</w:t>
      </w:r>
    </w:p>
    <w:p w14:paraId="5CE48705" w14:textId="77777777" w:rsidR="00B84747" w:rsidRPr="00B15CC5" w:rsidRDefault="00B84747" w:rsidP="005B01B3">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461CBA29" w14:textId="77777777" w:rsidR="00B84747" w:rsidRDefault="00B84747" w:rsidP="005B01B3">
      <w:pPr>
        <w:pStyle w:val="Body"/>
        <w:spacing w:after="0" w:line="240" w:lineRule="auto"/>
        <w:rPr>
          <w:sz w:val="18"/>
          <w:szCs w:val="18"/>
        </w:rPr>
      </w:pPr>
    </w:p>
    <w:p w14:paraId="571E8D96" w14:textId="77777777" w:rsidR="00B84747" w:rsidRDefault="00B84747" w:rsidP="005B01B3">
      <w:pPr>
        <w:pStyle w:val="Body"/>
        <w:spacing w:after="0" w:line="240" w:lineRule="auto"/>
        <w:rPr>
          <w:sz w:val="18"/>
          <w:szCs w:val="18"/>
        </w:rPr>
      </w:pPr>
    </w:p>
    <w:p w14:paraId="4A2A9366" w14:textId="77777777" w:rsidR="00B84747" w:rsidRDefault="00B84747" w:rsidP="005B01B3">
      <w:pPr>
        <w:pStyle w:val="Body"/>
        <w:spacing w:after="0" w:line="240" w:lineRule="auto"/>
        <w:rPr>
          <w:sz w:val="18"/>
          <w:szCs w:val="18"/>
        </w:rPr>
      </w:pPr>
    </w:p>
    <w:p w14:paraId="5E659D13" w14:textId="77777777" w:rsidR="00B84747" w:rsidRPr="00B45054" w:rsidRDefault="00B84747" w:rsidP="005B01B3">
      <w:pPr>
        <w:pStyle w:val="Body"/>
        <w:spacing w:after="0" w:line="240" w:lineRule="auto"/>
        <w:rPr>
          <w:sz w:val="18"/>
          <w:szCs w:val="18"/>
        </w:rPr>
      </w:pPr>
    </w:p>
    <w:p w14:paraId="7B47C6C1" w14:textId="77777777" w:rsidR="00B84747" w:rsidRPr="00DD34B3" w:rsidRDefault="00B84747" w:rsidP="005B01B3">
      <w:pPr>
        <w:pStyle w:val="05-Textonormal"/>
        <w:spacing w:before="0" w:after="0" w:line="240" w:lineRule="auto"/>
        <w:rPr>
          <w:rFonts w:cs="Arial"/>
          <w:snapToGrid w:val="0"/>
        </w:rPr>
      </w:pPr>
      <w:r>
        <w:rPr>
          <w:rFonts w:cs="Arial"/>
          <w:snapToGrid w:val="0"/>
        </w:rPr>
        <w:t>Rafael Augusto Sperendio</w:t>
      </w:r>
    </w:p>
    <w:p w14:paraId="0BA0C6B0" w14:textId="77777777" w:rsidR="00B84747" w:rsidRDefault="00B84747" w:rsidP="005B01B3">
      <w:pPr>
        <w:pStyle w:val="Body"/>
        <w:spacing w:after="0" w:line="240" w:lineRule="auto"/>
        <w:rPr>
          <w:sz w:val="18"/>
          <w:szCs w:val="18"/>
          <w:lang w:val="en-US"/>
        </w:rPr>
      </w:pPr>
      <w:r w:rsidRPr="0021556C">
        <w:rPr>
          <w:sz w:val="18"/>
          <w:szCs w:val="18"/>
          <w:lang w:val="en-US"/>
        </w:rPr>
        <w:t>Chief Financial Officer</w:t>
      </w:r>
    </w:p>
    <w:p w14:paraId="31F3090F" w14:textId="77777777" w:rsidR="00B84747" w:rsidRDefault="00B84747" w:rsidP="005B01B3">
      <w:pPr>
        <w:pStyle w:val="05-Textonormal"/>
        <w:spacing w:before="0" w:after="0" w:line="240" w:lineRule="auto"/>
        <w:rPr>
          <w:lang w:val="en-US"/>
        </w:rPr>
      </w:pPr>
    </w:p>
    <w:p w14:paraId="315983E3" w14:textId="7964ABFB" w:rsidR="00EB247C" w:rsidRPr="00EB247C" w:rsidRDefault="00EB247C" w:rsidP="00FC4475">
      <w:pPr>
        <w:pStyle w:val="Ttulo1"/>
        <w:sectPr w:rsidR="00EB247C" w:rsidRPr="00EB247C" w:rsidSect="00246CB5">
          <w:headerReference w:type="default" r:id="rId55"/>
          <w:pgSz w:w="11906" w:h="16838" w:code="9"/>
          <w:pgMar w:top="1134" w:right="1134" w:bottom="851" w:left="1134" w:header="851" w:footer="284" w:gutter="0"/>
          <w:cols w:space="708"/>
          <w:docGrid w:linePitch="360"/>
        </w:sectPr>
      </w:pPr>
    </w:p>
    <w:p w14:paraId="4E3EF86D" w14:textId="1D6CFE4E" w:rsidR="002A1B52" w:rsidRPr="00A96BA2" w:rsidRDefault="002A1B52" w:rsidP="00A96BA2">
      <w:pPr>
        <w:pStyle w:val="Ttulo1"/>
        <w:rPr>
          <w:b w:val="0"/>
          <w:bCs w:val="0"/>
        </w:rPr>
      </w:pPr>
      <w:bookmarkStart w:id="73" w:name="_Toc134810058"/>
      <w:bookmarkStart w:id="74" w:name="_Toc134823595"/>
      <w:r w:rsidRPr="00A96BA2">
        <w:lastRenderedPageBreak/>
        <w:t>MEMBERS OF THE MANAGEMENT BODIES</w:t>
      </w:r>
      <w:bookmarkEnd w:id="73"/>
      <w:bookmarkEnd w:id="74"/>
    </w:p>
    <w:p w14:paraId="60CD403E" w14:textId="77777777" w:rsidR="002A1B52" w:rsidRPr="00A96BA2" w:rsidRDefault="002A1B52" w:rsidP="00A96BA2">
      <w:pPr>
        <w:keepNext/>
        <w:spacing w:line="240" w:lineRule="auto"/>
        <w:rPr>
          <w:rFonts w:eastAsia="Times New Roman" w:cs="Times New Roman"/>
          <w:spacing w:val="-2"/>
          <w:szCs w:val="18"/>
          <w:lang w:eastAsia="pt-BR"/>
        </w:rPr>
      </w:pPr>
    </w:p>
    <w:p w14:paraId="3D2671C6" w14:textId="77777777" w:rsidR="002A1B52" w:rsidRPr="00037403" w:rsidRDefault="002A1B52"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DIRECTOR-PRESIDENT</w:t>
      </w:r>
    </w:p>
    <w:p w14:paraId="06E79E50" w14:textId="77777777" w:rsidR="002A1B52" w:rsidRDefault="002A1B52" w:rsidP="00966F31">
      <w:pPr>
        <w:pStyle w:val="05-Textonormal"/>
        <w:keepNext/>
        <w:spacing w:before="0" w:after="200" w:line="240" w:lineRule="auto"/>
        <w:jc w:val="left"/>
        <w:rPr>
          <w:snapToGrid w:val="0"/>
        </w:rPr>
      </w:pPr>
      <w:r w:rsidRPr="00D561DC">
        <w:rPr>
          <w:snapToGrid w:val="0"/>
        </w:rPr>
        <w:t>Ullisses Christian Silva Assis</w:t>
      </w:r>
    </w:p>
    <w:p w14:paraId="7EB10D52" w14:textId="77777777" w:rsidR="002A1B52" w:rsidRPr="00A96BA2" w:rsidRDefault="002A1B52" w:rsidP="00A96BA2">
      <w:pPr>
        <w:keepNext/>
        <w:spacing w:line="240" w:lineRule="auto"/>
        <w:rPr>
          <w:rFonts w:eastAsia="Times New Roman" w:cs="Times New Roman"/>
          <w:spacing w:val="-2"/>
          <w:szCs w:val="18"/>
          <w:lang w:eastAsia="pt-BR"/>
        </w:rPr>
      </w:pPr>
    </w:p>
    <w:p w14:paraId="6958EDB6" w14:textId="77777777" w:rsidR="002A1B52" w:rsidRPr="00037403" w:rsidRDefault="002A1B52"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DIRECTORS</w:t>
      </w:r>
    </w:p>
    <w:p w14:paraId="13A440C0" w14:textId="77777777" w:rsidR="002A1B52" w:rsidRDefault="002A1B52" w:rsidP="00646B62">
      <w:pPr>
        <w:pStyle w:val="05-Textonormal"/>
        <w:keepNext/>
        <w:spacing w:before="0" w:after="200" w:line="240" w:lineRule="auto"/>
        <w:jc w:val="left"/>
        <w:rPr>
          <w:snapToGrid w:val="0"/>
        </w:rPr>
      </w:pPr>
      <w:r>
        <w:rPr>
          <w:snapToGrid w:val="0"/>
        </w:rPr>
        <w:t>Bruno Alves d</w:t>
      </w:r>
      <w:r w:rsidRPr="00DD0E88">
        <w:rPr>
          <w:snapToGrid w:val="0"/>
        </w:rPr>
        <w:t>o Nascimento</w:t>
      </w:r>
    </w:p>
    <w:p w14:paraId="1F54D33A" w14:textId="77777777" w:rsidR="002A1B52" w:rsidRDefault="002A1B52" w:rsidP="00646B62">
      <w:pPr>
        <w:pStyle w:val="05-Textonormal"/>
        <w:keepNext/>
        <w:spacing w:before="0" w:after="200" w:line="240" w:lineRule="auto"/>
        <w:jc w:val="left"/>
        <w:rPr>
          <w:snapToGrid w:val="0"/>
        </w:rPr>
      </w:pPr>
      <w:r w:rsidRPr="00D561DC">
        <w:rPr>
          <w:snapToGrid w:val="0"/>
        </w:rPr>
        <w:t>Marcelo Lopes Lourenço</w:t>
      </w:r>
    </w:p>
    <w:p w14:paraId="14382ADE" w14:textId="77777777" w:rsidR="002A1B52" w:rsidRPr="0037081A" w:rsidRDefault="002A1B52" w:rsidP="00646B62">
      <w:pPr>
        <w:pStyle w:val="05-Textonormal"/>
        <w:keepNext/>
        <w:spacing w:before="0" w:after="200" w:line="240" w:lineRule="auto"/>
        <w:jc w:val="left"/>
        <w:rPr>
          <w:snapToGrid w:val="0"/>
        </w:rPr>
      </w:pPr>
      <w:r w:rsidRPr="0037081A">
        <w:rPr>
          <w:snapToGrid w:val="0"/>
        </w:rPr>
        <w:t>Rafael Augusto Sperendio</w:t>
      </w:r>
    </w:p>
    <w:p w14:paraId="49D15579" w14:textId="77777777" w:rsidR="002A1B52" w:rsidRPr="00A96BA2" w:rsidRDefault="002A1B52" w:rsidP="00A96BA2">
      <w:pPr>
        <w:keepNext/>
        <w:spacing w:line="240" w:lineRule="auto"/>
        <w:rPr>
          <w:rFonts w:eastAsia="Times New Roman" w:cs="Times New Roman"/>
          <w:snapToGrid w:val="0"/>
          <w:spacing w:val="-2"/>
          <w:szCs w:val="18"/>
          <w:lang w:eastAsia="pt-BR"/>
        </w:rPr>
      </w:pPr>
    </w:p>
    <w:p w14:paraId="7EC8E017" w14:textId="77777777" w:rsidR="002A1B52" w:rsidRPr="00037403" w:rsidRDefault="002A1B52"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BOARD OF DIRECTORS</w:t>
      </w:r>
    </w:p>
    <w:p w14:paraId="7B49CA16" w14:textId="77777777" w:rsidR="002A1B52" w:rsidRPr="00A61E45" w:rsidRDefault="002A1B52"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Cavalcante de Oliveira Lima (President)</w:t>
      </w:r>
    </w:p>
    <w:p w14:paraId="58DAB862" w14:textId="77777777" w:rsidR="002A1B52" w:rsidRDefault="002A1B52"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Silva Dalcolmo</w:t>
      </w:r>
    </w:p>
    <w:p w14:paraId="59E07452" w14:textId="77777777" w:rsidR="002A1B52" w:rsidRPr="00A61E45" w:rsidRDefault="002A1B52" w:rsidP="00080F4B">
      <w:pPr>
        <w:keepNext/>
        <w:spacing w:line="240" w:lineRule="auto"/>
        <w:rPr>
          <w:rFonts w:eastAsia="Times New Roman" w:cs="Times New Roman"/>
          <w:snapToGrid w:val="0"/>
          <w:spacing w:val="-2"/>
          <w:szCs w:val="18"/>
          <w:lang w:eastAsia="pt-BR"/>
        </w:rPr>
      </w:pPr>
      <w:r w:rsidRPr="00126EE0">
        <w:rPr>
          <w:rFonts w:eastAsia="Times New Roman" w:cs="Times New Roman"/>
          <w:snapToGrid w:val="0"/>
          <w:spacing w:val="-2"/>
          <w:szCs w:val="18"/>
          <w:lang w:eastAsia="pt-BR"/>
        </w:rPr>
        <w:t>Daniel Alves Maria</w:t>
      </w:r>
    </w:p>
    <w:p w14:paraId="12DB5D23" w14:textId="77777777" w:rsidR="002A1B52" w:rsidRPr="00A61E45" w:rsidRDefault="002A1B52" w:rsidP="00080F4B">
      <w:pPr>
        <w:keepNext/>
        <w:spacing w:line="240" w:lineRule="auto"/>
        <w:rPr>
          <w:rFonts w:cs="Arial"/>
          <w:szCs w:val="18"/>
        </w:rPr>
      </w:pPr>
      <w:r w:rsidRPr="00A61E45">
        <w:rPr>
          <w:rFonts w:cs="Arial"/>
          <w:szCs w:val="18"/>
        </w:rPr>
        <w:t>Gilberto Lourenço da Aparecida</w:t>
      </w:r>
    </w:p>
    <w:p w14:paraId="0490B80C" w14:textId="77777777" w:rsidR="002A1B52" w:rsidRPr="00A61E45" w:rsidRDefault="002A1B52" w:rsidP="00080F4B">
      <w:pPr>
        <w:keepNext/>
        <w:spacing w:line="240" w:lineRule="auto"/>
        <w:rPr>
          <w:rFonts w:eastAsia="Times New Roman" w:cs="Times New Roman"/>
          <w:snapToGrid w:val="0"/>
          <w:spacing w:val="-2"/>
          <w:szCs w:val="18"/>
          <w:lang w:eastAsia="pt-BR"/>
        </w:rPr>
      </w:pPr>
      <w:r w:rsidRPr="00A17439">
        <w:rPr>
          <w:rFonts w:eastAsia="Times New Roman" w:cs="Times New Roman"/>
          <w:snapToGrid w:val="0"/>
          <w:spacing w:val="-2"/>
          <w:szCs w:val="18"/>
          <w:lang w:eastAsia="pt-BR"/>
        </w:rPr>
        <w:t>Maria Carolina Ferreira Lacerda</w:t>
      </w:r>
    </w:p>
    <w:p w14:paraId="3EF15DE8" w14:textId="77777777" w:rsidR="002A1B52" w:rsidRPr="00A61E45" w:rsidRDefault="002A1B52"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4CAC53F0" w14:textId="77777777" w:rsidR="002A1B52" w:rsidRPr="00A96BA2" w:rsidRDefault="002A1B52" w:rsidP="00A96BA2">
      <w:pPr>
        <w:keepNext/>
        <w:spacing w:line="240" w:lineRule="auto"/>
        <w:rPr>
          <w:rFonts w:eastAsia="Times New Roman" w:cs="Times New Roman"/>
          <w:snapToGrid w:val="0"/>
          <w:spacing w:val="-2"/>
          <w:szCs w:val="24"/>
          <w:lang w:eastAsia="pt-BR"/>
        </w:rPr>
      </w:pPr>
    </w:p>
    <w:p w14:paraId="0A1D030B" w14:textId="77777777" w:rsidR="002A1B52" w:rsidRPr="00037403" w:rsidRDefault="002A1B52"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FISCAL COUNCIL</w:t>
      </w:r>
    </w:p>
    <w:p w14:paraId="160A8335" w14:textId="77777777" w:rsidR="002A1B52" w:rsidRDefault="002A1B52" w:rsidP="000A149A">
      <w:pPr>
        <w:pStyle w:val="05-Textonormal"/>
        <w:keepNext/>
        <w:spacing w:before="0" w:after="200" w:line="240" w:lineRule="auto"/>
        <w:jc w:val="left"/>
        <w:rPr>
          <w:snapToGrid w:val="0"/>
        </w:rPr>
      </w:pPr>
      <w:r w:rsidRPr="00B02ABA">
        <w:rPr>
          <w:snapToGrid w:val="0"/>
        </w:rPr>
        <w:t>Lucin</w:t>
      </w:r>
      <w:r>
        <w:rPr>
          <w:snapToGrid w:val="0"/>
        </w:rPr>
        <w:t>é</w:t>
      </w:r>
      <w:r w:rsidRPr="00B02ABA">
        <w:rPr>
          <w:snapToGrid w:val="0"/>
        </w:rPr>
        <w:t>ia Possar</w:t>
      </w:r>
    </w:p>
    <w:p w14:paraId="2C58434D" w14:textId="77777777" w:rsidR="002A1B52" w:rsidRPr="00A61E45" w:rsidRDefault="002A1B52" w:rsidP="00080F4B">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511A998B" w14:textId="77777777" w:rsidR="002A1B52" w:rsidRDefault="002A1B52" w:rsidP="00966F31">
      <w:pPr>
        <w:pStyle w:val="05-Textonormal"/>
        <w:keepNext/>
        <w:spacing w:before="0" w:after="200" w:line="240" w:lineRule="auto"/>
        <w:jc w:val="left"/>
        <w:rPr>
          <w:snapToGrid w:val="0"/>
        </w:rPr>
      </w:pPr>
      <w:r w:rsidRPr="005F4624">
        <w:rPr>
          <w:snapToGrid w:val="0"/>
        </w:rPr>
        <w:t>Francisco Olinto Velo Schmitt</w:t>
      </w:r>
    </w:p>
    <w:p w14:paraId="048148A9" w14:textId="77777777" w:rsidR="002A1B52" w:rsidRPr="00A96BA2" w:rsidRDefault="002A1B52" w:rsidP="00A96BA2">
      <w:pPr>
        <w:keepNext/>
        <w:spacing w:line="240" w:lineRule="auto"/>
        <w:rPr>
          <w:rFonts w:eastAsia="Times New Roman" w:cs="Times New Roman"/>
          <w:snapToGrid w:val="0"/>
          <w:spacing w:val="-2"/>
          <w:szCs w:val="24"/>
          <w:lang w:eastAsia="pt-BR"/>
        </w:rPr>
      </w:pPr>
    </w:p>
    <w:p w14:paraId="6ECD22BB" w14:textId="77777777" w:rsidR="002A1B52" w:rsidRPr="00037403" w:rsidRDefault="002A1B52"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AUDIT COMMITTEE</w:t>
      </w:r>
    </w:p>
    <w:p w14:paraId="4EBA47A2" w14:textId="77777777" w:rsidR="002A1B52" w:rsidRPr="00037403" w:rsidRDefault="002A1B52" w:rsidP="00037403">
      <w:pPr>
        <w:pStyle w:val="05-Textonormal"/>
        <w:keepNext/>
        <w:spacing w:before="0" w:after="200" w:line="240" w:lineRule="auto"/>
        <w:jc w:val="left"/>
        <w:rPr>
          <w:snapToGrid w:val="0"/>
        </w:rPr>
      </w:pPr>
      <w:r w:rsidRPr="00037403">
        <w:rPr>
          <w:snapToGrid w:val="0"/>
        </w:rPr>
        <w:t>Luiz Claudio Moraes</w:t>
      </w:r>
    </w:p>
    <w:p w14:paraId="5B5AFAAD" w14:textId="77777777" w:rsidR="002A1B52" w:rsidRPr="00037403" w:rsidRDefault="002A1B52" w:rsidP="00037403">
      <w:pPr>
        <w:pStyle w:val="05-Textonormal"/>
        <w:keepNext/>
        <w:spacing w:before="0" w:after="200" w:line="240" w:lineRule="auto"/>
        <w:jc w:val="left"/>
        <w:rPr>
          <w:snapToGrid w:val="0"/>
        </w:rPr>
      </w:pPr>
      <w:r w:rsidRPr="00037403">
        <w:rPr>
          <w:snapToGrid w:val="0"/>
        </w:rPr>
        <w:t>Artemio Bertholini</w:t>
      </w:r>
    </w:p>
    <w:p w14:paraId="4C4F9D1B" w14:textId="77777777" w:rsidR="002A1B52" w:rsidRPr="00037403" w:rsidRDefault="002A1B52" w:rsidP="00037403">
      <w:pPr>
        <w:pStyle w:val="05-Textonormal"/>
        <w:keepNext/>
        <w:spacing w:before="0" w:after="200" w:line="240" w:lineRule="auto"/>
        <w:jc w:val="left"/>
        <w:rPr>
          <w:snapToGrid w:val="0"/>
        </w:rPr>
      </w:pPr>
      <w:r w:rsidRPr="00037403">
        <w:rPr>
          <w:snapToGrid w:val="0"/>
        </w:rPr>
        <w:t>Gilberto Lourenço da Aparecida</w:t>
      </w:r>
    </w:p>
    <w:p w14:paraId="254B01FB" w14:textId="77777777" w:rsidR="002A1B52" w:rsidRPr="00037403" w:rsidRDefault="002A1B52" w:rsidP="00037403">
      <w:pPr>
        <w:pStyle w:val="05-Textonormal"/>
        <w:keepNext/>
        <w:spacing w:before="0" w:after="200" w:line="240" w:lineRule="auto"/>
        <w:jc w:val="left"/>
        <w:rPr>
          <w:snapToGrid w:val="0"/>
        </w:rPr>
      </w:pPr>
      <w:r w:rsidRPr="00037403">
        <w:rPr>
          <w:snapToGrid w:val="0"/>
        </w:rPr>
        <w:t>Manoel Gimenes Ruy</w:t>
      </w:r>
    </w:p>
    <w:p w14:paraId="4997C69C" w14:textId="77777777" w:rsidR="002A1B52" w:rsidRPr="00037403" w:rsidRDefault="002A1B52" w:rsidP="00037403">
      <w:pPr>
        <w:pStyle w:val="05-Textonormal"/>
        <w:keepNext/>
        <w:spacing w:before="0" w:after="200" w:line="240" w:lineRule="auto"/>
        <w:jc w:val="left"/>
        <w:rPr>
          <w:snapToGrid w:val="0"/>
        </w:rPr>
      </w:pPr>
      <w:r w:rsidRPr="00037403">
        <w:rPr>
          <w:snapToGrid w:val="0"/>
        </w:rPr>
        <w:t>Roberto Lamb</w:t>
      </w:r>
    </w:p>
    <w:p w14:paraId="5EAB3300" w14:textId="77777777" w:rsidR="002A1B52" w:rsidRPr="00A96BA2" w:rsidRDefault="002A1B52" w:rsidP="00A96BA2">
      <w:pPr>
        <w:keepNext/>
        <w:spacing w:line="240" w:lineRule="auto"/>
        <w:rPr>
          <w:rFonts w:eastAsia="Times New Roman" w:cs="Times New Roman"/>
          <w:snapToGrid w:val="0"/>
          <w:spacing w:val="-2"/>
          <w:szCs w:val="18"/>
          <w:lang w:eastAsia="pt-BR"/>
        </w:rPr>
      </w:pPr>
    </w:p>
    <w:p w14:paraId="68D06927" w14:textId="77777777" w:rsidR="002A1B52" w:rsidRPr="00037403" w:rsidRDefault="002A1B52"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ACCOUNTANT</w:t>
      </w:r>
    </w:p>
    <w:p w14:paraId="1E5EFB6D" w14:textId="77777777" w:rsidR="002A1B52" w:rsidRPr="00056907" w:rsidRDefault="002A1B52" w:rsidP="00966F31">
      <w:pPr>
        <w:pStyle w:val="05-Textonormal"/>
        <w:keepNext/>
        <w:spacing w:before="0" w:after="200" w:line="240" w:lineRule="auto"/>
        <w:jc w:val="left"/>
        <w:rPr>
          <w:snapToGrid w:val="0"/>
        </w:rPr>
      </w:pPr>
      <w:r w:rsidRPr="00056907">
        <w:rPr>
          <w:snapToGrid w:val="0"/>
        </w:rPr>
        <w:t>Pedro Kiefer Braga</w:t>
      </w:r>
    </w:p>
    <w:p w14:paraId="3CE03A8C" w14:textId="77777777" w:rsidR="002A1B52" w:rsidRPr="00056907" w:rsidRDefault="002A1B52" w:rsidP="00966F31">
      <w:pPr>
        <w:pStyle w:val="05-Textonormal"/>
        <w:keepNext/>
        <w:spacing w:before="0" w:after="200" w:line="240" w:lineRule="auto"/>
        <w:jc w:val="left"/>
        <w:rPr>
          <w:snapToGrid w:val="0"/>
        </w:rPr>
      </w:pPr>
      <w:r w:rsidRPr="00056907">
        <w:rPr>
          <w:snapToGrid w:val="0"/>
        </w:rPr>
        <w:t>CRC-DF 020.786/O-0</w:t>
      </w:r>
    </w:p>
    <w:p w14:paraId="0132DE50" w14:textId="77777777" w:rsidR="002A1B52" w:rsidRPr="00B47B5C" w:rsidRDefault="002A1B52" w:rsidP="00966F31">
      <w:pPr>
        <w:pStyle w:val="05-Textonormal"/>
        <w:keepNext/>
        <w:spacing w:before="0" w:after="200" w:line="240" w:lineRule="auto"/>
        <w:jc w:val="left"/>
      </w:pPr>
      <w:r w:rsidRPr="00056907">
        <w:rPr>
          <w:snapToGrid w:val="0"/>
        </w:rPr>
        <w:t>CPF 027.782.029-43</w:t>
      </w:r>
    </w:p>
    <w:p w14:paraId="426CC773" w14:textId="07CEA3C2" w:rsidR="0023652C" w:rsidRPr="0023652C" w:rsidRDefault="0023652C" w:rsidP="00FC4475">
      <w:pPr>
        <w:pStyle w:val="Ttulo1"/>
      </w:pPr>
    </w:p>
    <w:sectPr w:rsidR="0023652C" w:rsidRPr="0023652C" w:rsidSect="00E10F48">
      <w:headerReference w:type="even" r:id="rId56"/>
      <w:headerReference w:type="default" r:id="rId57"/>
      <w:footerReference w:type="even" r:id="rId58"/>
      <w:footerReference w:type="default" r:id="rId59"/>
      <w:headerReference w:type="first" r:id="rId60"/>
      <w:footerReference w:type="first" r:id="rId61"/>
      <w:type w:val="oddPage"/>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441" w14:textId="77777777" w:rsidR="00AA7F20" w:rsidRDefault="00AA7F20" w:rsidP="001170F1">
      <w:pPr>
        <w:spacing w:after="0" w:line="240" w:lineRule="auto"/>
      </w:pPr>
      <w:r>
        <w:separator/>
      </w:r>
    </w:p>
  </w:endnote>
  <w:endnote w:type="continuationSeparator" w:id="0">
    <w:p w14:paraId="2EE9981F" w14:textId="77777777" w:rsidR="00AA7F20" w:rsidRDefault="00AA7F20"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BancoDoBrasil Textos Light">
    <w:panose1 w:val="00000400000000000000"/>
    <w:charset w:val="00"/>
    <w:family w:val="auto"/>
    <w:pitch w:val="variable"/>
    <w:sig w:usb0="00000003" w:usb1="00000001"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D760" w14:textId="77777777" w:rsidR="00AA7F20" w:rsidRDefault="00AA7F20">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01670"/>
      <w:docPartObj>
        <w:docPartGallery w:val="Page Numbers (Bottom of Page)"/>
        <w:docPartUnique/>
      </w:docPartObj>
    </w:sdtPr>
    <w:sdtContent>
      <w:p w14:paraId="062D3BF8" w14:textId="4307E6F9" w:rsidR="00112673" w:rsidRDefault="00112673">
        <w:pPr>
          <w:pStyle w:val="Rodap"/>
          <w:jc w:val="right"/>
        </w:pPr>
        <w:r>
          <w:fldChar w:fldCharType="begin"/>
        </w:r>
        <w:r>
          <w:instrText>PAGE   \* MERGEFORMAT</w:instrText>
        </w:r>
        <w:r>
          <w:fldChar w:fldCharType="separate"/>
        </w:r>
        <w:r>
          <w:t>2</w:t>
        </w:r>
        <w:r>
          <w:fldChar w:fldCharType="end"/>
        </w:r>
      </w:p>
    </w:sdtContent>
  </w:sdt>
  <w:p w14:paraId="2DBB9FBC" w14:textId="77777777" w:rsidR="00AA7F20" w:rsidRDefault="00AA7F20">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45941"/>
      <w:docPartObj>
        <w:docPartGallery w:val="Page Numbers (Bottom of Page)"/>
        <w:docPartUnique/>
      </w:docPartObj>
    </w:sdtPr>
    <w:sdtEndPr/>
    <w:sdtContent>
      <w:p w14:paraId="390E17F5" w14:textId="77777777" w:rsidR="00AA7F20" w:rsidRDefault="00AA7F20">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49024" behindDoc="0" locked="0" layoutInCell="1" allowOverlap="1" wp14:anchorId="49108EB5" wp14:editId="4E253881">
                  <wp:simplePos x="0" y="0"/>
                  <wp:positionH relativeFrom="page">
                    <wp:align>left</wp:align>
                  </wp:positionH>
                  <wp:positionV relativeFrom="paragraph">
                    <wp:posOffset>2067</wp:posOffset>
                  </wp:positionV>
                  <wp:extent cx="5603132" cy="45719"/>
                  <wp:effectExtent l="0" t="0" r="0" b="0"/>
                  <wp:wrapNone/>
                  <wp:docPr id="2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5801957" id="Retângulo 14" o:spid="_x0000_s1026" style="position:absolute;margin-left:0;margin-top:.15pt;width:441.2pt;height:3.6pt;flip:y;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6CB9E672" w14:textId="77777777" w:rsidR="00AA7F20" w:rsidRDefault="00AA7F20">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DE22" w14:textId="77777777" w:rsidR="00AA7F20" w:rsidRDefault="00AA7F20">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20925"/>
      <w:docPartObj>
        <w:docPartGallery w:val="Page Numbers (Bottom of Page)"/>
        <w:docPartUnique/>
      </w:docPartObj>
    </w:sdtPr>
    <w:sdtEndPr/>
    <w:sdtContent>
      <w:p w14:paraId="1B7718FF" w14:textId="0C4782EA" w:rsidR="00AA7F20" w:rsidRDefault="00AA7F20">
        <w:pPr>
          <w:pStyle w:val="Rodap"/>
          <w:jc w:val="right"/>
        </w:pPr>
        <w:r>
          <w:fldChar w:fldCharType="begin"/>
        </w:r>
        <w:r>
          <w:instrText>PAGE   \* MERGEFORMAT</w:instrText>
        </w:r>
        <w:r>
          <w:fldChar w:fldCharType="separate"/>
        </w:r>
        <w:r w:rsidR="006A362F">
          <w:rPr>
            <w:noProof/>
          </w:rPr>
          <w:t>42</w:t>
        </w:r>
        <w:r>
          <w:fldChar w:fldCharType="end"/>
        </w:r>
      </w:p>
    </w:sdtContent>
  </w:sdt>
  <w:p w14:paraId="4306B033" w14:textId="77777777" w:rsidR="00AA7F20" w:rsidRDefault="00AA7F20">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240276"/>
      <w:docPartObj>
        <w:docPartGallery w:val="Page Numbers (Bottom of Page)"/>
        <w:docPartUnique/>
      </w:docPartObj>
    </w:sdtPr>
    <w:sdtEndPr/>
    <w:sdtContent>
      <w:p w14:paraId="6C395C9D" w14:textId="77777777" w:rsidR="00AA7F20" w:rsidRDefault="00AA7F20">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56192" behindDoc="0" locked="0" layoutInCell="1" allowOverlap="1" wp14:anchorId="1214D556" wp14:editId="6969710F">
                  <wp:simplePos x="0" y="0"/>
                  <wp:positionH relativeFrom="page">
                    <wp:align>left</wp:align>
                  </wp:positionH>
                  <wp:positionV relativeFrom="paragraph">
                    <wp:posOffset>2067</wp:posOffset>
                  </wp:positionV>
                  <wp:extent cx="5603132" cy="45719"/>
                  <wp:effectExtent l="0" t="0" r="0" b="0"/>
                  <wp:wrapNone/>
                  <wp:docPr id="22"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C06A79B" id="Retângulo 14" o:spid="_x0000_s1026" style="position:absolute;margin-left:0;margin-top:.15pt;width:441.2pt;height:3.6pt;flip:y;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6FA2E227" w14:textId="77777777" w:rsidR="00AA7F20" w:rsidRDefault="00AA7F20">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DA4" w14:textId="77777777" w:rsidR="00AA7F20" w:rsidRDefault="00AA7F20">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56082"/>
      <w:docPartObj>
        <w:docPartGallery w:val="Page Numbers (Bottom of Page)"/>
        <w:docPartUnique/>
      </w:docPartObj>
    </w:sdtPr>
    <w:sdtEndPr/>
    <w:sdtContent>
      <w:p w14:paraId="28CFEC14" w14:textId="06EB1203" w:rsidR="00AA7F20" w:rsidRDefault="00AA7F20">
        <w:pPr>
          <w:pStyle w:val="Rodap"/>
          <w:jc w:val="right"/>
        </w:pPr>
        <w:r>
          <w:fldChar w:fldCharType="begin"/>
        </w:r>
        <w:r>
          <w:instrText>PAGE   \* MERGEFORMAT</w:instrText>
        </w:r>
        <w:r>
          <w:fldChar w:fldCharType="separate"/>
        </w:r>
        <w:r w:rsidR="006A362F">
          <w:rPr>
            <w:noProof/>
          </w:rPr>
          <w:t>58</w:t>
        </w:r>
        <w:r>
          <w:fldChar w:fldCharType="end"/>
        </w:r>
      </w:p>
    </w:sdtContent>
  </w:sdt>
  <w:p w14:paraId="661B4137" w14:textId="77777777" w:rsidR="00AA7F20" w:rsidRDefault="00AA7F20">
    <w:pPr>
      <w:pStyle w:val="Rodap"/>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8619"/>
      <w:docPartObj>
        <w:docPartGallery w:val="Page Numbers (Bottom of Page)"/>
        <w:docPartUnique/>
      </w:docPartObj>
    </w:sdtPr>
    <w:sdtEndPr/>
    <w:sdtContent>
      <w:p w14:paraId="671FF4F9" w14:textId="77777777" w:rsidR="00AA7F20" w:rsidRDefault="00AA7F20">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73600" behindDoc="0" locked="0" layoutInCell="1" allowOverlap="1" wp14:anchorId="0BE4D282" wp14:editId="3693AD05">
                  <wp:simplePos x="0" y="0"/>
                  <wp:positionH relativeFrom="page">
                    <wp:align>left</wp:align>
                  </wp:positionH>
                  <wp:positionV relativeFrom="paragraph">
                    <wp:posOffset>2067</wp:posOffset>
                  </wp:positionV>
                  <wp:extent cx="5603132" cy="45719"/>
                  <wp:effectExtent l="0" t="0" r="0" b="0"/>
                  <wp:wrapNone/>
                  <wp:docPr id="98"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61816D3" id="Retângulo 14" o:spid="_x0000_s1026" style="position:absolute;margin-left:0;margin-top:.15pt;width:441.2pt;height:3.6pt;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005DACF" w14:textId="77777777" w:rsidR="00AA7F20" w:rsidRDefault="00AA7F20">
    <w:pPr>
      <w:pStyle w:val="Rodap"/>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9335" w14:textId="77777777" w:rsidR="000E51BC" w:rsidRPr="00EB496F" w:rsidRDefault="000E51BC" w:rsidP="00EB496F">
    <w:pPr>
      <w:pStyle w:val="Rodap"/>
      <w:widowControl w:val="0"/>
      <w:tabs>
        <w:tab w:val="right" w:pos="9638"/>
      </w:tabs>
      <w:rPr>
        <w:rFonts w:ascii="Calibri" w:hAnsi="Calibri" w:cs="Calibri"/>
      </w:rPr>
    </w:pPr>
    <w:r w:rsidRPr="00EB496F">
      <w:rPr>
        <w:rFonts w:ascii="Calibri" w:hAnsi="Calibri" w:cs="Calibri"/>
      </w:rPr>
      <w:t>© 2021. For information, contact Deloitte Touche Tohmatsu Limited.</w:t>
    </w:r>
    <w:r>
      <w:rPr>
        <w:rFonts w:ascii="Calibri" w:hAnsi="Calibri" w:cs="Calibri"/>
      </w:rPr>
      <w:tab/>
    </w:r>
    <w:r w:rsidRPr="00EB496F">
      <w:rPr>
        <w:rFonts w:ascii="Calibri" w:hAnsi="Calibri" w:cs="Calibri"/>
        <w:sz w:val="20"/>
      </w:rPr>
      <w:fldChar w:fldCharType="begin"/>
    </w:r>
    <w:r w:rsidRPr="00EB496F">
      <w:rPr>
        <w:rFonts w:ascii="Calibri" w:hAnsi="Calibri" w:cs="Calibri"/>
        <w:sz w:val="20"/>
      </w:rPr>
      <w:instrText xml:space="preserve"> PAGE  \* Arabic  \* MERGEFORMAT </w:instrText>
    </w:r>
    <w:r w:rsidRPr="00EB496F">
      <w:rPr>
        <w:rFonts w:ascii="Calibri" w:hAnsi="Calibri" w:cs="Calibri"/>
        <w:sz w:val="20"/>
      </w:rPr>
      <w:fldChar w:fldCharType="separate"/>
    </w:r>
    <w:r w:rsidRPr="00EB496F">
      <w:rPr>
        <w:rFonts w:ascii="Calibri" w:hAnsi="Calibri" w:cs="Calibri"/>
        <w:noProof/>
        <w:sz w:val="20"/>
      </w:rPr>
      <w:t>2</w:t>
    </w:r>
    <w:r w:rsidRPr="00EB496F">
      <w:rPr>
        <w:rFonts w:ascii="Calibri" w:hAnsi="Calibri" w:cs="Calibri"/>
        <w:sz w:val="20"/>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9EA1" w14:textId="77777777" w:rsidR="00BF175D" w:rsidRPr="00AE2A07" w:rsidRDefault="00BF175D" w:rsidP="00BF175D">
    <w:pPr>
      <w:framePr w:hSpace="181" w:wrap="around" w:vAnchor="page" w:hAnchor="text" w:y="14998"/>
      <w:tabs>
        <w:tab w:val="right" w:pos="7371"/>
      </w:tabs>
      <w:spacing w:line="130" w:lineRule="exact"/>
      <w:suppressOverlap/>
      <w:rPr>
        <w:rFonts w:eastAsia="Verdana" w:cstheme="minorHAnsi"/>
        <w:sz w:val="12"/>
        <w:szCs w:val="12"/>
      </w:rPr>
    </w:pPr>
    <w:r w:rsidRPr="00AE2A07">
      <w:rPr>
        <w:rFonts w:eastAsia="Verdana" w:cstheme="minorHAnsi"/>
        <w:sz w:val="12"/>
        <w:szCs w:val="12"/>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more detailed description of DTTL and its member firms.</w:t>
    </w:r>
  </w:p>
  <w:p w14:paraId="0076717D" w14:textId="77777777" w:rsidR="00BF175D" w:rsidRPr="00AE2A07" w:rsidRDefault="00BF175D" w:rsidP="00BF175D">
    <w:pPr>
      <w:framePr w:hSpace="181" w:wrap="around" w:vAnchor="page" w:hAnchor="text" w:y="14998"/>
      <w:tabs>
        <w:tab w:val="right" w:pos="7371"/>
      </w:tabs>
      <w:spacing w:line="130" w:lineRule="exact"/>
      <w:suppressOverlap/>
      <w:rPr>
        <w:rFonts w:eastAsia="Verdana" w:cstheme="minorHAnsi"/>
        <w:sz w:val="12"/>
        <w:szCs w:val="12"/>
      </w:rPr>
    </w:pPr>
  </w:p>
  <w:p w14:paraId="5AEC8A92" w14:textId="77777777" w:rsidR="00BF175D" w:rsidRPr="00AE2A07" w:rsidRDefault="00BF175D" w:rsidP="00BF175D">
    <w:pPr>
      <w:framePr w:hSpace="181" w:wrap="around" w:vAnchor="page" w:hAnchor="text" w:y="14998"/>
      <w:tabs>
        <w:tab w:val="right" w:pos="7371"/>
      </w:tabs>
      <w:spacing w:line="130" w:lineRule="exact"/>
      <w:suppressOverlap/>
      <w:rPr>
        <w:rFonts w:eastAsia="Verdana" w:cstheme="minorHAnsi"/>
        <w:sz w:val="12"/>
        <w:szCs w:val="12"/>
      </w:rPr>
    </w:pPr>
    <w:r w:rsidRPr="00AE2A07">
      <w:rPr>
        <w:rFonts w:eastAsia="Verdana" w:cstheme="minorHAnsi"/>
        <w:sz w:val="12"/>
        <w:szCs w:val="12"/>
      </w:rPr>
      <w:t>Deloitte provides audit, consulting, financial advisory, risk management, tax and relates services to public and private clients spanning multiple industries. Deloitte serves four out of five Fortune Global 500® companies through a globally connected network of member firms in more than 150 countries bringing world-class capabilities, insights, and high-quality service to address clients’ most complex business challenges. To learn more about how Deloitte’s approximately 286,200 professionals make an impact that matters, please connect with us on Facebook, LinkedIn or Twitter.</w:t>
    </w:r>
  </w:p>
  <w:p w14:paraId="3F8CEBCA" w14:textId="77777777" w:rsidR="00BF175D" w:rsidRPr="00AE2A07" w:rsidRDefault="00BF175D" w:rsidP="00BF175D">
    <w:pPr>
      <w:framePr w:hSpace="181" w:wrap="around" w:vAnchor="page" w:hAnchor="text" w:y="14998"/>
      <w:tabs>
        <w:tab w:val="right" w:pos="7371"/>
      </w:tabs>
      <w:spacing w:line="130" w:lineRule="exact"/>
      <w:suppressOverlap/>
      <w:rPr>
        <w:rFonts w:eastAsia="Verdana" w:cstheme="minorHAnsi"/>
        <w:sz w:val="12"/>
        <w:szCs w:val="12"/>
      </w:rPr>
    </w:pPr>
  </w:p>
  <w:p w14:paraId="74A30D8D" w14:textId="1C3E8724" w:rsidR="000E51BC" w:rsidRDefault="00BF175D" w:rsidP="00BF175D">
    <w:pPr>
      <w:pStyle w:val="Rodap"/>
    </w:pPr>
    <w:r w:rsidRPr="00AE2A07">
      <w:rPr>
        <w:rFonts w:eastAsia="Verdana" w:cstheme="minorHAnsi"/>
        <w:sz w:val="12"/>
        <w:szCs w:val="12"/>
      </w:rPr>
      <w:t xml:space="preserve">© </w:t>
    </w:r>
    <w:r>
      <w:rPr>
        <w:rFonts w:cstheme="minorHAnsi"/>
        <w:sz w:val="12"/>
        <w:szCs w:val="12"/>
      </w:rPr>
      <w:t>2023</w:t>
    </w:r>
    <w:r w:rsidRPr="00AE2A07">
      <w:rPr>
        <w:rFonts w:cstheme="minorHAnsi"/>
        <w:sz w:val="12"/>
        <w:szCs w:val="12"/>
      </w:rPr>
      <w:t>.</w:t>
    </w:r>
    <w:r w:rsidRPr="00AE2A07">
      <w:rPr>
        <w:rFonts w:eastAsia="Verdana" w:cstheme="minorHAnsi"/>
        <w:sz w:val="12"/>
        <w:szCs w:val="12"/>
      </w:rPr>
      <w:t xml:space="preserve"> </w:t>
    </w:r>
    <w:r w:rsidRPr="00AE2A07">
      <w:rPr>
        <w:rFonts w:cstheme="minorHAnsi"/>
        <w:sz w:val="12"/>
        <w:szCs w:val="12"/>
      </w:rPr>
      <w:t>For information, contact Deloitte Touche Tohmatsu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46FD" w14:textId="77777777" w:rsidR="00AA7F20" w:rsidRDefault="00AA7F20">
    <w:pPr>
      <w:pStyle w:val="Rodap"/>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F8BC" w14:textId="77777777" w:rsidR="000E51BC" w:rsidRDefault="000E51BC">
    <w:pPr>
      <w:pStyle w:val="Rodap"/>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E8E" w14:textId="77777777" w:rsidR="00BF175D" w:rsidRDefault="00BF175D" w:rsidP="00BF175D">
    <w:pPr>
      <w:pStyle w:val="Rodap"/>
    </w:pPr>
    <w:r w:rsidRPr="00AE2A07">
      <w:rPr>
        <w:rFonts w:eastAsia="Verdana" w:cstheme="minorHAnsi"/>
        <w:sz w:val="12"/>
        <w:szCs w:val="12"/>
      </w:rPr>
      <w:t xml:space="preserve">© </w:t>
    </w:r>
    <w:r>
      <w:rPr>
        <w:rFonts w:cstheme="minorHAnsi"/>
        <w:sz w:val="12"/>
        <w:szCs w:val="12"/>
      </w:rPr>
      <w:t>2023</w:t>
    </w:r>
    <w:r w:rsidRPr="00AE2A07">
      <w:rPr>
        <w:rFonts w:cstheme="minorHAnsi"/>
        <w:sz w:val="12"/>
        <w:szCs w:val="12"/>
      </w:rPr>
      <w:t>.</w:t>
    </w:r>
    <w:r w:rsidRPr="00AE2A07">
      <w:rPr>
        <w:rFonts w:eastAsia="Verdana" w:cstheme="minorHAnsi"/>
        <w:sz w:val="12"/>
        <w:szCs w:val="12"/>
      </w:rPr>
      <w:t xml:space="preserve"> </w:t>
    </w:r>
    <w:r w:rsidRPr="00AE2A07">
      <w:rPr>
        <w:rFonts w:cstheme="minorHAnsi"/>
        <w:sz w:val="12"/>
        <w:szCs w:val="12"/>
      </w:rPr>
      <w:t>For information, contact Deloitte Touche Tohmatsu Limited</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3CD5" w14:textId="77777777" w:rsidR="00A17439" w:rsidRDefault="000C6C6A">
    <w:pPr>
      <w:pStyle w:val="Rodap"/>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0A54" w14:textId="77777777" w:rsidR="00A17439" w:rsidRDefault="000C6C6A">
    <w:pPr>
      <w:pStyle w:val="Rodap"/>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421558"/>
      <w:docPartObj>
        <w:docPartGallery w:val="Page Numbers (Bottom of Page)"/>
        <w:docPartUnique/>
      </w:docPartObj>
    </w:sdtPr>
    <w:sdtEndPr/>
    <w:sdtContent>
      <w:p w14:paraId="3FFCB2B2" w14:textId="77777777" w:rsidR="009C4F47" w:rsidRDefault="00E028F9">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56192" behindDoc="0" locked="0" layoutInCell="1" allowOverlap="1" wp14:anchorId="294F988D" wp14:editId="491FF0E6">
                  <wp:simplePos x="0" y="0"/>
                  <wp:positionH relativeFrom="page">
                    <wp:align>left</wp:align>
                  </wp:positionH>
                  <wp:positionV relativeFrom="paragraph">
                    <wp:posOffset>2067</wp:posOffset>
                  </wp:positionV>
                  <wp:extent cx="5603132" cy="45719"/>
                  <wp:effectExtent l="0" t="0" r="0" b="0"/>
                  <wp:wrapNone/>
                  <wp:docPr id="29"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290409F" id="Retângulo 14" o:spid="_x0000_s1026" style="position:absolute;margin-left:0;margin-top:.15pt;width:441.2pt;height:3.6pt;flip:y;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C60367F" w14:textId="77777777" w:rsidR="009C4F47" w:rsidRDefault="000C6C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647B" w14:textId="77777777" w:rsidR="00AA7F20" w:rsidRDefault="00AA7F2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628372"/>
      <w:docPartObj>
        <w:docPartGallery w:val="Page Numbers (Bottom of Page)"/>
        <w:docPartUnique/>
      </w:docPartObj>
    </w:sdtPr>
    <w:sdtEndPr/>
    <w:sdtContent>
      <w:p w14:paraId="6FE3CC3F" w14:textId="78D3EA90" w:rsidR="00AA7F20" w:rsidRDefault="00AA7F20">
        <w:pPr>
          <w:pStyle w:val="Rodap"/>
          <w:jc w:val="right"/>
        </w:pPr>
        <w:r>
          <w:fldChar w:fldCharType="begin"/>
        </w:r>
        <w:r>
          <w:instrText>PAGE   \* MERGEFORMAT</w:instrText>
        </w:r>
        <w:r>
          <w:fldChar w:fldCharType="separate"/>
        </w:r>
        <w:r w:rsidR="006A362F">
          <w:rPr>
            <w:noProof/>
          </w:rPr>
          <w:t>1</w:t>
        </w:r>
        <w:r>
          <w:fldChar w:fldCharType="end"/>
        </w:r>
      </w:p>
    </w:sdtContent>
  </w:sdt>
  <w:p w14:paraId="5AFA6BA4" w14:textId="06C03928" w:rsidR="00AA7F20" w:rsidRDefault="00AA7F20" w:rsidP="00F81992">
    <w:pPr>
      <w:pStyle w:val="Rodap"/>
      <w:tabs>
        <w:tab w:val="clear" w:pos="4252"/>
        <w:tab w:val="clear" w:pos="8504"/>
        <w:tab w:val="left" w:pos="850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CD2F" w14:textId="77777777" w:rsidR="00AA7F20" w:rsidRDefault="00AA7F20">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08929"/>
      <w:docPartObj>
        <w:docPartGallery w:val="Page Numbers (Bottom of Page)"/>
        <w:docPartUnique/>
      </w:docPartObj>
    </w:sdtPr>
    <w:sdtContent>
      <w:p w14:paraId="56DD44E0" w14:textId="185909C7" w:rsidR="00112673" w:rsidRDefault="00112673">
        <w:pPr>
          <w:pStyle w:val="Rodap"/>
          <w:jc w:val="right"/>
        </w:pPr>
        <w:r>
          <w:fldChar w:fldCharType="begin"/>
        </w:r>
        <w:r>
          <w:instrText>PAGE   \* MERGEFORMAT</w:instrText>
        </w:r>
        <w:r>
          <w:fldChar w:fldCharType="separate"/>
        </w:r>
        <w:r>
          <w:t>2</w:t>
        </w:r>
        <w:r>
          <w:fldChar w:fldCharType="end"/>
        </w:r>
      </w:p>
    </w:sdtContent>
  </w:sdt>
  <w:p w14:paraId="38AB6A55" w14:textId="653DE9F6" w:rsidR="00AA7F20" w:rsidRDefault="00AA7F20">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7270"/>
      <w:docPartObj>
        <w:docPartGallery w:val="Page Numbers (Bottom of Page)"/>
        <w:docPartUnique/>
      </w:docPartObj>
    </w:sdtPr>
    <w:sdtEndPr/>
    <w:sdtContent>
      <w:p w14:paraId="0B4FCDD1" w14:textId="77777777" w:rsidR="00AA7F20" w:rsidRDefault="00AA7F20">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19328" behindDoc="0" locked="0" layoutInCell="1" allowOverlap="1" wp14:anchorId="4B33F79D" wp14:editId="53D95ABA">
                  <wp:simplePos x="0" y="0"/>
                  <wp:positionH relativeFrom="page">
                    <wp:align>left</wp:align>
                  </wp:positionH>
                  <wp:positionV relativeFrom="paragraph">
                    <wp:posOffset>2067</wp:posOffset>
                  </wp:positionV>
                  <wp:extent cx="5603132" cy="45719"/>
                  <wp:effectExtent l="0" t="0" r="0" b="0"/>
                  <wp:wrapNone/>
                  <wp:docPr id="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646C9C25" id="Retângulo 14" o:spid="_x0000_s1026" style="position:absolute;margin-left:0;margin-top:.15pt;width:441.2pt;height:3.6pt;flip:y;z-index:251619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0F976F7E" w14:textId="77777777" w:rsidR="00AA7F20" w:rsidRDefault="00AA7F20">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84896"/>
      <w:docPartObj>
        <w:docPartGallery w:val="Page Numbers (Bottom of Page)"/>
        <w:docPartUnique/>
      </w:docPartObj>
    </w:sdtPr>
    <w:sdtContent>
      <w:p w14:paraId="770874DC" w14:textId="5AD6C602" w:rsidR="00A1371B" w:rsidRDefault="00A1371B">
        <w:pPr>
          <w:pStyle w:val="Rodap"/>
          <w:jc w:val="right"/>
        </w:pPr>
        <w:r>
          <w:fldChar w:fldCharType="begin"/>
        </w:r>
        <w:r>
          <w:instrText>PAGE   \* MERGEFORMAT</w:instrText>
        </w:r>
        <w:r>
          <w:fldChar w:fldCharType="separate"/>
        </w:r>
        <w:r>
          <w:t>2</w:t>
        </w:r>
        <w:r>
          <w:fldChar w:fldCharType="end"/>
        </w:r>
      </w:p>
    </w:sdtContent>
  </w:sdt>
  <w:p w14:paraId="004354AB" w14:textId="77777777" w:rsidR="00AA7F20" w:rsidRDefault="00AA7F20">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53ED" w14:textId="77777777" w:rsidR="00AA7F20" w:rsidRDefault="00AA7F2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2BB" w14:textId="77777777" w:rsidR="00AA7F20" w:rsidRDefault="00AA7F20" w:rsidP="001170F1">
      <w:pPr>
        <w:spacing w:after="0" w:line="240" w:lineRule="auto"/>
      </w:pPr>
      <w:r>
        <w:separator/>
      </w:r>
    </w:p>
  </w:footnote>
  <w:footnote w:type="continuationSeparator" w:id="0">
    <w:p w14:paraId="390B6C95" w14:textId="77777777" w:rsidR="00AA7F20" w:rsidRDefault="00AA7F20"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CAC" w14:textId="77777777" w:rsidR="00AA7F20" w:rsidRDefault="00AA7F20">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7F3B" w14:textId="5B32F667" w:rsidR="00112673" w:rsidRPr="00992545" w:rsidRDefault="00F94E4F" w:rsidP="00187C45">
    <w:pPr>
      <w:ind w:left="708"/>
      <w:jc w:val="right"/>
    </w:pPr>
    <w:r>
      <w:rPr>
        <w:noProof/>
        <w:sz w:val="20"/>
        <w:szCs w:val="20"/>
        <w:lang w:eastAsia="pt-BR"/>
      </w:rPr>
      <mc:AlternateContent>
        <mc:Choice Requires="wps">
          <w:drawing>
            <wp:anchor distT="0" distB="0" distL="114300" distR="114300" simplePos="0" relativeHeight="251684864" behindDoc="0" locked="0" layoutInCell="0" allowOverlap="1" wp14:anchorId="4D23BFE8" wp14:editId="252DA84F">
              <wp:simplePos x="0" y="0"/>
              <wp:positionH relativeFrom="page">
                <wp:align>right</wp:align>
              </wp:positionH>
              <wp:positionV relativeFrom="page">
                <wp:align>top</wp:align>
              </wp:positionV>
              <wp:extent cx="7772400" cy="463550"/>
              <wp:effectExtent l="0" t="0" r="0" b="12700"/>
              <wp:wrapNone/>
              <wp:docPr id="42" name="MSIPCM89c64b139846f05a0f031c72" descr="{&quot;HashCode&quot;:110317311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0AAFBA" w14:textId="6B7F7A4B" w:rsidR="00F94E4F"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D23BFE8" id="_x0000_t202" coordsize="21600,21600" o:spt="202" path="m,l,21600r21600,l21600,xe">
              <v:stroke joinstyle="miter"/>
              <v:path gradientshapeok="t" o:connecttype="rect"/>
            </v:shapetype>
            <v:shape id="MSIPCM89c64b139846f05a0f031c72" o:spid="_x0000_s1033" type="#_x0000_t202" alt="{&quot;HashCode&quot;:1103173119,&quot;Height&quot;:9999999.0,&quot;Width&quot;:9999999.0,&quot;Placement&quot;:&quot;Header&quot;,&quot;Index&quot;:&quot;Primary&quot;,&quot;Section&quot;:6,&quot;Top&quot;:0.0,&quot;Left&quot;:0.0}" style="position:absolute;left:0;text-align:left;margin-left:560.8pt;margin-top:0;width:612pt;height:36.5pt;z-index:2516848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" o:allowincell="f" filled="f" stroked="f" strokeweight=".5pt">
              <v:fill o:detectmouseclick="t"/>
              <v:textbox inset=",0,20pt,0">
                <w:txbxContent>
                  <w:p w14:paraId="060AAFBA" w14:textId="6B7F7A4B" w:rsidR="00F94E4F"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r w:rsidR="00112673">
      <w:rPr>
        <w:noProof/>
        <w:sz w:val="20"/>
        <w:szCs w:val="20"/>
        <w:lang w:eastAsia="pt-BR"/>
      </w:rPr>
      <mc:AlternateContent>
        <mc:Choice Requires="wps">
          <w:drawing>
            <wp:anchor distT="0" distB="0" distL="114300" distR="114300" simplePos="0" relativeHeight="251669504" behindDoc="0" locked="0" layoutInCell="1" allowOverlap="1" wp14:anchorId="4E930B15" wp14:editId="16101971">
              <wp:simplePos x="0" y="0"/>
              <wp:positionH relativeFrom="column">
                <wp:posOffset>6456256</wp:posOffset>
              </wp:positionH>
              <wp:positionV relativeFrom="paragraph">
                <wp:posOffset>-468136</wp:posOffset>
              </wp:positionV>
              <wp:extent cx="3629448" cy="402742"/>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761921B3" w14:textId="77777777" w:rsidR="00112673" w:rsidRPr="00AF3549" w:rsidRDefault="00112673"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3D2EB542" w14:textId="77777777" w:rsidR="00112673" w:rsidRPr="00AF3549" w:rsidRDefault="00112673"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0B15" id="Caixa de Texto 25" o:spid="_x0000_s1034" type="#_x0000_t202" style="position:absolute;left:0;text-align:left;margin-left:508.35pt;margin-top:-36.85pt;width:285.8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" filled="f" stroked="f" strokeweight=".5pt">
              <v:textbox>
                <w:txbxContent>
                  <w:p w14:paraId="761921B3" w14:textId="77777777" w:rsidR="00112673" w:rsidRPr="00AF3549" w:rsidRDefault="00112673"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3D2EB542" w14:textId="77777777" w:rsidR="00112673" w:rsidRPr="00AF3549" w:rsidRDefault="00112673" w:rsidP="0017189F">
                    <w:pPr>
                      <w:jc w:val="right"/>
                    </w:pPr>
                  </w:p>
                </w:txbxContent>
              </v:textbox>
            </v:shape>
          </w:pict>
        </mc:Fallback>
      </mc:AlternateContent>
    </w:r>
    <w:r w:rsidR="00112673" w:rsidRPr="00254D35">
      <w:rPr>
        <w:noProof/>
        <w:sz w:val="20"/>
        <w:szCs w:val="20"/>
        <w:lang w:eastAsia="pt-BR"/>
      </w:rPr>
      <mc:AlternateContent>
        <mc:Choice Requires="wps">
          <w:drawing>
            <wp:anchor distT="0" distB="0" distL="114300" distR="114300" simplePos="0" relativeHeight="251659264" behindDoc="0" locked="0" layoutInCell="1" allowOverlap="1" wp14:anchorId="46AB6422" wp14:editId="382D5660">
              <wp:simplePos x="0" y="0"/>
              <wp:positionH relativeFrom="page">
                <wp:posOffset>-1178011</wp:posOffset>
              </wp:positionH>
              <wp:positionV relativeFrom="paragraph">
                <wp:posOffset>-556861</wp:posOffset>
              </wp:positionV>
              <wp:extent cx="11887200" cy="527222"/>
              <wp:effectExtent l="0" t="0" r="0" b="6350"/>
              <wp:wrapNone/>
              <wp:docPr id="30" name="Retângulo 30"/>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5F54916E" w14:textId="77777777" w:rsidR="00112673" w:rsidRDefault="00112673"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B6422" id="Retângulo 30" o:spid="_x0000_s1035" style="position:absolute;left:0;text-align:left;margin-left:-92.75pt;margin-top:-43.85pt;width:13in;height: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" fillcolor="#002d4b" stroked="f" strokeweight="1pt">
              <v:textbox>
                <w:txbxContent>
                  <w:p w14:paraId="5F54916E" w14:textId="77777777" w:rsidR="00112673" w:rsidRDefault="00112673" w:rsidP="00187C45">
                    <w:pPr>
                      <w:ind w:left="708"/>
                      <w:jc w:val="right"/>
                    </w:pPr>
                  </w:p>
                </w:txbxContent>
              </v:textbox>
              <w10:wrap anchorx="page"/>
            </v:rect>
          </w:pict>
        </mc:Fallback>
      </mc:AlternateContent>
    </w:r>
    <w:r w:rsidR="00112673" w:rsidRPr="005D303B">
      <w:rPr>
        <w:b/>
        <w:noProof/>
        <w:color w:val="1F4E79" w:themeColor="accent1" w:themeShade="80"/>
        <w:lang w:eastAsia="pt-BR"/>
      </w:rPr>
      <mc:AlternateContent>
        <mc:Choice Requires="wps">
          <w:drawing>
            <wp:anchor distT="0" distB="0" distL="114300" distR="114300" simplePos="0" relativeHeight="251663360" behindDoc="0" locked="0" layoutInCell="1" allowOverlap="1" wp14:anchorId="3E577B8A" wp14:editId="65965E5E">
              <wp:simplePos x="0" y="0"/>
              <wp:positionH relativeFrom="page">
                <wp:posOffset>-720969</wp:posOffset>
              </wp:positionH>
              <wp:positionV relativeFrom="paragraph">
                <wp:posOffset>-48651</wp:posOffset>
              </wp:positionV>
              <wp:extent cx="11406505" cy="45719"/>
              <wp:effectExtent l="0" t="0" r="4445" b="0"/>
              <wp:wrapNone/>
              <wp:docPr id="33"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C5E8936" id="Retângulo 14" o:spid="_x0000_s1026" style="position:absolute;margin-left:-56.75pt;margin-top:-3.85pt;width:898.1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sidR="00112673">
      <w:rPr>
        <w:noProof/>
        <w:sz w:val="20"/>
        <w:szCs w:val="20"/>
        <w:lang w:eastAsia="pt-BR"/>
      </w:rPr>
      <w:drawing>
        <wp:anchor distT="0" distB="0" distL="114300" distR="114300" simplePos="0" relativeHeight="251665408" behindDoc="0" locked="0" layoutInCell="1" allowOverlap="1" wp14:anchorId="3CAC8E5B" wp14:editId="54AF2EB6">
          <wp:simplePos x="0" y="0"/>
          <wp:positionH relativeFrom="margin">
            <wp:posOffset>-294957</wp:posOffset>
          </wp:positionH>
          <wp:positionV relativeFrom="page">
            <wp:posOffset>148590</wp:posOffset>
          </wp:positionV>
          <wp:extent cx="967740" cy="198755"/>
          <wp:effectExtent l="0" t="0" r="381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4F64" w14:textId="77777777" w:rsidR="00AA7F20" w:rsidRDefault="00AA7F20">
    <w:pPr>
      <w:pStyle w:val="Cabealh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8969" w14:textId="77777777" w:rsidR="00AA7F20" w:rsidRDefault="00AA7F20">
    <w:pPr>
      <w:pStyle w:val="Cabealho"/>
    </w:pPr>
    <w:r>
      <w:rPr>
        <w:noProof/>
        <w:lang w:eastAsia="pt-BR"/>
      </w:rPr>
      <mc:AlternateContent>
        <mc:Choice Requires="wps">
          <w:drawing>
            <wp:anchor distT="0" distB="0" distL="114300" distR="114300" simplePos="0" relativeHeight="251626496" behindDoc="0" locked="0" layoutInCell="0" allowOverlap="1" wp14:anchorId="2147697E" wp14:editId="0057A17B">
              <wp:simplePos x="0" y="0"/>
              <wp:positionH relativeFrom="page">
                <wp:posOffset>0</wp:posOffset>
              </wp:positionH>
              <wp:positionV relativeFrom="page">
                <wp:posOffset>190500</wp:posOffset>
              </wp:positionV>
              <wp:extent cx="7560310" cy="266700"/>
              <wp:effectExtent l="0" t="0" r="0" b="0"/>
              <wp:wrapNone/>
              <wp:docPr id="11"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CAD38" w14:textId="77777777" w:rsidR="00AA7F20" w:rsidRPr="00F10B26" w:rsidRDefault="00AA7F20" w:rsidP="00DC062C">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147697E" id="_x0000_t202" coordsize="21600,21600" o:spt="202" path="m,l,21600r21600,l21600,xe">
              <v:stroke joinstyle="miter"/>
              <v:path gradientshapeok="t" o:connecttype="rect"/>
            </v:shapetype>
            <v:shape id="MSIPCMafbe480880c78337ed6cc877" o:spid="_x0000_s1036" type="#_x0000_t202" alt="{&quot;HashCode&quot;:-1487292391,&quot;Height&quot;:841.0,&quot;Width&quot;:595.0,&quot;Placement&quot;:&quot;Header&quot;,&quot;Index&quot;:&quot;OddAndEven&quot;,&quot;Section&quot;:1,&quot;Top&quot;:0.0,&quot;Left&quot;:0.0}" style="position:absolute;margin-left:0;margin-top:15pt;width:595.3pt;height:21pt;z-index:251626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" o:allowincell="f" filled="f" stroked="f" strokeweight=".5pt">
              <v:textbox inset=",0,20pt,0">
                <w:txbxContent>
                  <w:p w14:paraId="376CAD38" w14:textId="77777777" w:rsidR="00AA7F20" w:rsidRPr="00F10B26" w:rsidRDefault="00AA7F20" w:rsidP="00DC062C">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149E" w14:textId="53668394" w:rsidR="00112673" w:rsidRPr="00992545" w:rsidRDefault="000C6C6A" w:rsidP="00187C45">
    <w:pPr>
      <w:ind w:left="708"/>
      <w:jc w:val="right"/>
    </w:pPr>
    <w:r>
      <w:rPr>
        <w:noProof/>
        <w:sz w:val="20"/>
        <w:szCs w:val="20"/>
        <w:lang w:eastAsia="pt-BR"/>
      </w:rPr>
      <mc:AlternateContent>
        <mc:Choice Requires="wps">
          <w:drawing>
            <wp:anchor distT="0" distB="0" distL="114300" distR="114300" simplePos="0" relativeHeight="251710464" behindDoc="0" locked="0" layoutInCell="0" allowOverlap="1" wp14:anchorId="1ED2AD98" wp14:editId="14FA0BD3">
              <wp:simplePos x="0" y="0"/>
              <wp:positionH relativeFrom="page">
                <wp:align>right</wp:align>
              </wp:positionH>
              <wp:positionV relativeFrom="page">
                <wp:align>top</wp:align>
              </wp:positionV>
              <wp:extent cx="7772400" cy="463550"/>
              <wp:effectExtent l="0" t="0" r="0" b="12700"/>
              <wp:wrapNone/>
              <wp:docPr id="44" name="MSIPCM57204000a4f906911d713458" descr="{&quot;HashCode&quot;:1103173119,&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33DB6" w14:textId="1FDE1715" w:rsidR="000C6C6A"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ED2AD98" id="_x0000_t202" coordsize="21600,21600" o:spt="202" path="m,l,21600r21600,l21600,xe">
              <v:stroke joinstyle="miter"/>
              <v:path gradientshapeok="t" o:connecttype="rect"/>
            </v:shapetype>
            <v:shape id="MSIPCM57204000a4f906911d713458" o:spid="_x0000_s1037" type="#_x0000_t202" alt="{&quot;HashCode&quot;:1103173119,&quot;Height&quot;:9999999.0,&quot;Width&quot;:9999999.0,&quot;Placement&quot;:&quot;Header&quot;,&quot;Index&quot;:&quot;Primary&quot;,&quot;Section&quot;:7,&quot;Top&quot;:0.0,&quot;Left&quot;:0.0}" style="position:absolute;left:0;text-align:left;margin-left:560.8pt;margin-top:0;width:612pt;height:36.5pt;z-index:2517104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HEG55IcAgAALwQAAA4AAAAAAAAAAAAAAAAALgIAAGRycy9lMm9Eb2MueG1sUEsBAi0AFAAG&#10;AAgAAAAhAM++O6HaAAAABQEAAA8AAAAAAAAAAAAAAAAAdgQAAGRycy9kb3ducmV2LnhtbFBLBQYA&#10;AAAABAAEAPMAAAB9BQAAAAA=&#10;" o:allowincell="f" filled="f" stroked="f" strokeweight=".5pt">
              <v:fill o:detectmouseclick="t"/>
              <v:textbox inset=",0,20pt,0">
                <w:txbxContent>
                  <w:p w14:paraId="0BF33DB6" w14:textId="1FDE1715" w:rsidR="000C6C6A"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r w:rsidR="00112673">
      <w:rPr>
        <w:noProof/>
        <w:sz w:val="20"/>
        <w:szCs w:val="20"/>
        <w:lang w:eastAsia="pt-BR"/>
      </w:rPr>
      <mc:AlternateContent>
        <mc:Choice Requires="wps">
          <w:drawing>
            <wp:anchor distT="0" distB="0" distL="114300" distR="114300" simplePos="0" relativeHeight="251709440" behindDoc="0" locked="0" layoutInCell="1" allowOverlap="1" wp14:anchorId="107A425E" wp14:editId="661B8E0E">
              <wp:simplePos x="0" y="0"/>
              <wp:positionH relativeFrom="column">
                <wp:posOffset>3019339</wp:posOffset>
              </wp:positionH>
              <wp:positionV relativeFrom="paragraph">
                <wp:posOffset>-479442</wp:posOffset>
              </wp:positionV>
              <wp:extent cx="3629448" cy="402742"/>
              <wp:effectExtent l="0" t="0" r="0" b="0"/>
              <wp:wrapNone/>
              <wp:docPr id="36" name="Caixa de Texto 36"/>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6A52AC01" w14:textId="77777777" w:rsidR="00112673" w:rsidRPr="00AF3549" w:rsidRDefault="00112673"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009D88A5" w14:textId="77777777" w:rsidR="00112673" w:rsidRPr="00AF3549" w:rsidRDefault="00112673"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A425E" id="Caixa de Texto 36" o:spid="_x0000_s1038" type="#_x0000_t202" style="position:absolute;left:0;text-align:left;margin-left:237.75pt;margin-top:-37.75pt;width:285.8pt;height:3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7EHAIAADQEAAAOAAAAZHJzL2Uyb0RvYy54bWysU8tu2zAQvBfoPxC815JlxU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" filled="f" stroked="f" strokeweight=".5pt">
              <v:textbox>
                <w:txbxContent>
                  <w:p w14:paraId="6A52AC01" w14:textId="77777777" w:rsidR="00112673" w:rsidRPr="00AF3549" w:rsidRDefault="00112673" w:rsidP="0017189F">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009D88A5" w14:textId="77777777" w:rsidR="00112673" w:rsidRPr="00AF3549" w:rsidRDefault="00112673" w:rsidP="0017189F">
                    <w:pPr>
                      <w:jc w:val="right"/>
                    </w:pPr>
                  </w:p>
                </w:txbxContent>
              </v:textbox>
            </v:shape>
          </w:pict>
        </mc:Fallback>
      </mc:AlternateContent>
    </w:r>
    <w:r w:rsidR="00112673" w:rsidRPr="00254D35">
      <w:rPr>
        <w:noProof/>
        <w:sz w:val="20"/>
        <w:szCs w:val="20"/>
        <w:lang w:eastAsia="pt-BR"/>
      </w:rPr>
      <mc:AlternateContent>
        <mc:Choice Requires="wps">
          <w:drawing>
            <wp:anchor distT="0" distB="0" distL="114300" distR="114300" simplePos="0" relativeHeight="251703296" behindDoc="0" locked="0" layoutInCell="1" allowOverlap="1" wp14:anchorId="5DEF287C" wp14:editId="7A1DE22D">
              <wp:simplePos x="0" y="0"/>
              <wp:positionH relativeFrom="page">
                <wp:posOffset>-1178011</wp:posOffset>
              </wp:positionH>
              <wp:positionV relativeFrom="paragraph">
                <wp:posOffset>-556861</wp:posOffset>
              </wp:positionV>
              <wp:extent cx="11887200" cy="527222"/>
              <wp:effectExtent l="0" t="0" r="0" b="6350"/>
              <wp:wrapNone/>
              <wp:docPr id="37" name="Retângulo 37"/>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46A21F8E" w14:textId="77777777" w:rsidR="00112673" w:rsidRDefault="00112673"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F287C" id="Retângulo 37" o:spid="_x0000_s1039" style="position:absolute;left:0;text-align:left;margin-left:-92.75pt;margin-top:-43.85pt;width:13in;height:41.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" fillcolor="#002d4b" stroked="f" strokeweight="1pt">
              <v:textbox>
                <w:txbxContent>
                  <w:p w14:paraId="46A21F8E" w14:textId="77777777" w:rsidR="00112673" w:rsidRDefault="00112673" w:rsidP="00187C45">
                    <w:pPr>
                      <w:ind w:left="708"/>
                      <w:jc w:val="right"/>
                    </w:pPr>
                  </w:p>
                </w:txbxContent>
              </v:textbox>
              <w10:wrap anchorx="page"/>
            </v:rect>
          </w:pict>
        </mc:Fallback>
      </mc:AlternateContent>
    </w:r>
    <w:r w:rsidR="00112673" w:rsidRPr="005D303B">
      <w:rPr>
        <w:b/>
        <w:noProof/>
        <w:color w:val="1F4E79" w:themeColor="accent1" w:themeShade="80"/>
        <w:lang w:eastAsia="pt-BR"/>
      </w:rPr>
      <mc:AlternateContent>
        <mc:Choice Requires="wps">
          <w:drawing>
            <wp:anchor distT="0" distB="0" distL="114300" distR="114300" simplePos="0" relativeHeight="251705344" behindDoc="0" locked="0" layoutInCell="1" allowOverlap="1" wp14:anchorId="4D5844CE" wp14:editId="677ADB78">
              <wp:simplePos x="0" y="0"/>
              <wp:positionH relativeFrom="page">
                <wp:posOffset>-720969</wp:posOffset>
              </wp:positionH>
              <wp:positionV relativeFrom="paragraph">
                <wp:posOffset>-48651</wp:posOffset>
              </wp:positionV>
              <wp:extent cx="11406505" cy="45719"/>
              <wp:effectExtent l="0" t="0" r="4445" b="0"/>
              <wp:wrapNone/>
              <wp:docPr id="39"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69F4804C" id="Retângulo 14" o:spid="_x0000_s1026" style="position:absolute;margin-left:-56.75pt;margin-top:-3.85pt;width:898.15pt;height:3.6pt;flip:y;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sidR="00112673">
      <w:rPr>
        <w:noProof/>
        <w:sz w:val="20"/>
        <w:szCs w:val="20"/>
        <w:lang w:eastAsia="pt-BR"/>
      </w:rPr>
      <w:drawing>
        <wp:anchor distT="0" distB="0" distL="114300" distR="114300" simplePos="0" relativeHeight="251707392" behindDoc="0" locked="0" layoutInCell="1" allowOverlap="1" wp14:anchorId="15F71040" wp14:editId="6F428600">
          <wp:simplePos x="0" y="0"/>
          <wp:positionH relativeFrom="margin">
            <wp:posOffset>-294957</wp:posOffset>
          </wp:positionH>
          <wp:positionV relativeFrom="page">
            <wp:posOffset>148590</wp:posOffset>
          </wp:positionV>
          <wp:extent cx="967740" cy="198755"/>
          <wp:effectExtent l="0" t="0" r="3810"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DB57" w14:textId="544B75DF" w:rsidR="00AA7F20" w:rsidRPr="00147488" w:rsidRDefault="000C6C6A" w:rsidP="00DC062C">
    <w:pPr>
      <w:pStyle w:val="Cabealho"/>
      <w:tabs>
        <w:tab w:val="clear" w:pos="4252"/>
        <w:tab w:val="clear" w:pos="8504"/>
        <w:tab w:val="left" w:pos="5625"/>
      </w:tabs>
    </w:pPr>
    <w:r>
      <w:rPr>
        <w:rFonts w:cs="Arial"/>
        <w:b/>
        <w:noProof/>
        <w:color w:val="1F4E79" w:themeColor="accent1" w:themeShade="80"/>
        <w:szCs w:val="18"/>
        <w:lang w:eastAsia="pt-BR"/>
      </w:rPr>
      <mc:AlternateContent>
        <mc:Choice Requires="wps">
          <w:drawing>
            <wp:anchor distT="0" distB="0" distL="114300" distR="114300" simplePos="0" relativeHeight="251711488" behindDoc="0" locked="0" layoutInCell="0" allowOverlap="1" wp14:anchorId="6DF5DA4E" wp14:editId="1A6C9F33">
              <wp:simplePos x="0" y="190500"/>
              <wp:positionH relativeFrom="page">
                <wp:align>right</wp:align>
              </wp:positionH>
              <wp:positionV relativeFrom="page">
                <wp:align>top</wp:align>
              </wp:positionV>
              <wp:extent cx="7772400" cy="463550"/>
              <wp:effectExtent l="0" t="0" r="0" b="12700"/>
              <wp:wrapNone/>
              <wp:docPr id="45" name="MSIPCMace64588a60f69b1200cdda4" descr="{&quot;HashCode&quot;:1103173119,&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ED015" w14:textId="48F7E6D1" w:rsidR="000C6C6A"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DF5DA4E" id="_x0000_t202" coordsize="21600,21600" o:spt="202" path="m,l,21600r21600,l21600,xe">
              <v:stroke joinstyle="miter"/>
              <v:path gradientshapeok="t" o:connecttype="rect"/>
            </v:shapetype>
            <v:shape id="MSIPCMace64588a60f69b1200cdda4" o:spid="_x0000_s1040" type="#_x0000_t202" alt="{&quot;HashCode&quot;:1103173119,&quot;Height&quot;:9999999.0,&quot;Width&quot;:9999999.0,&quot;Placement&quot;:&quot;Header&quot;,&quot;Index&quot;:&quot;FirstPage&quot;,&quot;Section&quot;:7,&quot;Top&quot;:0.0,&quot;Left&quot;:0.0}" style="position:absolute;margin-left:560.8pt;margin-top:0;width:612pt;height:36.5pt;z-index:25171148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3fHQ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" o:allowincell="f" filled="f" stroked="f" strokeweight=".5pt">
              <v:fill o:detectmouseclick="t"/>
              <v:textbox inset=",0,20pt,0">
                <w:txbxContent>
                  <w:p w14:paraId="4D9ED015" w14:textId="48F7E6D1" w:rsidR="000C6C6A"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r w:rsidR="00AA7F20" w:rsidRPr="005D303B">
      <w:rPr>
        <w:rFonts w:cs="Arial"/>
        <w:b/>
        <w:noProof/>
        <w:color w:val="1F4E79" w:themeColor="accent1" w:themeShade="80"/>
        <w:szCs w:val="18"/>
        <w:lang w:eastAsia="pt-BR"/>
      </w:rPr>
      <w:drawing>
        <wp:anchor distT="0" distB="0" distL="114300" distR="114300" simplePos="0" relativeHeight="251636736" behindDoc="0" locked="0" layoutInCell="1" allowOverlap="1" wp14:anchorId="70173648" wp14:editId="27599AC6">
          <wp:simplePos x="0" y="0"/>
          <wp:positionH relativeFrom="margin">
            <wp:posOffset>-447675</wp:posOffset>
          </wp:positionH>
          <wp:positionV relativeFrom="paragraph">
            <wp:posOffset>-353060</wp:posOffset>
          </wp:positionV>
          <wp:extent cx="1176020" cy="259080"/>
          <wp:effectExtent l="0" t="0" r="5080" b="762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AA7F20" w:rsidRPr="0069353A">
      <w:rPr>
        <w:noProof/>
        <w:sz w:val="20"/>
        <w:szCs w:val="20"/>
        <w:lang w:eastAsia="pt-BR"/>
      </w:rPr>
      <mc:AlternateContent>
        <mc:Choice Requires="wps">
          <w:drawing>
            <wp:anchor distT="0" distB="0" distL="114300" distR="114300" simplePos="0" relativeHeight="251631616" behindDoc="1" locked="0" layoutInCell="1" allowOverlap="1" wp14:anchorId="66D8A583" wp14:editId="27ABD581">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9" name="Retângulo 19"/>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FA5E8" id="Retângulo 19" o:spid="_x0000_s1026" style="position:absolute;margin-left:0;margin-top:-42.75pt;width:594.75pt;height:51.8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00AA7F20" w:rsidRPr="005D303B">
      <w:rPr>
        <w:rFonts w:cs="Arial"/>
        <w:b/>
        <w:noProof/>
        <w:color w:val="1F4E79" w:themeColor="accent1" w:themeShade="80"/>
        <w:szCs w:val="18"/>
        <w:lang w:eastAsia="pt-BR"/>
      </w:rPr>
      <mc:AlternateContent>
        <mc:Choice Requires="wps">
          <w:drawing>
            <wp:anchor distT="0" distB="0" distL="114300" distR="114300" simplePos="0" relativeHeight="251639808" behindDoc="0" locked="0" layoutInCell="1" allowOverlap="1" wp14:anchorId="19CAF373" wp14:editId="3393717A">
              <wp:simplePos x="0" y="0"/>
              <wp:positionH relativeFrom="page">
                <wp:posOffset>0</wp:posOffset>
              </wp:positionH>
              <wp:positionV relativeFrom="paragraph">
                <wp:posOffset>77252</wp:posOffset>
              </wp:positionV>
              <wp:extent cx="9144000" cy="53340"/>
              <wp:effectExtent l="0" t="0" r="0" b="3810"/>
              <wp:wrapNone/>
              <wp:docPr id="20"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1CE3CCAD" id="Retângulo 14" o:spid="_x0000_s1026" style="position:absolute;margin-left:0;margin-top:6.1pt;width:10in;height:4.2pt;z-index:2516398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DC48" w14:textId="77777777" w:rsidR="00AA7F20" w:rsidRDefault="00AA7F20">
    <w:pPr>
      <w:pStyle w:val="Cabealho"/>
    </w:pPr>
    <w:r>
      <w:rPr>
        <w:noProof/>
        <w:lang w:eastAsia="pt-BR"/>
      </w:rPr>
      <mc:AlternateContent>
        <mc:Choice Requires="wps">
          <w:drawing>
            <wp:anchor distT="0" distB="0" distL="114300" distR="114300" simplePos="0" relativeHeight="251641856" behindDoc="0" locked="0" layoutInCell="0" allowOverlap="1" wp14:anchorId="3F2921A5" wp14:editId="3A751D1A">
              <wp:simplePos x="0" y="0"/>
              <wp:positionH relativeFrom="page">
                <wp:posOffset>0</wp:posOffset>
              </wp:positionH>
              <wp:positionV relativeFrom="page">
                <wp:posOffset>190500</wp:posOffset>
              </wp:positionV>
              <wp:extent cx="7560310" cy="266700"/>
              <wp:effectExtent l="0" t="0" r="0" b="0"/>
              <wp:wrapNone/>
              <wp:docPr id="3"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DD9D4" w14:textId="77777777" w:rsidR="00AA7F20" w:rsidRPr="00F10B26" w:rsidRDefault="00AA7F20" w:rsidP="00AA7F20">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F2921A5" id="_x0000_t202" coordsize="21600,21600" o:spt="202" path="m,l,21600r21600,l21600,xe">
              <v:stroke joinstyle="miter"/>
              <v:path gradientshapeok="t" o:connecttype="rect"/>
            </v:shapetype>
            <v:shape id="_x0000_s1041" type="#_x0000_t202" alt="{&quot;HashCode&quot;:-1487292391,&quot;Height&quot;:841.0,&quot;Width&quot;:595.0,&quot;Placement&quot;:&quot;Header&quot;,&quot;Index&quot;:&quot;OddAndEven&quot;,&quot;Section&quot;:1,&quot;Top&quot;:0.0,&quot;Left&quot;:0.0}" style="position:absolute;margin-left:0;margin-top:15pt;width:595.3pt;height:21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" o:allowincell="f" filled="f" stroked="f" strokeweight=".5pt">
              <v:textbox inset=",0,20pt,0">
                <w:txbxContent>
                  <w:p w14:paraId="729DD9D4" w14:textId="77777777" w:rsidR="00AA7F20" w:rsidRPr="00F10B26" w:rsidRDefault="00AA7F20" w:rsidP="00AA7F20">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0216" w14:textId="4CFAF3AD" w:rsidR="00AA7F20" w:rsidRPr="00147488" w:rsidRDefault="00AA7F20" w:rsidP="00AA7F20">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51072" behindDoc="0" locked="0" layoutInCell="1" allowOverlap="1" wp14:anchorId="275DF8F6" wp14:editId="5A547807">
          <wp:simplePos x="0" y="0"/>
          <wp:positionH relativeFrom="margin">
            <wp:posOffset>-447675</wp:posOffset>
          </wp:positionH>
          <wp:positionV relativeFrom="paragraph">
            <wp:posOffset>-353060</wp:posOffset>
          </wp:positionV>
          <wp:extent cx="1176020" cy="259080"/>
          <wp:effectExtent l="0" t="0" r="5080" b="7620"/>
          <wp:wrapNone/>
          <wp:docPr id="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43904" behindDoc="1" locked="0" layoutInCell="1" allowOverlap="1" wp14:anchorId="2D1162BB" wp14:editId="6BF5296A">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6" name="Retângulo 16"/>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8E4F6" id="Retângulo 16" o:spid="_x0000_s1026" style="position:absolute;margin-left:0;margin-top:-42.75pt;width:594.75pt;height:51.8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5168" behindDoc="0" locked="0" layoutInCell="1" allowOverlap="1" wp14:anchorId="5DF2AB8F" wp14:editId="50F3FEBD">
              <wp:simplePos x="0" y="0"/>
              <wp:positionH relativeFrom="page">
                <wp:posOffset>0</wp:posOffset>
              </wp:positionH>
              <wp:positionV relativeFrom="paragraph">
                <wp:posOffset>77252</wp:posOffset>
              </wp:positionV>
              <wp:extent cx="9144000" cy="53340"/>
              <wp:effectExtent l="0" t="0" r="0" b="3810"/>
              <wp:wrapNone/>
              <wp:docPr id="17"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D53E969" id="Retângulo 14" o:spid="_x0000_s1026" style="position:absolute;margin-left:0;margin-top:6.1pt;width:10in;height:4.2pt;z-index:25165516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8E92" w14:textId="77777777" w:rsidR="00AA7F20" w:rsidRDefault="00AA7F20">
    <w:pPr>
      <w:pStyle w:val="Cabealho"/>
    </w:pPr>
    <w:r>
      <w:rPr>
        <w:noProof/>
        <w:lang w:eastAsia="pt-BR"/>
      </w:rPr>
      <mc:AlternateContent>
        <mc:Choice Requires="wps">
          <w:drawing>
            <wp:anchor distT="0" distB="0" distL="114300" distR="114300" simplePos="0" relativeHeight="251607040" behindDoc="0" locked="0" layoutInCell="0" allowOverlap="1" wp14:anchorId="4A54B649" wp14:editId="0282A601">
              <wp:simplePos x="0" y="0"/>
              <wp:positionH relativeFrom="page">
                <wp:posOffset>0</wp:posOffset>
              </wp:positionH>
              <wp:positionV relativeFrom="page">
                <wp:posOffset>190500</wp:posOffset>
              </wp:positionV>
              <wp:extent cx="7560310" cy="266700"/>
              <wp:effectExtent l="0" t="0" r="0" b="0"/>
              <wp:wrapNone/>
              <wp:docPr id="86"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CDF40" w14:textId="77777777" w:rsidR="00AA7F20" w:rsidRPr="00F10B26" w:rsidRDefault="00AA7F20" w:rsidP="002D39D6">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A54B649" id="_x0000_t202" coordsize="21600,21600" o:spt="202" path="m,l,21600r21600,l21600,xe">
              <v:stroke joinstyle="miter"/>
              <v:path gradientshapeok="t" o:connecttype="rect"/>
            </v:shapetype>
            <v:shape id="_x0000_s1042" type="#_x0000_t202" alt="{&quot;HashCode&quot;:-1487292391,&quot;Height&quot;:841.0,&quot;Width&quot;:595.0,&quot;Placement&quot;:&quot;Header&quot;,&quot;Index&quot;:&quot;OddAndEven&quot;,&quot;Section&quot;:1,&quot;Top&quot;:0.0,&quot;Left&quot;:0.0}" style="position:absolute;margin-left:0;margin-top:15pt;width:595.3pt;height:21pt;z-index:251607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" o:allowincell="f" filled="f" stroked="f" strokeweight=".5pt">
              <v:textbox inset=",0,20pt,0">
                <w:txbxContent>
                  <w:p w14:paraId="381CDF40" w14:textId="77777777" w:rsidR="00AA7F20" w:rsidRPr="00F10B26" w:rsidRDefault="00AA7F20" w:rsidP="002D39D6">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2E88" w14:textId="5BDED32B" w:rsidR="00AA7F20" w:rsidRPr="00147488" w:rsidRDefault="00AA7F20" w:rsidP="002D39D6">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67456" behindDoc="0" locked="0" layoutInCell="1" allowOverlap="1" wp14:anchorId="080AD887" wp14:editId="5F9FF1E7">
          <wp:simplePos x="0" y="0"/>
          <wp:positionH relativeFrom="margin">
            <wp:posOffset>-447675</wp:posOffset>
          </wp:positionH>
          <wp:positionV relativeFrom="paragraph">
            <wp:posOffset>-353060</wp:posOffset>
          </wp:positionV>
          <wp:extent cx="1176020" cy="259080"/>
          <wp:effectExtent l="0" t="0" r="5080" b="7620"/>
          <wp:wrapNone/>
          <wp:docPr id="70"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61312" behindDoc="1" locked="0" layoutInCell="1" allowOverlap="1" wp14:anchorId="54EADC87" wp14:editId="0D232D8F">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96" name="Retângulo 96"/>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DCAFE" id="Retângulo 96" o:spid="_x0000_s1026" style="position:absolute;margin-left:0;margin-top:-42.75pt;width:594.75pt;height:51.8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71552" behindDoc="0" locked="0" layoutInCell="1" allowOverlap="1" wp14:anchorId="16C96F93" wp14:editId="02ACB475">
              <wp:simplePos x="0" y="0"/>
              <wp:positionH relativeFrom="page">
                <wp:posOffset>0</wp:posOffset>
              </wp:positionH>
              <wp:positionV relativeFrom="paragraph">
                <wp:posOffset>77252</wp:posOffset>
              </wp:positionV>
              <wp:extent cx="9144000" cy="53340"/>
              <wp:effectExtent l="0" t="0" r="0" b="3810"/>
              <wp:wrapNone/>
              <wp:docPr id="97"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69426BDD" id="Retângulo 14" o:spid="_x0000_s1026" style="position:absolute;margin-left:0;margin-top:6.1pt;width:10in;height:4.2pt;z-index:2516715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5CE5" w14:textId="77777777" w:rsidR="000E51BC" w:rsidRDefault="000E51BC" w:rsidP="00EB496F">
    <w:pPr>
      <w:pStyle w:val="Cabealho"/>
    </w:pPr>
  </w:p>
  <w:p w14:paraId="7B607D67" w14:textId="621BCEDF" w:rsidR="000E51BC" w:rsidRPr="00526CAE" w:rsidRDefault="00F94E4F" w:rsidP="00137811">
    <w:pPr>
      <w:rPr>
        <w:sz w:val="2"/>
        <w:szCs w:val="2"/>
      </w:rPr>
    </w:pPr>
    <w:r>
      <w:rPr>
        <w:noProof/>
        <w:sz w:val="2"/>
        <w:szCs w:val="2"/>
      </w:rPr>
      <w:drawing>
        <wp:anchor distT="0" distB="0" distL="114300" distR="114300" simplePos="0" relativeHeight="251685888" behindDoc="0" locked="1" layoutInCell="1" allowOverlap="1" wp14:anchorId="607938E4" wp14:editId="0E25FB06">
          <wp:simplePos x="0" y="0"/>
          <wp:positionH relativeFrom="page">
            <wp:posOffset>720090</wp:posOffset>
          </wp:positionH>
          <wp:positionV relativeFrom="page">
            <wp:posOffset>359410</wp:posOffset>
          </wp:positionV>
          <wp:extent cx="1151890" cy="215900"/>
          <wp:effectExtent l="0" t="0" r="0" b="0"/>
          <wp:wrapNone/>
          <wp:docPr id="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6955" w14:textId="5A152F4C" w:rsidR="00AA7F20" w:rsidRPr="000D75D0" w:rsidRDefault="00AA7F20" w:rsidP="000D75D0">
    <w:pPr>
      <w:pStyle w:val="Cabealho"/>
      <w:rPr>
        <w:sz w:val="2"/>
        <w:szCs w:val="2"/>
      </w:rPr>
    </w:pPr>
    <w:r>
      <w:rPr>
        <w:noProof/>
        <w:sz w:val="2"/>
        <w:szCs w:val="2"/>
        <w:lang w:eastAsia="pt-BR"/>
      </w:rPr>
      <mc:AlternateContent>
        <mc:Choice Requires="wps">
          <w:drawing>
            <wp:anchor distT="0" distB="0" distL="114300" distR="114300" simplePos="0" relativeHeight="251706367" behindDoc="0" locked="0" layoutInCell="0" allowOverlap="1" wp14:anchorId="79C46F51" wp14:editId="75D432A1">
              <wp:simplePos x="0" y="0"/>
              <wp:positionH relativeFrom="page">
                <wp:align>right</wp:align>
              </wp:positionH>
              <wp:positionV relativeFrom="page">
                <wp:align>top</wp:align>
              </wp:positionV>
              <wp:extent cx="7772400" cy="463550"/>
              <wp:effectExtent l="0" t="0" r="0" b="12700"/>
              <wp:wrapNone/>
              <wp:docPr id="6" name="MSIPCM14144f59ac0c127111cbfcaf" descr="{&quot;HashCode&quot;:11031731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C0946" w14:textId="13205176" w:rsidR="00AA7F20"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C46F51" id="_x0000_t202" coordsize="21600,21600" o:spt="202" path="m,l,21600r21600,l21600,xe">
              <v:stroke joinstyle="miter"/>
              <v:path gradientshapeok="t" o:connecttype="rect"/>
            </v:shapetype>
            <v:shape id="MSIPCM14144f59ac0c127111cbfcaf" o:spid="_x0000_s1027" type="#_x0000_t202" alt="{&quot;HashCode&quot;:1103173119,&quot;Height&quot;:9999999.0,&quot;Width&quot;:9999999.0,&quot;Placement&quot;:&quot;Header&quot;,&quot;Index&quot;:&quot;Primary&quot;,&quot;Section&quot;:1,&quot;Top&quot;:0.0,&quot;Left&quot;:0.0}" style="position:absolute;margin-left:560.8pt;margin-top:0;width:612pt;height:36.5pt;z-index:25170636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1E7C0946" w14:textId="13205176" w:rsidR="00AA7F20"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105" w14:textId="77777777" w:rsidR="00246CB5" w:rsidRPr="003A66CB" w:rsidRDefault="00246CB5" w:rsidP="00246CB5">
    <w:r>
      <w:tab/>
    </w:r>
    <w:bookmarkStart w:id="65" w:name="_Hlk134821873"/>
    <w:bookmarkStart w:id="66" w:name="_Hlk134821874"/>
    <w:r w:rsidRPr="00523DF9">
      <w:rPr>
        <w:rFonts w:ascii="Verdana" w:hAnsi="Verdana"/>
        <w:noProof/>
        <w:sz w:val="11"/>
        <w:szCs w:val="11"/>
      </w:rPr>
      <mc:AlternateContent>
        <mc:Choice Requires="wpg">
          <w:drawing>
            <wp:anchor distT="0" distB="0" distL="114300" distR="114300" simplePos="0" relativeHeight="251684864" behindDoc="0" locked="0" layoutInCell="1" allowOverlap="1" wp14:anchorId="766604B4" wp14:editId="58DB4641">
              <wp:simplePos x="0" y="0"/>
              <wp:positionH relativeFrom="page">
                <wp:posOffset>723900</wp:posOffset>
              </wp:positionH>
              <wp:positionV relativeFrom="page">
                <wp:posOffset>361949</wp:posOffset>
              </wp:positionV>
              <wp:extent cx="6472619" cy="1304925"/>
              <wp:effectExtent l="0" t="0" r="4445" b="9525"/>
              <wp:wrapNone/>
              <wp:docPr id="66" name="Group 1"/>
              <wp:cNvGraphicFramePr/>
              <a:graphic xmlns:a="http://schemas.openxmlformats.org/drawingml/2006/main">
                <a:graphicData uri="http://schemas.microsoft.com/office/word/2010/wordprocessingGroup">
                  <wpg:wgp>
                    <wpg:cNvGrpSpPr/>
                    <wpg:grpSpPr>
                      <a:xfrm>
                        <a:off x="0" y="0"/>
                        <a:ext cx="6472619" cy="1304925"/>
                        <a:chOff x="0" y="-1"/>
                        <a:chExt cx="6473369" cy="1304925"/>
                      </a:xfrm>
                    </wpg:grpSpPr>
                    <wps:wsp>
                      <wps:cNvPr id="67" name="Text Box 3"/>
                      <wps:cNvSpPr txBox="1"/>
                      <wps:spPr>
                        <a:xfrm>
                          <a:off x="4781369" y="-1"/>
                          <a:ext cx="1692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4EC55"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43CB2D41"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6493EF2D"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1A4B8603" w14:textId="77777777" w:rsidR="00246CB5" w:rsidRPr="003A66CB" w:rsidRDefault="00246CB5" w:rsidP="00246CB5">
                            <w:pPr>
                              <w:spacing w:after="0" w:line="170" w:lineRule="atLeast"/>
                              <w:rPr>
                                <w:rFonts w:ascii="Calibri" w:eastAsia="Verdana" w:hAnsi="Calibri" w:cs="Calibri"/>
                                <w:sz w:val="14"/>
                                <w:szCs w:val="14"/>
                              </w:rPr>
                            </w:pPr>
                          </w:p>
                          <w:p w14:paraId="5E60F3CF"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48763A6B"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7AABFC20" w14:textId="77777777" w:rsidR="00246CB5" w:rsidRPr="00E8567E" w:rsidRDefault="000C6C6A" w:rsidP="00246CB5">
                            <w:pPr>
                              <w:spacing w:line="170" w:lineRule="atLeast"/>
                              <w:rPr>
                                <w:rFonts w:ascii="Calibri" w:eastAsia="Verdana" w:hAnsi="Calibri" w:cs="Calibri"/>
                                <w:sz w:val="14"/>
                                <w:szCs w:val="14"/>
                              </w:rPr>
                            </w:pPr>
                            <w:hyperlink r:id="rId1" w:history="1">
                              <w:r w:rsidR="00246CB5" w:rsidRPr="00E8567E">
                                <w:rPr>
                                  <w:rStyle w:val="Hyperlink"/>
                                  <w:rFonts w:ascii="Calibri" w:eastAsia="Verdana" w:hAnsi="Calibri" w:cs="Calibri"/>
                                  <w:sz w:val="14"/>
                                  <w:szCs w:val="14"/>
                                </w:rPr>
                                <w:t>www.deloitte.com.br</w:t>
                              </w:r>
                            </w:hyperlink>
                          </w:p>
                          <w:p w14:paraId="32F44EFD" w14:textId="77777777" w:rsidR="00246CB5" w:rsidRPr="003A66CB" w:rsidRDefault="00246CB5" w:rsidP="00246CB5">
                            <w:pPr>
                              <w:spacing w:line="170" w:lineRule="atLeast"/>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68"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6604B4" id="Group 1" o:spid="_x0000_s1043" style="position:absolute;margin-left:57pt;margin-top:28.5pt;width:509.65pt;height:102.75pt;z-index:251684864;mso-position-horizontal-relative:page;mso-position-vertical-relative:page;mso-width-relative:margin;mso-height-relative:margin" coordorigin="" coordsize="64733,1304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">
              <v:shapetype id="_x0000_t202" coordsize="21600,21600" o:spt="202" path="m,l,21600r21600,l21600,xe">
                <v:stroke joinstyle="miter"/>
                <v:path gradientshapeok="t" o:connecttype="rect"/>
              </v:shapetype>
              <v:shape id="Text Box 3" o:spid="_x0000_s1044" type="#_x0000_t202" style="position:absolute;left:47813;width:1692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" filled="f" stroked="f" strokeweight=".5pt">
                <v:textbox inset="0,0,0,0">
                  <w:txbxContent>
                    <w:p w14:paraId="1D64EC55"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43CB2D41"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6493EF2D"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1A4B8603" w14:textId="77777777" w:rsidR="00246CB5" w:rsidRPr="003A66CB" w:rsidRDefault="00246CB5" w:rsidP="00246CB5">
                      <w:pPr>
                        <w:spacing w:after="0" w:line="170" w:lineRule="atLeast"/>
                        <w:rPr>
                          <w:rFonts w:ascii="Calibri" w:eastAsia="Verdana" w:hAnsi="Calibri" w:cs="Calibri"/>
                          <w:sz w:val="14"/>
                          <w:szCs w:val="14"/>
                        </w:rPr>
                      </w:pPr>
                    </w:p>
                    <w:p w14:paraId="5E60F3CF"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48763A6B"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7AABFC20" w14:textId="77777777" w:rsidR="00246CB5" w:rsidRPr="00E8567E" w:rsidRDefault="000C6C6A" w:rsidP="00246CB5">
                      <w:pPr>
                        <w:spacing w:line="170" w:lineRule="atLeast"/>
                        <w:rPr>
                          <w:rFonts w:ascii="Calibri" w:eastAsia="Verdana" w:hAnsi="Calibri" w:cs="Calibri"/>
                          <w:sz w:val="14"/>
                          <w:szCs w:val="14"/>
                        </w:rPr>
                      </w:pPr>
                      <w:hyperlink r:id="rId3" w:history="1">
                        <w:r w:rsidR="00246CB5" w:rsidRPr="00E8567E">
                          <w:rPr>
                            <w:rStyle w:val="Hyperlink"/>
                            <w:rFonts w:ascii="Calibri" w:eastAsia="Verdana" w:hAnsi="Calibri" w:cs="Calibri"/>
                            <w:sz w:val="14"/>
                            <w:szCs w:val="14"/>
                          </w:rPr>
                          <w:t>www.deloitte.com.br</w:t>
                        </w:r>
                      </w:hyperlink>
                    </w:p>
                    <w:p w14:paraId="32F44EFD" w14:textId="77777777" w:rsidR="00246CB5" w:rsidRPr="003A66CB" w:rsidRDefault="00246CB5" w:rsidP="00246CB5">
                      <w:pPr>
                        <w:spacing w:line="170" w:lineRule="atLeast"/>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5"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">
                <v:imagedata r:id="rId4" o:title=""/>
              </v:shape>
              <w10:wrap anchorx="page" anchory="page"/>
            </v:group>
          </w:pict>
        </mc:Fallback>
      </mc:AlternateContent>
    </w:r>
    <w:bookmarkEnd w:id="65"/>
    <w:bookmarkEnd w:id="66"/>
  </w:p>
  <w:p w14:paraId="653F1DD7" w14:textId="133F171A" w:rsidR="00246CB5" w:rsidRPr="00992545" w:rsidRDefault="00246CB5" w:rsidP="00246CB5">
    <w:pPr>
      <w:tabs>
        <w:tab w:val="left" w:pos="1975"/>
        <w:tab w:val="right" w:pos="9638"/>
      </w:tabs>
      <w:ind w:left="708"/>
    </w:pPr>
    <w:r>
      <w:tab/>
    </w:r>
    <w:r>
      <w:rPr>
        <w:noProof/>
        <w:sz w:val="20"/>
        <w:szCs w:val="20"/>
        <w:lang w:eastAsia="pt-BR"/>
      </w:rPr>
      <mc:AlternateContent>
        <mc:Choice Requires="wps">
          <w:drawing>
            <wp:anchor distT="0" distB="0" distL="114300" distR="114300" simplePos="0" relativeHeight="251645952" behindDoc="0" locked="0" layoutInCell="1" allowOverlap="1" wp14:anchorId="685608A6" wp14:editId="142E8E52">
              <wp:simplePos x="0" y="0"/>
              <wp:positionH relativeFrom="column">
                <wp:posOffset>3019339</wp:posOffset>
              </wp:positionH>
              <wp:positionV relativeFrom="paragraph">
                <wp:posOffset>-479442</wp:posOffset>
              </wp:positionV>
              <wp:extent cx="3629448" cy="402742"/>
              <wp:effectExtent l="0" t="0" r="0" b="0"/>
              <wp:wrapNone/>
              <wp:docPr id="38" name="Caixa de Texto 38"/>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6BFF010"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C6979FE" w14:textId="77777777" w:rsidR="00246CB5" w:rsidRPr="00AF3549" w:rsidRDefault="00246CB5" w:rsidP="00246C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608A6" id="Caixa de Texto 38" o:spid="_x0000_s1046" type="#_x0000_t202" style="position:absolute;left:0;text-align:left;margin-left:237.75pt;margin-top:-37.75pt;width:285.8pt;height:3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" filled="f" stroked="f" strokeweight=".5pt">
              <v:textbox>
                <w:txbxContent>
                  <w:p w14:paraId="56BFF010"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C6979FE" w14:textId="77777777" w:rsidR="00246CB5" w:rsidRPr="00AF3549" w:rsidRDefault="00246CB5" w:rsidP="00246CB5">
                    <w:pPr>
                      <w:jc w:val="right"/>
                    </w:pP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ABC4" w14:textId="51A2BE44" w:rsidR="00246CB5" w:rsidRPr="00147488" w:rsidRDefault="00246CB5" w:rsidP="002D39D6">
    <w:pPr>
      <w:pStyle w:val="Cabealho"/>
      <w:tabs>
        <w:tab w:val="clear" w:pos="4252"/>
        <w:tab w:val="clear" w:pos="8504"/>
        <w:tab w:val="left" w:pos="5625"/>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AAA0" w14:textId="77777777" w:rsidR="00246CB5" w:rsidRPr="003A66CB" w:rsidRDefault="00246CB5" w:rsidP="00246CB5">
    <w:r>
      <w:tab/>
    </w:r>
    <w:r w:rsidRPr="00523DF9">
      <w:rPr>
        <w:rFonts w:ascii="Verdana" w:hAnsi="Verdana"/>
        <w:noProof/>
        <w:sz w:val="11"/>
        <w:szCs w:val="11"/>
      </w:rPr>
      <mc:AlternateContent>
        <mc:Choice Requires="wpg">
          <w:drawing>
            <wp:anchor distT="0" distB="0" distL="114300" distR="114300" simplePos="0" relativeHeight="251677696" behindDoc="0" locked="0" layoutInCell="1" allowOverlap="1" wp14:anchorId="3EEE5D00" wp14:editId="5A615B5B">
              <wp:simplePos x="0" y="0"/>
              <wp:positionH relativeFrom="page">
                <wp:posOffset>723900</wp:posOffset>
              </wp:positionH>
              <wp:positionV relativeFrom="page">
                <wp:posOffset>361949</wp:posOffset>
              </wp:positionV>
              <wp:extent cx="6472619" cy="1304925"/>
              <wp:effectExtent l="0" t="0" r="4445" b="9525"/>
              <wp:wrapNone/>
              <wp:docPr id="75" name="Group 1"/>
              <wp:cNvGraphicFramePr/>
              <a:graphic xmlns:a="http://schemas.openxmlformats.org/drawingml/2006/main">
                <a:graphicData uri="http://schemas.microsoft.com/office/word/2010/wordprocessingGroup">
                  <wpg:wgp>
                    <wpg:cNvGrpSpPr/>
                    <wpg:grpSpPr>
                      <a:xfrm>
                        <a:off x="0" y="0"/>
                        <a:ext cx="6472619" cy="1304925"/>
                        <a:chOff x="0" y="-1"/>
                        <a:chExt cx="6473369" cy="1304925"/>
                      </a:xfrm>
                    </wpg:grpSpPr>
                    <wps:wsp>
                      <wps:cNvPr id="76" name="Text Box 3"/>
                      <wps:cNvSpPr txBox="1"/>
                      <wps:spPr>
                        <a:xfrm>
                          <a:off x="4781369" y="-1"/>
                          <a:ext cx="1692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47522"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7F4E415C"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782E6679"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271E1A22" w14:textId="77777777" w:rsidR="00246CB5" w:rsidRPr="003A66CB" w:rsidRDefault="00246CB5" w:rsidP="00246CB5">
                            <w:pPr>
                              <w:spacing w:after="0" w:line="170" w:lineRule="atLeast"/>
                              <w:rPr>
                                <w:rFonts w:ascii="Calibri" w:eastAsia="Verdana" w:hAnsi="Calibri" w:cs="Calibri"/>
                                <w:sz w:val="14"/>
                                <w:szCs w:val="14"/>
                              </w:rPr>
                            </w:pPr>
                          </w:p>
                          <w:p w14:paraId="48DD4CAA"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6CD2E614"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71D182AD" w14:textId="77777777" w:rsidR="00246CB5" w:rsidRPr="00E8567E" w:rsidRDefault="000C6C6A" w:rsidP="00246CB5">
                            <w:pPr>
                              <w:spacing w:line="170" w:lineRule="atLeast"/>
                              <w:rPr>
                                <w:rFonts w:ascii="Calibri" w:eastAsia="Verdana" w:hAnsi="Calibri" w:cs="Calibri"/>
                                <w:sz w:val="14"/>
                                <w:szCs w:val="14"/>
                              </w:rPr>
                            </w:pPr>
                            <w:hyperlink r:id="rId1" w:history="1">
                              <w:r w:rsidR="00246CB5" w:rsidRPr="00E8567E">
                                <w:rPr>
                                  <w:rStyle w:val="Hyperlink"/>
                                  <w:rFonts w:ascii="Calibri" w:eastAsia="Verdana" w:hAnsi="Calibri" w:cs="Calibri"/>
                                  <w:sz w:val="14"/>
                                  <w:szCs w:val="14"/>
                                </w:rPr>
                                <w:t>www.deloitte.com.br</w:t>
                              </w:r>
                            </w:hyperlink>
                          </w:p>
                          <w:p w14:paraId="0D8F18F8" w14:textId="77777777" w:rsidR="00246CB5" w:rsidRPr="003A66CB" w:rsidRDefault="00246CB5" w:rsidP="00246CB5">
                            <w:pPr>
                              <w:spacing w:line="170" w:lineRule="atLeast"/>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77"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EE5D00" id="_x0000_s1047" style="position:absolute;margin-left:57pt;margin-top:28.5pt;width:509.65pt;height:102.75pt;z-index:251677696;mso-position-horizontal-relative:page;mso-position-vertical-relative:page;mso-width-relative:margin;mso-height-relative:margin" coordorigin="" coordsize="64733,1304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">
              <v:shapetype id="_x0000_t202" coordsize="21600,21600" o:spt="202" path="m,l,21600r21600,l21600,xe">
                <v:stroke joinstyle="miter"/>
                <v:path gradientshapeok="t" o:connecttype="rect"/>
              </v:shapetype>
              <v:shape id="Text Box 3" o:spid="_x0000_s1048" type="#_x0000_t202" style="position:absolute;left:47813;width:16920;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0A447522"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7F4E415C"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782E6679"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271E1A22" w14:textId="77777777" w:rsidR="00246CB5" w:rsidRPr="003A66CB" w:rsidRDefault="00246CB5" w:rsidP="00246CB5">
                      <w:pPr>
                        <w:spacing w:after="0" w:line="170" w:lineRule="atLeast"/>
                        <w:rPr>
                          <w:rFonts w:ascii="Calibri" w:eastAsia="Verdana" w:hAnsi="Calibri" w:cs="Calibri"/>
                          <w:sz w:val="14"/>
                          <w:szCs w:val="14"/>
                        </w:rPr>
                      </w:pPr>
                    </w:p>
                    <w:p w14:paraId="48DD4CAA"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6CD2E614" w14:textId="77777777" w:rsidR="00246CB5" w:rsidRPr="003A66CB" w:rsidRDefault="00246CB5" w:rsidP="00246CB5">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71D182AD" w14:textId="77777777" w:rsidR="00246CB5" w:rsidRPr="00E8567E" w:rsidRDefault="000C6C6A" w:rsidP="00246CB5">
                      <w:pPr>
                        <w:spacing w:line="170" w:lineRule="atLeast"/>
                        <w:rPr>
                          <w:rFonts w:ascii="Calibri" w:eastAsia="Verdana" w:hAnsi="Calibri" w:cs="Calibri"/>
                          <w:sz w:val="14"/>
                          <w:szCs w:val="14"/>
                        </w:rPr>
                      </w:pPr>
                      <w:hyperlink r:id="rId3" w:history="1">
                        <w:r w:rsidR="00246CB5" w:rsidRPr="00E8567E">
                          <w:rPr>
                            <w:rStyle w:val="Hyperlink"/>
                            <w:rFonts w:ascii="Calibri" w:eastAsia="Verdana" w:hAnsi="Calibri" w:cs="Calibri"/>
                            <w:sz w:val="14"/>
                            <w:szCs w:val="14"/>
                          </w:rPr>
                          <w:t>www.deloitte.com.br</w:t>
                        </w:r>
                      </w:hyperlink>
                    </w:p>
                    <w:p w14:paraId="0D8F18F8" w14:textId="77777777" w:rsidR="00246CB5" w:rsidRPr="003A66CB" w:rsidRDefault="00246CB5" w:rsidP="00246CB5">
                      <w:pPr>
                        <w:spacing w:line="170" w:lineRule="atLeast"/>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9"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">
                <v:imagedata r:id="rId4" o:title=""/>
              </v:shape>
              <w10:wrap anchorx="page" anchory="page"/>
            </v:group>
          </w:pict>
        </mc:Fallback>
      </mc:AlternateContent>
    </w:r>
  </w:p>
  <w:p w14:paraId="10379225" w14:textId="77777777" w:rsidR="00246CB5" w:rsidRPr="00992545" w:rsidRDefault="00246CB5" w:rsidP="00246CB5">
    <w:pPr>
      <w:tabs>
        <w:tab w:val="left" w:pos="1975"/>
        <w:tab w:val="right" w:pos="9638"/>
      </w:tabs>
      <w:ind w:left="708"/>
    </w:pPr>
    <w:r>
      <w:tab/>
    </w:r>
    <w:r>
      <w:rPr>
        <w:noProof/>
        <w:sz w:val="20"/>
        <w:szCs w:val="20"/>
        <w:lang w:eastAsia="pt-BR"/>
      </w:rPr>
      <mc:AlternateContent>
        <mc:Choice Requires="wps">
          <w:drawing>
            <wp:anchor distT="0" distB="0" distL="114300" distR="114300" simplePos="0" relativeHeight="251675648" behindDoc="0" locked="0" layoutInCell="1" allowOverlap="1" wp14:anchorId="1ACD2716" wp14:editId="445AD499">
              <wp:simplePos x="0" y="0"/>
              <wp:positionH relativeFrom="column">
                <wp:posOffset>3019339</wp:posOffset>
              </wp:positionH>
              <wp:positionV relativeFrom="paragraph">
                <wp:posOffset>-479442</wp:posOffset>
              </wp:positionV>
              <wp:extent cx="3629448" cy="402742"/>
              <wp:effectExtent l="0" t="0" r="0" b="0"/>
              <wp:wrapNone/>
              <wp:docPr id="78" name="Caixa de Texto 78"/>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45BD87C8"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30EEB83" w14:textId="77777777" w:rsidR="00246CB5" w:rsidRPr="00AF3549" w:rsidRDefault="00246CB5" w:rsidP="00246C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2716" id="Caixa de Texto 78" o:spid="_x0000_s1050" type="#_x0000_t202" style="position:absolute;left:0;text-align:left;margin-left:237.75pt;margin-top:-37.75pt;width:285.8pt;height:3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" filled="f" stroked="f" strokeweight=".5pt">
              <v:textbox>
                <w:txbxContent>
                  <w:p w14:paraId="45BD87C8"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30EEB83" w14:textId="77777777" w:rsidR="00246CB5" w:rsidRPr="00AF3549" w:rsidRDefault="00246CB5" w:rsidP="00246CB5">
                    <w:pPr>
                      <w:jc w:val="right"/>
                    </w:pP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BAC7" w14:textId="6863B8C2" w:rsidR="00246CB5" w:rsidRPr="003A66CB" w:rsidRDefault="00246CB5" w:rsidP="00246CB5">
    <w:r>
      <w:rPr>
        <w:noProof/>
      </w:rPr>
      <w:drawing>
        <wp:anchor distT="0" distB="0" distL="114300" distR="114300" simplePos="0" relativeHeight="251688960" behindDoc="0" locked="1" layoutInCell="1" allowOverlap="1" wp14:anchorId="5834ABF0" wp14:editId="2E9D78EA">
          <wp:simplePos x="0" y="0"/>
          <wp:positionH relativeFrom="page">
            <wp:posOffset>872490</wp:posOffset>
          </wp:positionH>
          <wp:positionV relativeFrom="page">
            <wp:posOffset>511810</wp:posOffset>
          </wp:positionV>
          <wp:extent cx="1151890" cy="215900"/>
          <wp:effectExtent l="0" t="0" r="0" b="0"/>
          <wp:wrapNone/>
          <wp:docPr id="113" name="Imagem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r>
      <w:tab/>
    </w:r>
  </w:p>
  <w:p w14:paraId="48734121" w14:textId="77777777" w:rsidR="00246CB5" w:rsidRPr="00992545" w:rsidRDefault="00246CB5" w:rsidP="00246CB5">
    <w:pPr>
      <w:tabs>
        <w:tab w:val="left" w:pos="1975"/>
        <w:tab w:val="right" w:pos="9638"/>
      </w:tabs>
      <w:ind w:left="708"/>
    </w:pPr>
    <w:r>
      <w:tab/>
    </w:r>
    <w:r>
      <w:rPr>
        <w:noProof/>
        <w:sz w:val="20"/>
        <w:szCs w:val="20"/>
        <w:lang w:eastAsia="pt-BR"/>
      </w:rPr>
      <mc:AlternateContent>
        <mc:Choice Requires="wps">
          <w:drawing>
            <wp:anchor distT="0" distB="0" distL="114300" distR="114300" simplePos="0" relativeHeight="251682816" behindDoc="0" locked="0" layoutInCell="1" allowOverlap="1" wp14:anchorId="1AEA8A61" wp14:editId="1D3D6F15">
              <wp:simplePos x="0" y="0"/>
              <wp:positionH relativeFrom="column">
                <wp:posOffset>3019339</wp:posOffset>
              </wp:positionH>
              <wp:positionV relativeFrom="paragraph">
                <wp:posOffset>-479442</wp:posOffset>
              </wp:positionV>
              <wp:extent cx="3629448" cy="402742"/>
              <wp:effectExtent l="0" t="0" r="0" b="0"/>
              <wp:wrapNone/>
              <wp:docPr id="82" name="Caixa de Texto 82"/>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4C92673F"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278FB0C8" w14:textId="77777777" w:rsidR="00246CB5" w:rsidRPr="00AF3549" w:rsidRDefault="00246CB5" w:rsidP="00246C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A8A61" id="_x0000_t202" coordsize="21600,21600" o:spt="202" path="m,l,21600r21600,l21600,xe">
              <v:stroke joinstyle="miter"/>
              <v:path gradientshapeok="t" o:connecttype="rect"/>
            </v:shapetype>
            <v:shape id="Caixa de Texto 82" o:spid="_x0000_s1051" type="#_x0000_t202" style="position:absolute;left:0;text-align:left;margin-left:237.75pt;margin-top:-37.75pt;width:285.8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" filled="f" stroked="f" strokeweight=".5pt">
              <v:textbox>
                <w:txbxContent>
                  <w:p w14:paraId="4C92673F"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278FB0C8" w14:textId="77777777" w:rsidR="00246CB5" w:rsidRPr="00AF3549" w:rsidRDefault="00246CB5" w:rsidP="00246CB5">
                    <w:pPr>
                      <w:jc w:val="right"/>
                    </w:pP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3680" w14:textId="076B6FA3" w:rsidR="00246CB5" w:rsidRPr="00992545" w:rsidRDefault="00246CB5" w:rsidP="00246CB5">
    <w:pPr>
      <w:ind w:left="708"/>
      <w:jc w:val="right"/>
    </w:pPr>
    <w:r>
      <w:rPr>
        <w:noProof/>
        <w:sz w:val="20"/>
        <w:szCs w:val="20"/>
        <w:lang w:eastAsia="pt-BR"/>
      </w:rPr>
      <mc:AlternateContent>
        <mc:Choice Requires="wps">
          <w:drawing>
            <wp:anchor distT="0" distB="0" distL="114300" distR="114300" simplePos="0" relativeHeight="251697152" behindDoc="0" locked="0" layoutInCell="1" allowOverlap="1" wp14:anchorId="20F2B673" wp14:editId="2CF9DD45">
              <wp:simplePos x="0" y="0"/>
              <wp:positionH relativeFrom="column">
                <wp:posOffset>3019339</wp:posOffset>
              </wp:positionH>
              <wp:positionV relativeFrom="paragraph">
                <wp:posOffset>-479442</wp:posOffset>
              </wp:positionV>
              <wp:extent cx="3629448" cy="402742"/>
              <wp:effectExtent l="0" t="0" r="0" b="0"/>
              <wp:wrapNone/>
              <wp:docPr id="62" name="Caixa de Texto 62"/>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6DDB4F29"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178CA5A" w14:textId="77777777" w:rsidR="00246CB5" w:rsidRPr="00AF3549" w:rsidRDefault="00246CB5" w:rsidP="00246CB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2B673" id="_x0000_t202" coordsize="21600,21600" o:spt="202" path="m,l,21600r21600,l21600,xe">
              <v:stroke joinstyle="miter"/>
              <v:path gradientshapeok="t" o:connecttype="rect"/>
            </v:shapetype>
            <v:shape id="Caixa de Texto 62" o:spid="_x0000_s1052" type="#_x0000_t202" style="position:absolute;left:0;text-align:left;margin-left:237.75pt;margin-top:-37.75pt;width:285.8pt;height:3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" filled="f" stroked="f" strokeweight=".5pt">
              <v:textbox>
                <w:txbxContent>
                  <w:p w14:paraId="6DDB4F29" w14:textId="77777777" w:rsidR="00246CB5" w:rsidRPr="00AF3549" w:rsidRDefault="00246CB5" w:rsidP="00246CB5">
                    <w:pPr>
                      <w:jc w:val="right"/>
                    </w:pPr>
                    <w:r w:rsidRPr="002B7B96">
                      <w:rPr>
                        <w:rFonts w:cs="Arial"/>
                        <w:color w:val="FFFFFF" w:themeColor="background1"/>
                        <w:szCs w:val="18"/>
                      </w:rPr>
                      <w:t>Conso</w:t>
                    </w:r>
                    <w:r>
                      <w:rPr>
                        <w:rFonts w:cs="Arial"/>
                        <w:color w:val="FFFFFF" w:themeColor="background1"/>
                        <w:szCs w:val="18"/>
                      </w:rPr>
                      <w:t>lidated Financial Statements – 1</w:t>
                    </w:r>
                    <w:r w:rsidRPr="00A036E0">
                      <w:rPr>
                        <w:rFonts w:cs="Arial"/>
                        <w:color w:val="FFFFFF" w:themeColor="background1"/>
                        <w:szCs w:val="18"/>
                        <w:vertAlign w:val="superscript"/>
                      </w:rPr>
                      <w:t>st</w:t>
                    </w:r>
                    <w:r>
                      <w:rPr>
                        <w:rFonts w:cs="Arial"/>
                        <w:color w:val="FFFFFF" w:themeColor="background1"/>
                        <w:szCs w:val="18"/>
                      </w:rPr>
                      <w:t xml:space="preserve"> Quarter </w:t>
                    </w:r>
                    <w:r w:rsidRPr="002B7B96">
                      <w:rPr>
                        <w:rFonts w:cs="Arial"/>
                        <w:color w:val="FFFFFF" w:themeColor="background1"/>
                        <w:szCs w:val="18"/>
                      </w:rPr>
                      <w:t>202</w:t>
                    </w:r>
                    <w:r>
                      <w:rPr>
                        <w:rFonts w:cs="Arial"/>
                        <w:color w:val="FFFFFF" w:themeColor="background1"/>
                        <w:szCs w:val="18"/>
                      </w:rPr>
                      <w:t>3</w:t>
                    </w:r>
                    <w:r w:rsidRPr="00AF3549">
                      <w:rPr>
                        <w:rFonts w:cs="Arial"/>
                        <w:color w:val="FFFFFF" w:themeColor="background1"/>
                        <w:szCs w:val="18"/>
                      </w:rPr>
                      <w:br/>
                      <w:t>BB Seguridade Participações S.A.</w:t>
                    </w:r>
                  </w:p>
                  <w:p w14:paraId="1178CA5A" w14:textId="77777777" w:rsidR="00246CB5" w:rsidRPr="00AF3549" w:rsidRDefault="00246CB5" w:rsidP="00246CB5">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91008" behindDoc="0" locked="0" layoutInCell="1" allowOverlap="1" wp14:anchorId="426D251C" wp14:editId="6A34870A">
              <wp:simplePos x="0" y="0"/>
              <wp:positionH relativeFrom="page">
                <wp:posOffset>-1178011</wp:posOffset>
              </wp:positionH>
              <wp:positionV relativeFrom="paragraph">
                <wp:posOffset>-556861</wp:posOffset>
              </wp:positionV>
              <wp:extent cx="11887200" cy="527222"/>
              <wp:effectExtent l="0" t="0" r="0" b="6350"/>
              <wp:wrapNone/>
              <wp:docPr id="63" name="Retângulo 63"/>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61F79085" w14:textId="77777777" w:rsidR="00246CB5" w:rsidRDefault="00246CB5" w:rsidP="00246CB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D251C" id="Retângulo 63" o:spid="_x0000_s1053" style="position:absolute;left:0;text-align:left;margin-left:-92.75pt;margin-top:-43.85pt;width:13in;height:4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" fillcolor="#002d4b" stroked="f" strokeweight="1pt">
              <v:textbox>
                <w:txbxContent>
                  <w:p w14:paraId="61F79085" w14:textId="77777777" w:rsidR="00246CB5" w:rsidRDefault="00246CB5" w:rsidP="00246CB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93056" behindDoc="0" locked="0" layoutInCell="1" allowOverlap="1" wp14:anchorId="4DB67D06" wp14:editId="7C2D8942">
              <wp:simplePos x="0" y="0"/>
              <wp:positionH relativeFrom="page">
                <wp:posOffset>-720969</wp:posOffset>
              </wp:positionH>
              <wp:positionV relativeFrom="paragraph">
                <wp:posOffset>-48651</wp:posOffset>
              </wp:positionV>
              <wp:extent cx="11406505" cy="45719"/>
              <wp:effectExtent l="0" t="0" r="4445" b="0"/>
              <wp:wrapNone/>
              <wp:docPr id="64"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46E9293" id="Retângulo 14" o:spid="_x0000_s1026" style="position:absolute;margin-left:-56.75pt;margin-top:-3.85pt;width:898.15pt;height:3.6pt;flip:y;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Pr>
        <w:noProof/>
        <w:sz w:val="20"/>
        <w:szCs w:val="20"/>
        <w:lang w:eastAsia="pt-BR"/>
      </w:rPr>
      <w:drawing>
        <wp:anchor distT="0" distB="0" distL="114300" distR="114300" simplePos="0" relativeHeight="251695104" behindDoc="0" locked="0" layoutInCell="1" allowOverlap="1" wp14:anchorId="792F0CBB" wp14:editId="79F7A820">
          <wp:simplePos x="0" y="0"/>
          <wp:positionH relativeFrom="margin">
            <wp:posOffset>-294957</wp:posOffset>
          </wp:positionH>
          <wp:positionV relativeFrom="page">
            <wp:posOffset>148590</wp:posOffset>
          </wp:positionV>
          <wp:extent cx="967740" cy="198755"/>
          <wp:effectExtent l="0" t="0" r="3810" b="0"/>
          <wp:wrapNone/>
          <wp:docPr id="65" name="Imagem 6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1123" w14:textId="77777777" w:rsidR="009C4F47" w:rsidRDefault="00E028F9">
    <w:pPr>
      <w:pStyle w:val="Cabealho"/>
    </w:pPr>
    <w:r>
      <w:rPr>
        <w:noProof/>
        <w:lang w:eastAsia="pt-BR"/>
      </w:rPr>
      <mc:AlternateContent>
        <mc:Choice Requires="wps">
          <w:drawing>
            <wp:anchor distT="0" distB="0" distL="114300" distR="114300" simplePos="0" relativeHeight="251643904" behindDoc="0" locked="0" layoutInCell="0" allowOverlap="1" wp14:anchorId="0C69F66A" wp14:editId="39EA48BC">
              <wp:simplePos x="0" y="0"/>
              <wp:positionH relativeFrom="page">
                <wp:posOffset>0</wp:posOffset>
              </wp:positionH>
              <wp:positionV relativeFrom="page">
                <wp:posOffset>190500</wp:posOffset>
              </wp:positionV>
              <wp:extent cx="7560310" cy="266700"/>
              <wp:effectExtent l="0" t="0" r="0" b="0"/>
              <wp:wrapNone/>
              <wp:docPr id="5"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1E72D" w14:textId="77777777" w:rsidR="009C4F47" w:rsidRPr="00F10B26" w:rsidRDefault="00E028F9" w:rsidP="00F10B26">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C69F66A" id="_x0000_t202" coordsize="21600,21600" o:spt="202" path="m,l,21600r21600,l21600,xe">
              <v:stroke joinstyle="miter"/>
              <v:path gradientshapeok="t" o:connecttype="rect"/>
            </v:shapetype>
            <v:shape id="_x0000_s1054" type="#_x0000_t202" alt="{&quot;HashCode&quot;:-1487292391,&quot;Height&quot;:841.0,&quot;Width&quot;:595.0,&quot;Placement&quot;:&quot;Header&quot;,&quot;Index&quot;:&quot;OddAndEven&quot;,&quot;Section&quot;:1,&quot;Top&quot;:0.0,&quot;Left&quot;:0.0}" style="position:absolute;margin-left:0;margin-top:15pt;width:595.3pt;height:21pt;z-index:251643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" o:allowincell="f" filled="f" stroked="f" strokeweight=".5pt">
              <v:textbox inset=",0,20pt,0">
                <w:txbxContent>
                  <w:p w14:paraId="1861E72D" w14:textId="77777777" w:rsidR="009C4F47" w:rsidRPr="00F10B26" w:rsidRDefault="00E028F9" w:rsidP="00F10B26">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B0FC" w14:textId="662B42E2" w:rsidR="009C4F47" w:rsidRDefault="00E028F9" w:rsidP="00147488">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60288" behindDoc="0" locked="0" layoutInCell="1" allowOverlap="1" wp14:anchorId="3945FC68" wp14:editId="19978A03">
              <wp:simplePos x="0" y="0"/>
              <wp:positionH relativeFrom="column">
                <wp:posOffset>1891665</wp:posOffset>
              </wp:positionH>
              <wp:positionV relativeFrom="paragraph">
                <wp:posOffset>-464490</wp:posOffset>
              </wp:positionV>
              <wp:extent cx="4740250" cy="402742"/>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4740250" cy="402742"/>
                      </a:xfrm>
                      <a:prstGeom prst="rect">
                        <a:avLst/>
                      </a:prstGeom>
                      <a:noFill/>
                      <a:ln w="6350">
                        <a:noFill/>
                      </a:ln>
                    </wps:spPr>
                    <wps:txbx>
                      <w:txbxContent>
                        <w:p w14:paraId="1DD58980" w14:textId="77777777" w:rsidR="00D66604" w:rsidRPr="00E16BE7" w:rsidRDefault="00E028F9" w:rsidP="00D66604">
                          <w:pPr>
                            <w:jc w:val="right"/>
                          </w:pPr>
                          <w:r w:rsidRPr="00126EE0">
                            <w:rPr>
                              <w:rFonts w:cs="Arial"/>
                              <w:color w:val="FFFFFF" w:themeColor="background1"/>
                              <w:szCs w:val="18"/>
                            </w:rPr>
                            <w:t xml:space="preserve">Consolidated Financial Statements – </w:t>
                          </w:r>
                          <w:r>
                            <w:rPr>
                              <w:rFonts w:cs="Arial"/>
                              <w:color w:val="FFFFFF" w:themeColor="background1"/>
                              <w:szCs w:val="18"/>
                            </w:rPr>
                            <w:t xml:space="preserve">1st Quarter </w:t>
                          </w:r>
                          <w:r w:rsidRPr="00126EE0">
                            <w:rPr>
                              <w:rFonts w:cs="Arial"/>
                              <w:color w:val="FFFFFF" w:themeColor="background1"/>
                              <w:szCs w:val="18"/>
                            </w:rPr>
                            <w:t>202</w:t>
                          </w:r>
                          <w:r>
                            <w:rPr>
                              <w:rFonts w:cs="Arial"/>
                              <w:color w:val="FFFFFF" w:themeColor="background1"/>
                              <w:szCs w:val="18"/>
                            </w:rPr>
                            <w:t>3</w:t>
                          </w:r>
                          <w:r w:rsidRPr="00126EE0">
                            <w:rPr>
                              <w:rFonts w:cs="Arial"/>
                              <w:color w:val="FFFFFF" w:themeColor="background1"/>
                              <w:szCs w:val="18"/>
                            </w:rPr>
                            <w:br/>
                            <w:t>BB Seguridade Participações S.A</w:t>
                          </w:r>
                          <w:r>
                            <w:rPr>
                              <w:rFonts w:cs="Arial"/>
                              <w:color w:val="FFFFFF" w:themeColor="background1"/>
                              <w:szCs w:val="18"/>
                            </w:rPr>
                            <w:t>.</w:t>
                          </w:r>
                        </w:p>
                        <w:p w14:paraId="2408C4A6" w14:textId="77777777" w:rsidR="00E16BE7" w:rsidRPr="00E16BE7" w:rsidRDefault="000C6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5FC68" id="_x0000_t202" coordsize="21600,21600" o:spt="202" path="m,l,21600r21600,l21600,xe">
              <v:stroke joinstyle="miter"/>
              <v:path gradientshapeok="t" o:connecttype="rect"/>
            </v:shapetype>
            <v:shape id="Caixa de Texto 12" o:spid="_x0000_s1055" type="#_x0000_t202" style="position:absolute;margin-left:148.95pt;margin-top:-36.55pt;width:373.25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" filled="f" stroked="f" strokeweight=".5pt">
              <v:textbox>
                <w:txbxContent>
                  <w:p w14:paraId="1DD58980" w14:textId="77777777" w:rsidR="00D66604" w:rsidRPr="00E16BE7" w:rsidRDefault="00E028F9" w:rsidP="00D66604">
                    <w:pPr>
                      <w:jc w:val="right"/>
                    </w:pPr>
                    <w:r w:rsidRPr="00126EE0">
                      <w:rPr>
                        <w:rFonts w:cs="Arial"/>
                        <w:color w:val="FFFFFF" w:themeColor="background1"/>
                        <w:szCs w:val="18"/>
                      </w:rPr>
                      <w:t xml:space="preserve">Consolidated Financial Statements – </w:t>
                    </w:r>
                    <w:r>
                      <w:rPr>
                        <w:rFonts w:cs="Arial"/>
                        <w:color w:val="FFFFFF" w:themeColor="background1"/>
                        <w:szCs w:val="18"/>
                      </w:rPr>
                      <w:t xml:space="preserve">1st Quarter </w:t>
                    </w:r>
                    <w:r w:rsidRPr="00126EE0">
                      <w:rPr>
                        <w:rFonts w:cs="Arial"/>
                        <w:color w:val="FFFFFF" w:themeColor="background1"/>
                        <w:szCs w:val="18"/>
                      </w:rPr>
                      <w:t>202</w:t>
                    </w:r>
                    <w:r>
                      <w:rPr>
                        <w:rFonts w:cs="Arial"/>
                        <w:color w:val="FFFFFF" w:themeColor="background1"/>
                        <w:szCs w:val="18"/>
                      </w:rPr>
                      <w:t>3</w:t>
                    </w:r>
                    <w:r w:rsidRPr="00126EE0">
                      <w:rPr>
                        <w:rFonts w:cs="Arial"/>
                        <w:color w:val="FFFFFF" w:themeColor="background1"/>
                        <w:szCs w:val="18"/>
                      </w:rPr>
                      <w:br/>
                      <w:t>BB Seguridade Participações S.A</w:t>
                    </w:r>
                    <w:r>
                      <w:rPr>
                        <w:rFonts w:cs="Arial"/>
                        <w:color w:val="FFFFFF" w:themeColor="background1"/>
                        <w:szCs w:val="18"/>
                      </w:rPr>
                      <w:t>.</w:t>
                    </w:r>
                  </w:p>
                  <w:p w14:paraId="2408C4A6" w14:textId="77777777" w:rsidR="00E16BE7" w:rsidRPr="00E16BE7" w:rsidRDefault="000C6C6A"/>
                </w:txbxContent>
              </v:textbox>
            </v:shape>
          </w:pict>
        </mc:Fallback>
      </mc:AlternateContent>
    </w:r>
    <w:r>
      <w:rPr>
        <w:noProof/>
        <w:sz w:val="20"/>
        <w:szCs w:val="20"/>
        <w:lang w:eastAsia="pt-BR"/>
      </w:rPr>
      <w:drawing>
        <wp:anchor distT="0" distB="0" distL="114300" distR="114300" simplePos="0" relativeHeight="251655168" behindDoc="0" locked="0" layoutInCell="1" allowOverlap="1" wp14:anchorId="10BD304A" wp14:editId="3B806E9A">
          <wp:simplePos x="0" y="0"/>
          <wp:positionH relativeFrom="margin">
            <wp:posOffset>-453606</wp:posOffset>
          </wp:positionH>
          <wp:positionV relativeFrom="paragraph">
            <wp:posOffset>-380365</wp:posOffset>
          </wp:positionV>
          <wp:extent cx="967740" cy="198755"/>
          <wp:effectExtent l="0" t="0" r="381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rFonts w:cs="Arial"/>
        <w:b/>
        <w:noProof/>
        <w:color w:val="1F4E79" w:themeColor="accent1" w:themeShade="80"/>
        <w:szCs w:val="18"/>
        <w:lang w:eastAsia="pt-BR"/>
      </w:rPr>
      <mc:AlternateContent>
        <mc:Choice Requires="wps">
          <w:drawing>
            <wp:anchor distT="0" distB="0" distL="114300" distR="114300" simplePos="0" relativeHeight="251648000" behindDoc="0" locked="0" layoutInCell="1" allowOverlap="1" wp14:anchorId="1CD5372B" wp14:editId="59169D61">
              <wp:simplePos x="0" y="0"/>
              <wp:positionH relativeFrom="page">
                <wp:posOffset>0</wp:posOffset>
              </wp:positionH>
              <wp:positionV relativeFrom="paragraph">
                <wp:posOffset>-42384</wp:posOffset>
              </wp:positionV>
              <wp:extent cx="9144000" cy="53340"/>
              <wp:effectExtent l="0" t="0" r="0" b="3810"/>
              <wp:wrapNone/>
              <wp:docPr id="15"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858E1FB" id="Retângulo 14" o:spid="_x0000_s1026" style="position:absolute;margin-left:0;margin-top:-3.35pt;width:10in;height:4.2pt;z-index:25164800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" fillcolor="#f9dd16"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45952" behindDoc="1" locked="0" layoutInCell="1" allowOverlap="1" wp14:anchorId="5E94901B" wp14:editId="3742AE89">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18" name="Retângulo 18"/>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A33CCC" w14:textId="77777777" w:rsidR="00E16BE7" w:rsidRDefault="000C6C6A" w:rsidP="00E16BE7">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4901B" id="Retângulo 18" o:spid="_x0000_s1056" style="position:absolute;margin-left:0;margin-top:-42.55pt;width:594.75pt;height:39.2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D8MIaKkQIAAIAFAAAOAAAAAAAAAAAAAAAAAC4CAABkcnMvZTJvRG9jLnhtbFBL&#10;AQItABQABgAIAAAAIQByUxxS3gAAAAgBAAAPAAAAAAAAAAAAAAAAAOsEAABkcnMvZG93bnJldi54&#10;bWxQSwUGAAAAAAQABADzAAAA9gUAAAAA&#10;" fillcolor="#002d4b" stroked="f" strokeweight="1pt">
              <v:textbox>
                <w:txbxContent>
                  <w:p w14:paraId="13A33CCC" w14:textId="77777777" w:rsidR="00E16BE7" w:rsidRDefault="000C6C6A" w:rsidP="00E16BE7">
                    <w:pPr>
                      <w:ind w:left="708"/>
                      <w:jc w:val="right"/>
                    </w:pPr>
                  </w:p>
                </w:txbxContent>
              </v:textbox>
              <w10:wrap type="through" anchorx="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53CC" w14:textId="776871B2" w:rsidR="009C4F47" w:rsidRPr="00147488" w:rsidRDefault="00E028F9" w:rsidP="00147488">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51072" behindDoc="0" locked="0" layoutInCell="1" allowOverlap="1" wp14:anchorId="17D356AF" wp14:editId="04F5874E">
          <wp:simplePos x="0" y="0"/>
          <wp:positionH relativeFrom="margin">
            <wp:posOffset>-447675</wp:posOffset>
          </wp:positionH>
          <wp:positionV relativeFrom="paragraph">
            <wp:posOffset>-353060</wp:posOffset>
          </wp:positionV>
          <wp:extent cx="1176020" cy="259080"/>
          <wp:effectExtent l="0" t="0" r="5080" b="7620"/>
          <wp:wrapNone/>
          <wp:docPr id="3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49024" behindDoc="1" locked="0" layoutInCell="1" allowOverlap="1" wp14:anchorId="2742E713" wp14:editId="53A077EA">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27" name="Retângulo 27"/>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80046" id="Retângulo 27" o:spid="_x0000_s1026" style="position:absolute;margin-left:0;margin-top:-42.75pt;width:594.75pt;height:51.8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3120" behindDoc="0" locked="0" layoutInCell="1" allowOverlap="1" wp14:anchorId="5244D742" wp14:editId="758D8353">
              <wp:simplePos x="0" y="0"/>
              <wp:positionH relativeFrom="page">
                <wp:posOffset>0</wp:posOffset>
              </wp:positionH>
              <wp:positionV relativeFrom="paragraph">
                <wp:posOffset>77252</wp:posOffset>
              </wp:positionV>
              <wp:extent cx="9144000" cy="53340"/>
              <wp:effectExtent l="0" t="0" r="0" b="3810"/>
              <wp:wrapNone/>
              <wp:docPr id="28"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3E26963D" id="Retângulo 14" o:spid="_x0000_s1026" style="position:absolute;margin-left:0;margin-top:6.1pt;width:10in;height:4.2pt;z-index:2516531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54F2" w14:textId="0D7AF48F" w:rsidR="00AA7F20" w:rsidRDefault="00AA7F20">
    <w:pPr>
      <w:pStyle w:val="Cabealho"/>
    </w:pPr>
    <w:r>
      <w:rPr>
        <w:noProof/>
        <w:lang w:eastAsia="pt-BR"/>
      </w:rPr>
      <mc:AlternateContent>
        <mc:Choice Requires="wps">
          <w:drawing>
            <wp:anchor distT="0" distB="0" distL="114300" distR="114300" simplePos="0" relativeHeight="251705855" behindDoc="0" locked="0" layoutInCell="0" allowOverlap="1" wp14:anchorId="4104D888" wp14:editId="113DF670">
              <wp:simplePos x="0" y="190500"/>
              <wp:positionH relativeFrom="page">
                <wp:align>right</wp:align>
              </wp:positionH>
              <wp:positionV relativeFrom="page">
                <wp:align>top</wp:align>
              </wp:positionV>
              <wp:extent cx="7772400" cy="463550"/>
              <wp:effectExtent l="0" t="0" r="0" b="12700"/>
              <wp:wrapNone/>
              <wp:docPr id="26" name="MSIPCM903c4d688fb7d1873f3ef3c8" descr="{&quot;HashCode&quot;:110317311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233C2" w14:textId="1CA20624" w:rsidR="00AA7F20"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104D888" id="_x0000_t202" coordsize="21600,21600" o:spt="202" path="m,l,21600r21600,l21600,xe">
              <v:stroke joinstyle="miter"/>
              <v:path gradientshapeok="t" o:connecttype="rect"/>
            </v:shapetype>
            <v:shape id="MSIPCM903c4d688fb7d1873f3ef3c8" o:spid="_x0000_s1028" type="#_x0000_t202" alt="{&quot;HashCode&quot;:1103173119,&quot;Height&quot;:9999999.0,&quot;Width&quot;:9999999.0,&quot;Placement&quot;:&quot;Header&quot;,&quot;Index&quot;:&quot;FirstPage&quot;,&quot;Section&quot;:1,&quot;Top&quot;:0.0,&quot;Left&quot;:0.0}" style="position:absolute;margin-left:560.8pt;margin-top:0;width:612pt;height:36.5pt;z-index:25170585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3DF233C2" w14:textId="1CA20624" w:rsidR="00AA7F20"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BC4" w14:textId="3005A945" w:rsidR="00AA7F20" w:rsidRPr="00992545" w:rsidRDefault="00A036E0" w:rsidP="00187C45">
    <w:pPr>
      <w:ind w:left="708"/>
      <w:jc w:val="right"/>
    </w:pPr>
    <w:r>
      <w:rPr>
        <w:noProof/>
        <w:sz w:val="20"/>
        <w:szCs w:val="20"/>
        <w:lang w:eastAsia="pt-BR"/>
      </w:rPr>
      <mc:AlternateContent>
        <mc:Choice Requires="wps">
          <w:drawing>
            <wp:anchor distT="0" distB="0" distL="114300" distR="114300" simplePos="0" relativeHeight="251692031" behindDoc="0" locked="0" layoutInCell="0" allowOverlap="1" wp14:anchorId="643B7D54" wp14:editId="38E5E5DF">
              <wp:simplePos x="0" y="0"/>
              <wp:positionH relativeFrom="page">
                <wp:align>right</wp:align>
              </wp:positionH>
              <wp:positionV relativeFrom="page">
                <wp:align>top</wp:align>
              </wp:positionV>
              <wp:extent cx="7772400" cy="463550"/>
              <wp:effectExtent l="0" t="0" r="0" b="12700"/>
              <wp:wrapNone/>
              <wp:docPr id="14" name="MSIPCMe85342da89ce93fe1b067919" descr="{&quot;HashCode&quot;:1103173119,&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9DBE5" w14:textId="5BEB6698" w:rsidR="00A036E0"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43B7D54" id="_x0000_t202" coordsize="21600,21600" o:spt="202" path="m,l,21600r21600,l21600,xe">
              <v:stroke joinstyle="miter"/>
              <v:path gradientshapeok="t" o:connecttype="rect"/>
            </v:shapetype>
            <v:shape id="MSIPCMe85342da89ce93fe1b067919" o:spid="_x0000_s1029" type="#_x0000_t202" alt="{&quot;HashCode&quot;:1103173119,&quot;Height&quot;:9999999.0,&quot;Width&quot;:9999999.0,&quot;Placement&quot;:&quot;Header&quot;,&quot;Index&quot;:&quot;Primary&quot;,&quot;Section&quot;:2,&quot;Top&quot;:0.0,&quot;Left&quot;:0.0}" style="position:absolute;left:0;text-align:left;margin-left:560.8pt;margin-top:0;width:612pt;height:36.5pt;z-index:25169203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u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P0jGG4cAgAALgQAAA4AAAAAAAAAAAAAAAAALgIAAGRycy9lMm9Eb2MueG1sUEsBAi0AFAAG&#10;AAgAAAAhAM++O6HaAAAABQEAAA8AAAAAAAAAAAAAAAAAdgQAAGRycy9kb3ducmV2LnhtbFBLBQYA&#10;AAAABAAEAPMAAAB9BQAAAAA=&#10;" o:allowincell="f" filled="f" stroked="f" strokeweight=".5pt">
              <v:textbox inset=",0,20pt,0">
                <w:txbxContent>
                  <w:p w14:paraId="1C29DBE5" w14:textId="5BEB6698" w:rsidR="00A036E0"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r w:rsidR="00AA7F20">
      <w:rPr>
        <w:noProof/>
        <w:sz w:val="20"/>
        <w:szCs w:val="20"/>
        <w:lang w:eastAsia="pt-BR"/>
      </w:rPr>
      <mc:AlternateContent>
        <mc:Choice Requires="wps">
          <w:drawing>
            <wp:anchor distT="0" distB="0" distL="114300" distR="114300" simplePos="0" relativeHeight="251633664" behindDoc="0" locked="0" layoutInCell="1" allowOverlap="1" wp14:anchorId="1F8CE5B9" wp14:editId="062A7F12">
              <wp:simplePos x="0" y="0"/>
              <wp:positionH relativeFrom="column">
                <wp:posOffset>3019339</wp:posOffset>
              </wp:positionH>
              <wp:positionV relativeFrom="paragraph">
                <wp:posOffset>-479442</wp:posOffset>
              </wp:positionV>
              <wp:extent cx="3629448" cy="402742"/>
              <wp:effectExtent l="0" t="0" r="0" b="0"/>
              <wp:wrapNone/>
              <wp:docPr id="87" name="Caixa de Texto 87"/>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CB2B47A" w14:textId="44A20C5D" w:rsidR="00AA7F20" w:rsidRPr="00AF3549" w:rsidRDefault="00AA7F20" w:rsidP="0017189F">
                          <w:pPr>
                            <w:jc w:val="right"/>
                          </w:pPr>
                          <w:r w:rsidRPr="002B7B96">
                            <w:rPr>
                              <w:rFonts w:cs="Arial"/>
                              <w:color w:val="FFFFFF" w:themeColor="background1"/>
                              <w:szCs w:val="18"/>
                            </w:rPr>
                            <w:t>Conso</w:t>
                          </w:r>
                          <w:r>
                            <w:rPr>
                              <w:rFonts w:cs="Arial"/>
                              <w:color w:val="FFFFFF" w:themeColor="background1"/>
                              <w:szCs w:val="18"/>
                            </w:rPr>
                            <w:t xml:space="preserve">lidated Financial Statements – </w:t>
                          </w:r>
                          <w:r w:rsidR="00A036E0">
                            <w:rPr>
                              <w:rFonts w:cs="Arial"/>
                              <w:color w:val="FFFFFF" w:themeColor="background1"/>
                              <w:szCs w:val="18"/>
                            </w:rPr>
                            <w:t>1</w:t>
                          </w:r>
                          <w:r w:rsidR="00A036E0" w:rsidRPr="00A036E0">
                            <w:rPr>
                              <w:rFonts w:cs="Arial"/>
                              <w:color w:val="FFFFFF" w:themeColor="background1"/>
                              <w:szCs w:val="18"/>
                              <w:vertAlign w:val="superscript"/>
                            </w:rPr>
                            <w:t>st</w:t>
                          </w:r>
                          <w:r w:rsidR="00A036E0">
                            <w:rPr>
                              <w:rFonts w:cs="Arial"/>
                              <w:color w:val="FFFFFF" w:themeColor="background1"/>
                              <w:szCs w:val="18"/>
                            </w:rPr>
                            <w:t xml:space="preserve"> Quarter </w:t>
                          </w:r>
                          <w:r w:rsidRPr="002B7B96">
                            <w:rPr>
                              <w:rFonts w:cs="Arial"/>
                              <w:color w:val="FFFFFF" w:themeColor="background1"/>
                              <w:szCs w:val="18"/>
                            </w:rPr>
                            <w:t>202</w:t>
                          </w:r>
                          <w:r w:rsidR="00A036E0">
                            <w:rPr>
                              <w:rFonts w:cs="Arial"/>
                              <w:color w:val="FFFFFF" w:themeColor="background1"/>
                              <w:szCs w:val="18"/>
                            </w:rPr>
                            <w:t>3</w:t>
                          </w:r>
                          <w:r w:rsidRPr="00AF3549">
                            <w:rPr>
                              <w:rFonts w:cs="Arial"/>
                              <w:color w:val="FFFFFF" w:themeColor="background1"/>
                              <w:szCs w:val="18"/>
                            </w:rPr>
                            <w:br/>
                            <w:t>BB Seguridade Participações S.A.</w:t>
                          </w:r>
                        </w:p>
                        <w:p w14:paraId="4EC29F09" w14:textId="77777777" w:rsidR="00AA7F20" w:rsidRPr="00AF3549" w:rsidRDefault="00AA7F20"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CE5B9" id="Caixa de Texto 87" o:spid="_x0000_s1030" type="#_x0000_t202" style="position:absolute;left:0;text-align:left;margin-left:237.75pt;margin-top:-37.75pt;width:285.8pt;height:3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" filled="f" stroked="f" strokeweight=".5pt">
              <v:textbox>
                <w:txbxContent>
                  <w:p w14:paraId="5CB2B47A" w14:textId="44A20C5D" w:rsidR="00AA7F20" w:rsidRPr="00AF3549" w:rsidRDefault="00AA7F20" w:rsidP="0017189F">
                    <w:pPr>
                      <w:jc w:val="right"/>
                    </w:pPr>
                    <w:r w:rsidRPr="002B7B96">
                      <w:rPr>
                        <w:rFonts w:cs="Arial"/>
                        <w:color w:val="FFFFFF" w:themeColor="background1"/>
                        <w:szCs w:val="18"/>
                      </w:rPr>
                      <w:t>Conso</w:t>
                    </w:r>
                    <w:r>
                      <w:rPr>
                        <w:rFonts w:cs="Arial"/>
                        <w:color w:val="FFFFFF" w:themeColor="background1"/>
                        <w:szCs w:val="18"/>
                      </w:rPr>
                      <w:t xml:space="preserve">lidated Financial Statements – </w:t>
                    </w:r>
                    <w:r w:rsidR="00A036E0">
                      <w:rPr>
                        <w:rFonts w:cs="Arial"/>
                        <w:color w:val="FFFFFF" w:themeColor="background1"/>
                        <w:szCs w:val="18"/>
                      </w:rPr>
                      <w:t>1</w:t>
                    </w:r>
                    <w:r w:rsidR="00A036E0" w:rsidRPr="00A036E0">
                      <w:rPr>
                        <w:rFonts w:cs="Arial"/>
                        <w:color w:val="FFFFFF" w:themeColor="background1"/>
                        <w:szCs w:val="18"/>
                        <w:vertAlign w:val="superscript"/>
                      </w:rPr>
                      <w:t>st</w:t>
                    </w:r>
                    <w:r w:rsidR="00A036E0">
                      <w:rPr>
                        <w:rFonts w:cs="Arial"/>
                        <w:color w:val="FFFFFF" w:themeColor="background1"/>
                        <w:szCs w:val="18"/>
                      </w:rPr>
                      <w:t xml:space="preserve"> Quarter </w:t>
                    </w:r>
                    <w:r w:rsidRPr="002B7B96">
                      <w:rPr>
                        <w:rFonts w:cs="Arial"/>
                        <w:color w:val="FFFFFF" w:themeColor="background1"/>
                        <w:szCs w:val="18"/>
                      </w:rPr>
                      <w:t>202</w:t>
                    </w:r>
                    <w:r w:rsidR="00A036E0">
                      <w:rPr>
                        <w:rFonts w:cs="Arial"/>
                        <w:color w:val="FFFFFF" w:themeColor="background1"/>
                        <w:szCs w:val="18"/>
                      </w:rPr>
                      <w:t>3</w:t>
                    </w:r>
                    <w:r w:rsidRPr="00AF3549">
                      <w:rPr>
                        <w:rFonts w:cs="Arial"/>
                        <w:color w:val="FFFFFF" w:themeColor="background1"/>
                        <w:szCs w:val="18"/>
                      </w:rPr>
                      <w:br/>
                      <w:t>BB Seguridade Participações S.A.</w:t>
                    </w:r>
                  </w:p>
                  <w:p w14:paraId="4EC29F09" w14:textId="77777777" w:rsidR="00AA7F20" w:rsidRPr="00AF3549" w:rsidRDefault="00AA7F20" w:rsidP="0017189F">
                    <w:pPr>
                      <w:jc w:val="right"/>
                    </w:pPr>
                  </w:p>
                </w:txbxContent>
              </v:textbox>
            </v:shape>
          </w:pict>
        </mc:Fallback>
      </mc:AlternateContent>
    </w:r>
    <w:r w:rsidR="00AA7F20" w:rsidRPr="00254D35">
      <w:rPr>
        <w:noProof/>
        <w:sz w:val="20"/>
        <w:szCs w:val="20"/>
        <w:lang w:eastAsia="pt-BR"/>
      </w:rPr>
      <mc:AlternateContent>
        <mc:Choice Requires="wps">
          <w:drawing>
            <wp:anchor distT="0" distB="0" distL="114300" distR="114300" simplePos="0" relativeHeight="251621376" behindDoc="0" locked="0" layoutInCell="1" allowOverlap="1" wp14:anchorId="5525D7FB" wp14:editId="547A7227">
              <wp:simplePos x="0" y="0"/>
              <wp:positionH relativeFrom="page">
                <wp:posOffset>-1178011</wp:posOffset>
              </wp:positionH>
              <wp:positionV relativeFrom="paragraph">
                <wp:posOffset>-556861</wp:posOffset>
              </wp:positionV>
              <wp:extent cx="11887200" cy="527222"/>
              <wp:effectExtent l="0" t="0" r="0" b="6350"/>
              <wp:wrapNone/>
              <wp:docPr id="89" name="Retângulo 89"/>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B5BF9A2" w14:textId="0033BAA9" w:rsidR="00AA7F20" w:rsidRDefault="00AA7F20"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D7FB" id="Retângulo 89" o:spid="_x0000_s1031" style="position:absolute;left:0;text-align:left;margin-left:-92.75pt;margin-top:-43.85pt;width:13in;height:4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" fillcolor="#002d4b" stroked="f" strokeweight="1pt">
              <v:textbox>
                <w:txbxContent>
                  <w:p w14:paraId="1B5BF9A2" w14:textId="0033BAA9" w:rsidR="00AA7F20" w:rsidRDefault="00AA7F20" w:rsidP="00187C45">
                    <w:pPr>
                      <w:ind w:left="708"/>
                      <w:jc w:val="right"/>
                    </w:pPr>
                  </w:p>
                </w:txbxContent>
              </v:textbox>
              <w10:wrap anchorx="page"/>
            </v:rect>
          </w:pict>
        </mc:Fallback>
      </mc:AlternateContent>
    </w:r>
    <w:r w:rsidR="00AA7F20" w:rsidRPr="005D303B">
      <w:rPr>
        <w:b/>
        <w:noProof/>
        <w:color w:val="1F4E79" w:themeColor="accent1" w:themeShade="80"/>
        <w:lang w:eastAsia="pt-BR"/>
      </w:rPr>
      <mc:AlternateContent>
        <mc:Choice Requires="wps">
          <w:drawing>
            <wp:anchor distT="0" distB="0" distL="114300" distR="114300" simplePos="0" relativeHeight="251623424" behindDoc="0" locked="0" layoutInCell="1" allowOverlap="1" wp14:anchorId="1F7509E7" wp14:editId="787A212D">
              <wp:simplePos x="0" y="0"/>
              <wp:positionH relativeFrom="page">
                <wp:posOffset>-720969</wp:posOffset>
              </wp:positionH>
              <wp:positionV relativeFrom="paragraph">
                <wp:posOffset>-48651</wp:posOffset>
              </wp:positionV>
              <wp:extent cx="11406505" cy="45719"/>
              <wp:effectExtent l="0" t="0" r="4445" b="0"/>
              <wp:wrapNone/>
              <wp:docPr id="88"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6532D23C" id="Retângulo 14" o:spid="_x0000_s1026" style="position:absolute;margin-left:-56.75pt;margin-top:-3.85pt;width:898.15pt;height:3.6pt;flip:y;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sidR="00AA7F20">
      <w:rPr>
        <w:noProof/>
        <w:sz w:val="20"/>
        <w:szCs w:val="20"/>
        <w:lang w:eastAsia="pt-BR"/>
      </w:rPr>
      <w:drawing>
        <wp:anchor distT="0" distB="0" distL="114300" distR="114300" simplePos="0" relativeHeight="251628544" behindDoc="0" locked="0" layoutInCell="1" allowOverlap="1" wp14:anchorId="2DEAFCF0" wp14:editId="3CDA8EFA">
          <wp:simplePos x="0" y="0"/>
          <wp:positionH relativeFrom="margin">
            <wp:posOffset>-294957</wp:posOffset>
          </wp:positionH>
          <wp:positionV relativeFrom="page">
            <wp:posOffset>148590</wp:posOffset>
          </wp:positionV>
          <wp:extent cx="967740" cy="198755"/>
          <wp:effectExtent l="0" t="0" r="3810" b="0"/>
          <wp:wrapNone/>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1B7E" w14:textId="77777777" w:rsidR="00AA7F20" w:rsidRDefault="00AA7F20">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A11D" w14:textId="66DE62B7" w:rsidR="00AA7F20" w:rsidRPr="00147488" w:rsidRDefault="00EF69B1" w:rsidP="00991E72">
    <w:pPr>
      <w:pStyle w:val="Cabealho"/>
      <w:tabs>
        <w:tab w:val="clear" w:pos="4252"/>
        <w:tab w:val="clear" w:pos="8504"/>
        <w:tab w:val="left" w:pos="5625"/>
      </w:tabs>
    </w:pPr>
    <w:r>
      <w:rPr>
        <w:rFonts w:cs="Arial"/>
        <w:b/>
        <w:noProof/>
        <w:color w:val="1F4E79" w:themeColor="accent1" w:themeShade="80"/>
        <w:szCs w:val="18"/>
        <w:lang w:eastAsia="pt-BR"/>
      </w:rPr>
      <mc:AlternateContent>
        <mc:Choice Requires="wps">
          <w:drawing>
            <wp:anchor distT="0" distB="0" distL="114300" distR="114300" simplePos="0" relativeHeight="4009722879" behindDoc="0" locked="0" layoutInCell="0" allowOverlap="1" wp14:anchorId="7C7E0688" wp14:editId="08944262">
              <wp:simplePos x="0" y="190500"/>
              <wp:positionH relativeFrom="page">
                <wp:align>right</wp:align>
              </wp:positionH>
              <wp:positionV relativeFrom="page">
                <wp:align>top</wp:align>
              </wp:positionV>
              <wp:extent cx="7772400" cy="463550"/>
              <wp:effectExtent l="0" t="0" r="0" b="12700"/>
              <wp:wrapNone/>
              <wp:docPr id="23" name="MSIPCM3e86403393575a7aedc5e6eb" descr="{&quot;HashCode&quot;:1103173119,&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515F07" w14:textId="500C4E99" w:rsidR="00EF69B1"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C7E0688" id="_x0000_t202" coordsize="21600,21600" o:spt="202" path="m,l,21600r21600,l21600,xe">
              <v:stroke joinstyle="miter"/>
              <v:path gradientshapeok="t" o:connecttype="rect"/>
            </v:shapetype>
            <v:shape id="MSIPCM3e86403393575a7aedc5e6eb" o:spid="_x0000_s1032" type="#_x0000_t202" alt="{&quot;HashCode&quot;:1103173119,&quot;Height&quot;:9999999.0,&quot;Width&quot;:9999999.0,&quot;Placement&quot;:&quot;Header&quot;,&quot;Index&quot;:&quot;FirstPage&quot;,&quot;Section&quot;:6,&quot;Top&quot;:0.0,&quot;Left&quot;:0.0}" style="position:absolute;margin-left:560.8pt;margin-top:0;width:612pt;height:36.5pt;z-index:-285244417;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g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" o:allowincell="f" filled="f" stroked="f" strokeweight=".5pt">
              <v:textbox inset=",0,20pt,0">
                <w:txbxContent>
                  <w:p w14:paraId="30515F07" w14:textId="500C4E99" w:rsidR="00EF69B1" w:rsidRPr="000C6C6A" w:rsidRDefault="000C6C6A" w:rsidP="000C6C6A">
                    <w:pPr>
                      <w:spacing w:after="0"/>
                      <w:jc w:val="right"/>
                      <w:rPr>
                        <w:rFonts w:ascii="Calibri" w:hAnsi="Calibri" w:cs="Calibri"/>
                        <w:color w:val="000000"/>
                        <w:sz w:val="20"/>
                      </w:rPr>
                    </w:pPr>
                    <w:r w:rsidRPr="000C6C6A">
                      <w:rPr>
                        <w:rFonts w:ascii="Calibri" w:hAnsi="Calibri" w:cs="Calibri"/>
                        <w:color w:val="000000"/>
                        <w:sz w:val="20"/>
                      </w:rPr>
                      <w:t>#interna</w:t>
                    </w:r>
                  </w:p>
                </w:txbxContent>
              </v:textbox>
              <w10:wrap anchorx="page" anchory="page"/>
            </v:shape>
          </w:pict>
        </mc:Fallback>
      </mc:AlternateContent>
    </w:r>
    <w:r w:rsidR="00AA7F20" w:rsidRPr="005D303B">
      <w:rPr>
        <w:rFonts w:cs="Arial"/>
        <w:b/>
        <w:noProof/>
        <w:color w:val="1F4E79" w:themeColor="accent1" w:themeShade="80"/>
        <w:szCs w:val="18"/>
        <w:lang w:eastAsia="pt-BR"/>
      </w:rPr>
      <w:drawing>
        <wp:anchor distT="0" distB="0" distL="114300" distR="114300" simplePos="0" relativeHeight="251613184" behindDoc="0" locked="0" layoutInCell="1" allowOverlap="1" wp14:anchorId="69D704B8" wp14:editId="1B1118BC">
          <wp:simplePos x="0" y="0"/>
          <wp:positionH relativeFrom="margin">
            <wp:posOffset>-447675</wp:posOffset>
          </wp:positionH>
          <wp:positionV relativeFrom="paragraph">
            <wp:posOffset>-353060</wp:posOffset>
          </wp:positionV>
          <wp:extent cx="1176020" cy="259080"/>
          <wp:effectExtent l="0" t="0" r="508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AA7F20" w:rsidRPr="0069353A">
      <w:rPr>
        <w:noProof/>
        <w:sz w:val="20"/>
        <w:szCs w:val="20"/>
        <w:lang w:eastAsia="pt-BR"/>
      </w:rPr>
      <mc:AlternateContent>
        <mc:Choice Requires="wps">
          <w:drawing>
            <wp:anchor distT="0" distB="0" distL="114300" distR="114300" simplePos="0" relativeHeight="251610112" behindDoc="1" locked="0" layoutInCell="1" allowOverlap="1" wp14:anchorId="5075BF46" wp14:editId="69271302">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B2EFC" id="Retângulo 8" o:spid="_x0000_s1026" style="position:absolute;margin-left:0;margin-top:-42.75pt;width:594.75pt;height:51.8pt;z-index:-2517063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00AA7F20" w:rsidRPr="005D303B">
      <w:rPr>
        <w:rFonts w:cs="Arial"/>
        <w:b/>
        <w:noProof/>
        <w:color w:val="1F4E79" w:themeColor="accent1" w:themeShade="80"/>
        <w:szCs w:val="18"/>
        <w:lang w:eastAsia="pt-BR"/>
      </w:rPr>
      <mc:AlternateContent>
        <mc:Choice Requires="wps">
          <w:drawing>
            <wp:anchor distT="0" distB="0" distL="114300" distR="114300" simplePos="0" relativeHeight="251616256" behindDoc="0" locked="0" layoutInCell="1" allowOverlap="1" wp14:anchorId="07A39BB4" wp14:editId="79EEA914">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26D7CF09" id="Retângulo 14" o:spid="_x0000_s1026" style="position:absolute;margin-left:0;margin-top:6.1pt;width:10in;height:4.2pt;z-index:2516162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8682" w14:textId="77777777" w:rsidR="00AA7F20" w:rsidRDefault="00AA7F20">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B191" w14:textId="77777777" w:rsidR="00AA7F20" w:rsidRDefault="00AA7F20">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8970" w14:textId="77777777" w:rsidR="00AA7F20" w:rsidRDefault="00AA7F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5B2B46"/>
    <w:multiLevelType w:val="hybridMultilevel"/>
    <w:tmpl w:val="B2DC3B58"/>
    <w:lvl w:ilvl="0" w:tplc="C0C490E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AC4508"/>
    <w:multiLevelType w:val="hybridMultilevel"/>
    <w:tmpl w:val="7CE043A6"/>
    <w:lvl w:ilvl="0" w:tplc="4D88D23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6"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547C66"/>
    <w:multiLevelType w:val="hybridMultilevel"/>
    <w:tmpl w:val="21588690"/>
    <w:lvl w:ilvl="0" w:tplc="C5C8317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62D37"/>
    <w:multiLevelType w:val="hybridMultilevel"/>
    <w:tmpl w:val="09E03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C18025C"/>
    <w:multiLevelType w:val="hybridMultilevel"/>
    <w:tmpl w:val="89D8A204"/>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0C2AC7"/>
    <w:multiLevelType w:val="hybridMultilevel"/>
    <w:tmpl w:val="B0E6DF00"/>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B02F61"/>
    <w:multiLevelType w:val="hybridMultilevel"/>
    <w:tmpl w:val="344A7BD6"/>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1DD5774"/>
    <w:multiLevelType w:val="hybridMultilevel"/>
    <w:tmpl w:val="401277AC"/>
    <w:lvl w:ilvl="0" w:tplc="54106C5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FB416C"/>
    <w:multiLevelType w:val="hybridMultilevel"/>
    <w:tmpl w:val="09E030A6"/>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7712C4"/>
    <w:multiLevelType w:val="hybridMultilevel"/>
    <w:tmpl w:val="F5E4B12E"/>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30D2E51"/>
    <w:multiLevelType w:val="hybridMultilevel"/>
    <w:tmpl w:val="C9FC4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15:restartNumberingAfterBreak="0">
    <w:nsid w:val="3ED0042C"/>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3474EA"/>
    <w:multiLevelType w:val="hybridMultilevel"/>
    <w:tmpl w:val="09E030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5E770B6"/>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6D30BD"/>
    <w:multiLevelType w:val="hybridMultilevel"/>
    <w:tmpl w:val="086672E2"/>
    <w:lvl w:ilvl="0" w:tplc="B58655E2">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4" w15:restartNumberingAfterBreak="0">
    <w:nsid w:val="5CBE25E9"/>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6" w15:restartNumberingAfterBreak="0">
    <w:nsid w:val="68E7312C"/>
    <w:multiLevelType w:val="hybridMultilevel"/>
    <w:tmpl w:val="CDBE7420"/>
    <w:lvl w:ilvl="0" w:tplc="880EE8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0D7301"/>
    <w:multiLevelType w:val="hybridMultilevel"/>
    <w:tmpl w:val="AF74A042"/>
    <w:lvl w:ilvl="0" w:tplc="92F8C2D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60B4275"/>
    <w:multiLevelType w:val="hybridMultilevel"/>
    <w:tmpl w:val="966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DC958CC"/>
    <w:multiLevelType w:val="hybridMultilevel"/>
    <w:tmpl w:val="94146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F291500"/>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61439029">
    <w:abstractNumId w:val="38"/>
  </w:num>
  <w:num w:numId="2" w16cid:durableId="1930233257">
    <w:abstractNumId w:val="9"/>
  </w:num>
  <w:num w:numId="3" w16cid:durableId="1225873234">
    <w:abstractNumId w:val="18"/>
  </w:num>
  <w:num w:numId="4" w16cid:durableId="1715158805">
    <w:abstractNumId w:val="35"/>
  </w:num>
  <w:num w:numId="5" w16cid:durableId="1066414306">
    <w:abstractNumId w:val="27"/>
  </w:num>
  <w:num w:numId="6" w16cid:durableId="117071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7624676">
    <w:abstractNumId w:val="41"/>
  </w:num>
  <w:num w:numId="8" w16cid:durableId="1160732275">
    <w:abstractNumId w:val="23"/>
  </w:num>
  <w:num w:numId="9" w16cid:durableId="52238028">
    <w:abstractNumId w:val="8"/>
  </w:num>
  <w:num w:numId="10" w16cid:durableId="13657304">
    <w:abstractNumId w:val="20"/>
  </w:num>
  <w:num w:numId="11" w16cid:durableId="1289314796">
    <w:abstractNumId w:val="2"/>
  </w:num>
  <w:num w:numId="12" w16cid:durableId="11885491">
    <w:abstractNumId w:val="12"/>
  </w:num>
  <w:num w:numId="13" w16cid:durableId="2010596354">
    <w:abstractNumId w:val="14"/>
  </w:num>
  <w:num w:numId="14" w16cid:durableId="1383864827">
    <w:abstractNumId w:val="10"/>
  </w:num>
  <w:num w:numId="15" w16cid:durableId="713964200">
    <w:abstractNumId w:val="33"/>
  </w:num>
  <w:num w:numId="16" w16cid:durableId="1458839490">
    <w:abstractNumId w:val="26"/>
  </w:num>
  <w:num w:numId="17" w16cid:durableId="1029722356">
    <w:abstractNumId w:val="24"/>
  </w:num>
  <w:num w:numId="18" w16cid:durableId="987787337">
    <w:abstractNumId w:val="6"/>
  </w:num>
  <w:num w:numId="19" w16cid:durableId="1878202516">
    <w:abstractNumId w:val="45"/>
  </w:num>
  <w:num w:numId="20" w16cid:durableId="1745372121">
    <w:abstractNumId w:val="5"/>
  </w:num>
  <w:num w:numId="21" w16cid:durableId="600334480">
    <w:abstractNumId w:val="15"/>
  </w:num>
  <w:num w:numId="22" w16cid:durableId="1205678608">
    <w:abstractNumId w:val="17"/>
  </w:num>
  <w:num w:numId="23" w16cid:durableId="374045812">
    <w:abstractNumId w:val="42"/>
  </w:num>
  <w:num w:numId="24" w16cid:durableId="1239972788">
    <w:abstractNumId w:val="22"/>
  </w:num>
  <w:num w:numId="25" w16cid:durableId="1763917519">
    <w:abstractNumId w:val="7"/>
  </w:num>
  <w:num w:numId="26" w16cid:durableId="1391071860">
    <w:abstractNumId w:val="28"/>
  </w:num>
  <w:num w:numId="27" w16cid:durableId="1261646680">
    <w:abstractNumId w:val="30"/>
  </w:num>
  <w:num w:numId="28" w16cid:durableId="4987338">
    <w:abstractNumId w:val="44"/>
  </w:num>
  <w:num w:numId="29" w16cid:durableId="1301034536">
    <w:abstractNumId w:val="37"/>
  </w:num>
  <w:num w:numId="30" w16cid:durableId="1917939607">
    <w:abstractNumId w:val="25"/>
  </w:num>
  <w:num w:numId="31" w16cid:durableId="1057318616">
    <w:abstractNumId w:val="13"/>
  </w:num>
  <w:num w:numId="32" w16cid:durableId="124667871">
    <w:abstractNumId w:val="31"/>
  </w:num>
  <w:num w:numId="33" w16cid:durableId="1572085685">
    <w:abstractNumId w:val="36"/>
  </w:num>
  <w:num w:numId="34" w16cid:durableId="1322464677">
    <w:abstractNumId w:val="43"/>
  </w:num>
  <w:num w:numId="35" w16cid:durableId="1972201125">
    <w:abstractNumId w:val="39"/>
  </w:num>
  <w:num w:numId="36" w16cid:durableId="2035762984">
    <w:abstractNumId w:val="40"/>
  </w:num>
  <w:num w:numId="37" w16cid:durableId="870844916">
    <w:abstractNumId w:val="19"/>
  </w:num>
  <w:num w:numId="38" w16cid:durableId="1964539188">
    <w:abstractNumId w:val="11"/>
  </w:num>
  <w:num w:numId="39" w16cid:durableId="1854806089">
    <w:abstractNumId w:val="16"/>
  </w:num>
  <w:num w:numId="40" w16cid:durableId="517546086">
    <w:abstractNumId w:val="3"/>
  </w:num>
  <w:num w:numId="41" w16cid:durableId="783771814">
    <w:abstractNumId w:val="32"/>
  </w:num>
  <w:num w:numId="42" w16cid:durableId="1800755915">
    <w:abstractNumId w:val="34"/>
  </w:num>
  <w:num w:numId="43" w16cid:durableId="1248806173">
    <w:abstractNumId w:val="29"/>
  </w:num>
  <w:num w:numId="44" w16cid:durableId="1193304151">
    <w:abstractNumId w:val="1"/>
  </w:num>
  <w:num w:numId="45" w16cid:durableId="328292506">
    <w:abstractNumId w:val="4"/>
  </w:num>
  <w:num w:numId="46" w16cid:durableId="111313520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gutterAtTop/>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s-ES" w:vendorID="64" w:dllVersion="6" w:nlCheck="1" w:checkStyle="0"/>
  <w:activeWritingStyle w:appName="MSWord" w:lang="es-ES" w:vendorID="64" w:dllVersion="0" w:nlCheck="1" w:checkStyle="0"/>
  <w:defaultTabStop w:val="708"/>
  <w:hyphenationZone w:val="425"/>
  <w:characterSpacingControl w:val="doNotCompress"/>
  <w:hdrShapeDefaults>
    <o:shapedefaults v:ext="edit" spidmax="4853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2A"/>
    <w:rsid w:val="00002714"/>
    <w:rsid w:val="00003530"/>
    <w:rsid w:val="00005CAA"/>
    <w:rsid w:val="0000601B"/>
    <w:rsid w:val="0000609B"/>
    <w:rsid w:val="000073A6"/>
    <w:rsid w:val="00007A5D"/>
    <w:rsid w:val="00010A23"/>
    <w:rsid w:val="0001118D"/>
    <w:rsid w:val="00011C44"/>
    <w:rsid w:val="00012049"/>
    <w:rsid w:val="00012577"/>
    <w:rsid w:val="00012B73"/>
    <w:rsid w:val="00013BC0"/>
    <w:rsid w:val="00014575"/>
    <w:rsid w:val="00014EC1"/>
    <w:rsid w:val="00020A6E"/>
    <w:rsid w:val="00020CDD"/>
    <w:rsid w:val="00020DDE"/>
    <w:rsid w:val="0002119F"/>
    <w:rsid w:val="00022BC3"/>
    <w:rsid w:val="00022E32"/>
    <w:rsid w:val="0002315B"/>
    <w:rsid w:val="00023D8F"/>
    <w:rsid w:val="00024751"/>
    <w:rsid w:val="00024D0B"/>
    <w:rsid w:val="00030E5D"/>
    <w:rsid w:val="00031BD2"/>
    <w:rsid w:val="000355CB"/>
    <w:rsid w:val="00036121"/>
    <w:rsid w:val="00037AC3"/>
    <w:rsid w:val="0004046C"/>
    <w:rsid w:val="00040D6D"/>
    <w:rsid w:val="00042740"/>
    <w:rsid w:val="00047718"/>
    <w:rsid w:val="000507BA"/>
    <w:rsid w:val="000511AA"/>
    <w:rsid w:val="00052117"/>
    <w:rsid w:val="00054E01"/>
    <w:rsid w:val="0005562A"/>
    <w:rsid w:val="000560D0"/>
    <w:rsid w:val="00056C09"/>
    <w:rsid w:val="000578ED"/>
    <w:rsid w:val="00061D43"/>
    <w:rsid w:val="00062D65"/>
    <w:rsid w:val="00064557"/>
    <w:rsid w:val="00064D21"/>
    <w:rsid w:val="0006681B"/>
    <w:rsid w:val="00071223"/>
    <w:rsid w:val="00071241"/>
    <w:rsid w:val="0007336D"/>
    <w:rsid w:val="00074E48"/>
    <w:rsid w:val="0007615B"/>
    <w:rsid w:val="00077564"/>
    <w:rsid w:val="00077F31"/>
    <w:rsid w:val="000803CF"/>
    <w:rsid w:val="00080A12"/>
    <w:rsid w:val="00080FD6"/>
    <w:rsid w:val="00081476"/>
    <w:rsid w:val="00082841"/>
    <w:rsid w:val="00083959"/>
    <w:rsid w:val="00083A9B"/>
    <w:rsid w:val="00086354"/>
    <w:rsid w:val="00086DF1"/>
    <w:rsid w:val="00096233"/>
    <w:rsid w:val="00096E88"/>
    <w:rsid w:val="000A1DF1"/>
    <w:rsid w:val="000A33F3"/>
    <w:rsid w:val="000A3AB8"/>
    <w:rsid w:val="000A3D92"/>
    <w:rsid w:val="000A4034"/>
    <w:rsid w:val="000A40F5"/>
    <w:rsid w:val="000A71C5"/>
    <w:rsid w:val="000B3796"/>
    <w:rsid w:val="000B3D6F"/>
    <w:rsid w:val="000B4735"/>
    <w:rsid w:val="000B4867"/>
    <w:rsid w:val="000B5AC0"/>
    <w:rsid w:val="000B60F3"/>
    <w:rsid w:val="000B6AA4"/>
    <w:rsid w:val="000C0648"/>
    <w:rsid w:val="000C09ED"/>
    <w:rsid w:val="000C0CD7"/>
    <w:rsid w:val="000C1469"/>
    <w:rsid w:val="000C4D7D"/>
    <w:rsid w:val="000C6C6A"/>
    <w:rsid w:val="000C78FC"/>
    <w:rsid w:val="000D2BDB"/>
    <w:rsid w:val="000D610E"/>
    <w:rsid w:val="000D6B6D"/>
    <w:rsid w:val="000D75D0"/>
    <w:rsid w:val="000E07E3"/>
    <w:rsid w:val="000E0CEF"/>
    <w:rsid w:val="000E4573"/>
    <w:rsid w:val="000E51BC"/>
    <w:rsid w:val="000E53EE"/>
    <w:rsid w:val="000E564B"/>
    <w:rsid w:val="000F0924"/>
    <w:rsid w:val="000F2454"/>
    <w:rsid w:val="000F2546"/>
    <w:rsid w:val="000F5078"/>
    <w:rsid w:val="000F60CC"/>
    <w:rsid w:val="000F6165"/>
    <w:rsid w:val="00102B25"/>
    <w:rsid w:val="00106BEE"/>
    <w:rsid w:val="00106C5A"/>
    <w:rsid w:val="00107277"/>
    <w:rsid w:val="00107E85"/>
    <w:rsid w:val="00111800"/>
    <w:rsid w:val="00112673"/>
    <w:rsid w:val="001143BB"/>
    <w:rsid w:val="00114D47"/>
    <w:rsid w:val="00114D85"/>
    <w:rsid w:val="00116243"/>
    <w:rsid w:val="001170F1"/>
    <w:rsid w:val="0011760C"/>
    <w:rsid w:val="001215F2"/>
    <w:rsid w:val="001248F9"/>
    <w:rsid w:val="00125A20"/>
    <w:rsid w:val="001278B9"/>
    <w:rsid w:val="00127C78"/>
    <w:rsid w:val="00132148"/>
    <w:rsid w:val="00133C71"/>
    <w:rsid w:val="00133DDD"/>
    <w:rsid w:val="001340D2"/>
    <w:rsid w:val="00134161"/>
    <w:rsid w:val="0013553F"/>
    <w:rsid w:val="00140A12"/>
    <w:rsid w:val="00141687"/>
    <w:rsid w:val="00143847"/>
    <w:rsid w:val="00143A54"/>
    <w:rsid w:val="001441C1"/>
    <w:rsid w:val="001459BC"/>
    <w:rsid w:val="00146A99"/>
    <w:rsid w:val="00146E6E"/>
    <w:rsid w:val="00147A61"/>
    <w:rsid w:val="00150A99"/>
    <w:rsid w:val="001521B5"/>
    <w:rsid w:val="0015348F"/>
    <w:rsid w:val="0016191A"/>
    <w:rsid w:val="00162CC0"/>
    <w:rsid w:val="00162D44"/>
    <w:rsid w:val="0016383D"/>
    <w:rsid w:val="00165367"/>
    <w:rsid w:val="00166719"/>
    <w:rsid w:val="00166B73"/>
    <w:rsid w:val="00167252"/>
    <w:rsid w:val="00167F52"/>
    <w:rsid w:val="0017189F"/>
    <w:rsid w:val="00172111"/>
    <w:rsid w:val="00173CA2"/>
    <w:rsid w:val="00175828"/>
    <w:rsid w:val="001761A2"/>
    <w:rsid w:val="0018325A"/>
    <w:rsid w:val="001836F3"/>
    <w:rsid w:val="00183946"/>
    <w:rsid w:val="00183D72"/>
    <w:rsid w:val="00183FBF"/>
    <w:rsid w:val="001849B5"/>
    <w:rsid w:val="0018575E"/>
    <w:rsid w:val="00187B50"/>
    <w:rsid w:val="00187C45"/>
    <w:rsid w:val="00191079"/>
    <w:rsid w:val="00191372"/>
    <w:rsid w:val="001A1443"/>
    <w:rsid w:val="001A2EC3"/>
    <w:rsid w:val="001A3250"/>
    <w:rsid w:val="001A37E3"/>
    <w:rsid w:val="001A5FD8"/>
    <w:rsid w:val="001A7DD3"/>
    <w:rsid w:val="001B1213"/>
    <w:rsid w:val="001B14AB"/>
    <w:rsid w:val="001B4D77"/>
    <w:rsid w:val="001B50A9"/>
    <w:rsid w:val="001C0DC2"/>
    <w:rsid w:val="001C3F35"/>
    <w:rsid w:val="001C425E"/>
    <w:rsid w:val="001C6657"/>
    <w:rsid w:val="001C7B25"/>
    <w:rsid w:val="001C7D1C"/>
    <w:rsid w:val="001D2FA3"/>
    <w:rsid w:val="001D5AF7"/>
    <w:rsid w:val="001D68BF"/>
    <w:rsid w:val="001E1FF5"/>
    <w:rsid w:val="001E24A1"/>
    <w:rsid w:val="001E4241"/>
    <w:rsid w:val="001E7A74"/>
    <w:rsid w:val="001F004B"/>
    <w:rsid w:val="001F0A82"/>
    <w:rsid w:val="001F2E08"/>
    <w:rsid w:val="0020171B"/>
    <w:rsid w:val="00204930"/>
    <w:rsid w:val="00206D2C"/>
    <w:rsid w:val="00210ED2"/>
    <w:rsid w:val="0021172A"/>
    <w:rsid w:val="002269ED"/>
    <w:rsid w:val="00226FD5"/>
    <w:rsid w:val="0022799E"/>
    <w:rsid w:val="00227ECE"/>
    <w:rsid w:val="0023066D"/>
    <w:rsid w:val="00230B22"/>
    <w:rsid w:val="002318E3"/>
    <w:rsid w:val="00231AF4"/>
    <w:rsid w:val="00233DBB"/>
    <w:rsid w:val="00234AD5"/>
    <w:rsid w:val="00234F0B"/>
    <w:rsid w:val="0023652C"/>
    <w:rsid w:val="00242321"/>
    <w:rsid w:val="002438B1"/>
    <w:rsid w:val="00244068"/>
    <w:rsid w:val="00244BA9"/>
    <w:rsid w:val="00246CB5"/>
    <w:rsid w:val="00247781"/>
    <w:rsid w:val="002500BA"/>
    <w:rsid w:val="00251262"/>
    <w:rsid w:val="00252C1D"/>
    <w:rsid w:val="002564DF"/>
    <w:rsid w:val="00257B42"/>
    <w:rsid w:val="00260B0F"/>
    <w:rsid w:val="00260B51"/>
    <w:rsid w:val="002663FA"/>
    <w:rsid w:val="0026664B"/>
    <w:rsid w:val="00270A68"/>
    <w:rsid w:val="0027390D"/>
    <w:rsid w:val="00275580"/>
    <w:rsid w:val="00276764"/>
    <w:rsid w:val="00276881"/>
    <w:rsid w:val="0027727A"/>
    <w:rsid w:val="00280F70"/>
    <w:rsid w:val="00291940"/>
    <w:rsid w:val="00291F73"/>
    <w:rsid w:val="00294917"/>
    <w:rsid w:val="00294C04"/>
    <w:rsid w:val="002A1B52"/>
    <w:rsid w:val="002A22F3"/>
    <w:rsid w:val="002A36A7"/>
    <w:rsid w:val="002A72E3"/>
    <w:rsid w:val="002B0076"/>
    <w:rsid w:val="002B5111"/>
    <w:rsid w:val="002B59B6"/>
    <w:rsid w:val="002B7B96"/>
    <w:rsid w:val="002C1612"/>
    <w:rsid w:val="002C376F"/>
    <w:rsid w:val="002C4924"/>
    <w:rsid w:val="002C562D"/>
    <w:rsid w:val="002C5B84"/>
    <w:rsid w:val="002C7209"/>
    <w:rsid w:val="002D00B8"/>
    <w:rsid w:val="002D0C2A"/>
    <w:rsid w:val="002D143C"/>
    <w:rsid w:val="002D39D6"/>
    <w:rsid w:val="002D5A83"/>
    <w:rsid w:val="002D65D2"/>
    <w:rsid w:val="002D68C2"/>
    <w:rsid w:val="002D6C42"/>
    <w:rsid w:val="002D71EB"/>
    <w:rsid w:val="002D7D9E"/>
    <w:rsid w:val="002E299B"/>
    <w:rsid w:val="002E3C67"/>
    <w:rsid w:val="002E44CC"/>
    <w:rsid w:val="002E5479"/>
    <w:rsid w:val="002E561F"/>
    <w:rsid w:val="002E6ED5"/>
    <w:rsid w:val="002E7410"/>
    <w:rsid w:val="002E756A"/>
    <w:rsid w:val="002F0B11"/>
    <w:rsid w:val="002F6838"/>
    <w:rsid w:val="002F6AA5"/>
    <w:rsid w:val="002F7E14"/>
    <w:rsid w:val="00300419"/>
    <w:rsid w:val="00302841"/>
    <w:rsid w:val="00303359"/>
    <w:rsid w:val="003057DB"/>
    <w:rsid w:val="00307AD1"/>
    <w:rsid w:val="00310081"/>
    <w:rsid w:val="00311A34"/>
    <w:rsid w:val="00312114"/>
    <w:rsid w:val="00312B45"/>
    <w:rsid w:val="00314402"/>
    <w:rsid w:val="003160DD"/>
    <w:rsid w:val="00317905"/>
    <w:rsid w:val="00321043"/>
    <w:rsid w:val="0032286E"/>
    <w:rsid w:val="0032296E"/>
    <w:rsid w:val="00323E9B"/>
    <w:rsid w:val="00324C45"/>
    <w:rsid w:val="00326C6A"/>
    <w:rsid w:val="003345AD"/>
    <w:rsid w:val="00336EA5"/>
    <w:rsid w:val="00342A2B"/>
    <w:rsid w:val="003432FE"/>
    <w:rsid w:val="00344965"/>
    <w:rsid w:val="0035060E"/>
    <w:rsid w:val="00356AB8"/>
    <w:rsid w:val="003574A9"/>
    <w:rsid w:val="00360266"/>
    <w:rsid w:val="00361F6F"/>
    <w:rsid w:val="00364937"/>
    <w:rsid w:val="00365D56"/>
    <w:rsid w:val="00366238"/>
    <w:rsid w:val="0036729E"/>
    <w:rsid w:val="00367ACF"/>
    <w:rsid w:val="00370FE2"/>
    <w:rsid w:val="0037479E"/>
    <w:rsid w:val="00377C47"/>
    <w:rsid w:val="00382527"/>
    <w:rsid w:val="00382CBA"/>
    <w:rsid w:val="0039022B"/>
    <w:rsid w:val="003905D1"/>
    <w:rsid w:val="00395DD8"/>
    <w:rsid w:val="00397A23"/>
    <w:rsid w:val="00397AA6"/>
    <w:rsid w:val="003A05EE"/>
    <w:rsid w:val="003A0AB2"/>
    <w:rsid w:val="003A1073"/>
    <w:rsid w:val="003A237E"/>
    <w:rsid w:val="003A3B7A"/>
    <w:rsid w:val="003A3BB0"/>
    <w:rsid w:val="003A46E3"/>
    <w:rsid w:val="003A46FA"/>
    <w:rsid w:val="003A496C"/>
    <w:rsid w:val="003A4A47"/>
    <w:rsid w:val="003A5FCE"/>
    <w:rsid w:val="003A68DE"/>
    <w:rsid w:val="003B0871"/>
    <w:rsid w:val="003B0A01"/>
    <w:rsid w:val="003B1062"/>
    <w:rsid w:val="003B3EF2"/>
    <w:rsid w:val="003B4CF6"/>
    <w:rsid w:val="003B6C01"/>
    <w:rsid w:val="003C0129"/>
    <w:rsid w:val="003C2712"/>
    <w:rsid w:val="003C3985"/>
    <w:rsid w:val="003C43EB"/>
    <w:rsid w:val="003C725C"/>
    <w:rsid w:val="003C76C4"/>
    <w:rsid w:val="003D04B4"/>
    <w:rsid w:val="003D1CDE"/>
    <w:rsid w:val="003D61C6"/>
    <w:rsid w:val="003D7C55"/>
    <w:rsid w:val="003D7FB6"/>
    <w:rsid w:val="003E1F82"/>
    <w:rsid w:val="003E407C"/>
    <w:rsid w:val="003E752D"/>
    <w:rsid w:val="003E7547"/>
    <w:rsid w:val="003F3906"/>
    <w:rsid w:val="003F62E5"/>
    <w:rsid w:val="003F6DAE"/>
    <w:rsid w:val="00410A4B"/>
    <w:rsid w:val="00412829"/>
    <w:rsid w:val="004140F2"/>
    <w:rsid w:val="00414271"/>
    <w:rsid w:val="00420180"/>
    <w:rsid w:val="00422472"/>
    <w:rsid w:val="0042368D"/>
    <w:rsid w:val="00424091"/>
    <w:rsid w:val="00425DE8"/>
    <w:rsid w:val="00426DEA"/>
    <w:rsid w:val="004277AF"/>
    <w:rsid w:val="00427B99"/>
    <w:rsid w:val="00431D8B"/>
    <w:rsid w:val="004345E8"/>
    <w:rsid w:val="0043468B"/>
    <w:rsid w:val="00435016"/>
    <w:rsid w:val="00435972"/>
    <w:rsid w:val="00435ED1"/>
    <w:rsid w:val="00436E96"/>
    <w:rsid w:val="004405C7"/>
    <w:rsid w:val="004442D9"/>
    <w:rsid w:val="00444B57"/>
    <w:rsid w:val="00445209"/>
    <w:rsid w:val="00445861"/>
    <w:rsid w:val="00450E29"/>
    <w:rsid w:val="00451174"/>
    <w:rsid w:val="00453406"/>
    <w:rsid w:val="00454D9F"/>
    <w:rsid w:val="00456237"/>
    <w:rsid w:val="004577EF"/>
    <w:rsid w:val="004618D3"/>
    <w:rsid w:val="004640C8"/>
    <w:rsid w:val="00464624"/>
    <w:rsid w:val="00464B4D"/>
    <w:rsid w:val="00464F97"/>
    <w:rsid w:val="0046510B"/>
    <w:rsid w:val="004659AC"/>
    <w:rsid w:val="0046651D"/>
    <w:rsid w:val="00466F14"/>
    <w:rsid w:val="00467245"/>
    <w:rsid w:val="00467636"/>
    <w:rsid w:val="004678AB"/>
    <w:rsid w:val="00467ED6"/>
    <w:rsid w:val="004706AD"/>
    <w:rsid w:val="00471986"/>
    <w:rsid w:val="004744A0"/>
    <w:rsid w:val="0047521F"/>
    <w:rsid w:val="004753EF"/>
    <w:rsid w:val="004762C7"/>
    <w:rsid w:val="004777A0"/>
    <w:rsid w:val="00480E4B"/>
    <w:rsid w:val="0048278C"/>
    <w:rsid w:val="00482B72"/>
    <w:rsid w:val="00483F2C"/>
    <w:rsid w:val="00486355"/>
    <w:rsid w:val="004878A8"/>
    <w:rsid w:val="00487DE4"/>
    <w:rsid w:val="0049071F"/>
    <w:rsid w:val="00490981"/>
    <w:rsid w:val="004913BA"/>
    <w:rsid w:val="00491A7B"/>
    <w:rsid w:val="00493598"/>
    <w:rsid w:val="0049511F"/>
    <w:rsid w:val="004959C4"/>
    <w:rsid w:val="0049601F"/>
    <w:rsid w:val="00496220"/>
    <w:rsid w:val="00496C7B"/>
    <w:rsid w:val="00497D57"/>
    <w:rsid w:val="004A04A5"/>
    <w:rsid w:val="004A26EE"/>
    <w:rsid w:val="004A39D4"/>
    <w:rsid w:val="004A5980"/>
    <w:rsid w:val="004A5CDD"/>
    <w:rsid w:val="004A5E05"/>
    <w:rsid w:val="004A6656"/>
    <w:rsid w:val="004B00DD"/>
    <w:rsid w:val="004B1897"/>
    <w:rsid w:val="004B1EE7"/>
    <w:rsid w:val="004B3BAB"/>
    <w:rsid w:val="004B60B0"/>
    <w:rsid w:val="004B60D3"/>
    <w:rsid w:val="004B659D"/>
    <w:rsid w:val="004B6AF4"/>
    <w:rsid w:val="004B71AC"/>
    <w:rsid w:val="004C3BD0"/>
    <w:rsid w:val="004C461F"/>
    <w:rsid w:val="004C4B52"/>
    <w:rsid w:val="004C7FF9"/>
    <w:rsid w:val="004D1F33"/>
    <w:rsid w:val="004D27B6"/>
    <w:rsid w:val="004D38D7"/>
    <w:rsid w:val="004D4283"/>
    <w:rsid w:val="004D4FF9"/>
    <w:rsid w:val="004D7600"/>
    <w:rsid w:val="004D7A2F"/>
    <w:rsid w:val="004E0822"/>
    <w:rsid w:val="004E230D"/>
    <w:rsid w:val="004E3014"/>
    <w:rsid w:val="004E5AC7"/>
    <w:rsid w:val="004F0411"/>
    <w:rsid w:val="004F12A3"/>
    <w:rsid w:val="004F2709"/>
    <w:rsid w:val="004F3057"/>
    <w:rsid w:val="004F3194"/>
    <w:rsid w:val="004F45BA"/>
    <w:rsid w:val="004F45EE"/>
    <w:rsid w:val="004F509B"/>
    <w:rsid w:val="004F712D"/>
    <w:rsid w:val="004F7C15"/>
    <w:rsid w:val="00500AB3"/>
    <w:rsid w:val="00504EE2"/>
    <w:rsid w:val="00504F34"/>
    <w:rsid w:val="005061D2"/>
    <w:rsid w:val="00506AE7"/>
    <w:rsid w:val="00510BED"/>
    <w:rsid w:val="00511848"/>
    <w:rsid w:val="00511EB1"/>
    <w:rsid w:val="0051329F"/>
    <w:rsid w:val="005212E8"/>
    <w:rsid w:val="005261C1"/>
    <w:rsid w:val="0052662E"/>
    <w:rsid w:val="00527747"/>
    <w:rsid w:val="0052784B"/>
    <w:rsid w:val="00530A63"/>
    <w:rsid w:val="005311FC"/>
    <w:rsid w:val="00534DA0"/>
    <w:rsid w:val="005357C6"/>
    <w:rsid w:val="0053756D"/>
    <w:rsid w:val="00537934"/>
    <w:rsid w:val="00540F6B"/>
    <w:rsid w:val="00543849"/>
    <w:rsid w:val="00543B44"/>
    <w:rsid w:val="005449F8"/>
    <w:rsid w:val="0054696D"/>
    <w:rsid w:val="005479E7"/>
    <w:rsid w:val="00551188"/>
    <w:rsid w:val="0055368E"/>
    <w:rsid w:val="00553F85"/>
    <w:rsid w:val="00554D71"/>
    <w:rsid w:val="00555BE6"/>
    <w:rsid w:val="00557708"/>
    <w:rsid w:val="00560D1E"/>
    <w:rsid w:val="00560E22"/>
    <w:rsid w:val="005614B4"/>
    <w:rsid w:val="005632DD"/>
    <w:rsid w:val="00565150"/>
    <w:rsid w:val="005678BA"/>
    <w:rsid w:val="005678EB"/>
    <w:rsid w:val="00567DAB"/>
    <w:rsid w:val="00572AC0"/>
    <w:rsid w:val="005820DF"/>
    <w:rsid w:val="00583EE6"/>
    <w:rsid w:val="00590D4B"/>
    <w:rsid w:val="00592EB1"/>
    <w:rsid w:val="00594A07"/>
    <w:rsid w:val="00595FEE"/>
    <w:rsid w:val="005A0095"/>
    <w:rsid w:val="005A1B23"/>
    <w:rsid w:val="005A2B35"/>
    <w:rsid w:val="005A393B"/>
    <w:rsid w:val="005A7BDF"/>
    <w:rsid w:val="005A7EAF"/>
    <w:rsid w:val="005B0684"/>
    <w:rsid w:val="005B1BF7"/>
    <w:rsid w:val="005B359F"/>
    <w:rsid w:val="005B37F6"/>
    <w:rsid w:val="005B44BC"/>
    <w:rsid w:val="005B47AA"/>
    <w:rsid w:val="005C008E"/>
    <w:rsid w:val="005C1B38"/>
    <w:rsid w:val="005C50CA"/>
    <w:rsid w:val="005C5DF2"/>
    <w:rsid w:val="005C6C53"/>
    <w:rsid w:val="005C6C97"/>
    <w:rsid w:val="005D05B7"/>
    <w:rsid w:val="005D0819"/>
    <w:rsid w:val="005D1684"/>
    <w:rsid w:val="005D3551"/>
    <w:rsid w:val="005D4108"/>
    <w:rsid w:val="005D42E4"/>
    <w:rsid w:val="005D5A74"/>
    <w:rsid w:val="005D6D0C"/>
    <w:rsid w:val="005D7AB0"/>
    <w:rsid w:val="005E22D6"/>
    <w:rsid w:val="005E3172"/>
    <w:rsid w:val="005E74A8"/>
    <w:rsid w:val="005F410E"/>
    <w:rsid w:val="005F4C1B"/>
    <w:rsid w:val="005F5610"/>
    <w:rsid w:val="005F57EC"/>
    <w:rsid w:val="005F5825"/>
    <w:rsid w:val="005F645D"/>
    <w:rsid w:val="005F6B6C"/>
    <w:rsid w:val="006022A7"/>
    <w:rsid w:val="00602322"/>
    <w:rsid w:val="006068F3"/>
    <w:rsid w:val="00610938"/>
    <w:rsid w:val="0061134B"/>
    <w:rsid w:val="0061154C"/>
    <w:rsid w:val="00613FF1"/>
    <w:rsid w:val="00622B94"/>
    <w:rsid w:val="006242DA"/>
    <w:rsid w:val="00625BD7"/>
    <w:rsid w:val="00627550"/>
    <w:rsid w:val="00633486"/>
    <w:rsid w:val="00634343"/>
    <w:rsid w:val="006355A9"/>
    <w:rsid w:val="00636A46"/>
    <w:rsid w:val="006416D1"/>
    <w:rsid w:val="00643F37"/>
    <w:rsid w:val="00644A7C"/>
    <w:rsid w:val="00644F94"/>
    <w:rsid w:val="006451C7"/>
    <w:rsid w:val="006462C1"/>
    <w:rsid w:val="006464F7"/>
    <w:rsid w:val="00646918"/>
    <w:rsid w:val="00646930"/>
    <w:rsid w:val="00646F3B"/>
    <w:rsid w:val="00651620"/>
    <w:rsid w:val="0065165E"/>
    <w:rsid w:val="0065178D"/>
    <w:rsid w:val="00651D16"/>
    <w:rsid w:val="0065274C"/>
    <w:rsid w:val="00654335"/>
    <w:rsid w:val="00655A69"/>
    <w:rsid w:val="006562F4"/>
    <w:rsid w:val="006568B9"/>
    <w:rsid w:val="00656B14"/>
    <w:rsid w:val="00657052"/>
    <w:rsid w:val="00657A40"/>
    <w:rsid w:val="006601AC"/>
    <w:rsid w:val="0066037A"/>
    <w:rsid w:val="006620C9"/>
    <w:rsid w:val="00662D26"/>
    <w:rsid w:val="00663504"/>
    <w:rsid w:val="006637E5"/>
    <w:rsid w:val="00664D3C"/>
    <w:rsid w:val="006660C1"/>
    <w:rsid w:val="00666CC4"/>
    <w:rsid w:val="0066770E"/>
    <w:rsid w:val="00670D67"/>
    <w:rsid w:val="00670F43"/>
    <w:rsid w:val="0067592D"/>
    <w:rsid w:val="00676AB1"/>
    <w:rsid w:val="00685156"/>
    <w:rsid w:val="006855C8"/>
    <w:rsid w:val="00685C30"/>
    <w:rsid w:val="006877EF"/>
    <w:rsid w:val="00687F43"/>
    <w:rsid w:val="006921D0"/>
    <w:rsid w:val="006934CC"/>
    <w:rsid w:val="00694E37"/>
    <w:rsid w:val="00695DEF"/>
    <w:rsid w:val="006A128E"/>
    <w:rsid w:val="006A2A9B"/>
    <w:rsid w:val="006A362F"/>
    <w:rsid w:val="006B0F73"/>
    <w:rsid w:val="006B124F"/>
    <w:rsid w:val="006B2578"/>
    <w:rsid w:val="006B46BB"/>
    <w:rsid w:val="006B5B6D"/>
    <w:rsid w:val="006B7102"/>
    <w:rsid w:val="006B779F"/>
    <w:rsid w:val="006B7CF3"/>
    <w:rsid w:val="006C0347"/>
    <w:rsid w:val="006C108E"/>
    <w:rsid w:val="006C1F57"/>
    <w:rsid w:val="006C5DAA"/>
    <w:rsid w:val="006C75CF"/>
    <w:rsid w:val="006D13AC"/>
    <w:rsid w:val="006D4EB8"/>
    <w:rsid w:val="006D5442"/>
    <w:rsid w:val="006D61C2"/>
    <w:rsid w:val="006D68F5"/>
    <w:rsid w:val="006D704B"/>
    <w:rsid w:val="006D7B24"/>
    <w:rsid w:val="006D7E60"/>
    <w:rsid w:val="006E18D4"/>
    <w:rsid w:val="006E3406"/>
    <w:rsid w:val="006E38A3"/>
    <w:rsid w:val="006E5EBE"/>
    <w:rsid w:val="006F005E"/>
    <w:rsid w:val="006F2298"/>
    <w:rsid w:val="006F4088"/>
    <w:rsid w:val="006F4222"/>
    <w:rsid w:val="006F7155"/>
    <w:rsid w:val="006F72FF"/>
    <w:rsid w:val="00701473"/>
    <w:rsid w:val="00701F4D"/>
    <w:rsid w:val="00704FEB"/>
    <w:rsid w:val="00706AAD"/>
    <w:rsid w:val="007071A6"/>
    <w:rsid w:val="007114C6"/>
    <w:rsid w:val="00712521"/>
    <w:rsid w:val="00713A2C"/>
    <w:rsid w:val="00716CC2"/>
    <w:rsid w:val="00717787"/>
    <w:rsid w:val="007239F4"/>
    <w:rsid w:val="00724A34"/>
    <w:rsid w:val="007269AC"/>
    <w:rsid w:val="007276F5"/>
    <w:rsid w:val="00727784"/>
    <w:rsid w:val="0073051B"/>
    <w:rsid w:val="0073170F"/>
    <w:rsid w:val="00731852"/>
    <w:rsid w:val="00732B7F"/>
    <w:rsid w:val="00734E9C"/>
    <w:rsid w:val="007353AB"/>
    <w:rsid w:val="0073583C"/>
    <w:rsid w:val="007375D5"/>
    <w:rsid w:val="0074062A"/>
    <w:rsid w:val="00741205"/>
    <w:rsid w:val="00741A94"/>
    <w:rsid w:val="00743D31"/>
    <w:rsid w:val="00743E79"/>
    <w:rsid w:val="0074542B"/>
    <w:rsid w:val="007467A0"/>
    <w:rsid w:val="0074702E"/>
    <w:rsid w:val="00747845"/>
    <w:rsid w:val="00747E94"/>
    <w:rsid w:val="00753018"/>
    <w:rsid w:val="007534CC"/>
    <w:rsid w:val="00753698"/>
    <w:rsid w:val="0075483B"/>
    <w:rsid w:val="00755E8D"/>
    <w:rsid w:val="00756E16"/>
    <w:rsid w:val="007613A8"/>
    <w:rsid w:val="00762A2F"/>
    <w:rsid w:val="00763042"/>
    <w:rsid w:val="00763418"/>
    <w:rsid w:val="0076459E"/>
    <w:rsid w:val="007655C8"/>
    <w:rsid w:val="00765F08"/>
    <w:rsid w:val="007661E3"/>
    <w:rsid w:val="00767545"/>
    <w:rsid w:val="00771F08"/>
    <w:rsid w:val="00774101"/>
    <w:rsid w:val="00776D8A"/>
    <w:rsid w:val="00777244"/>
    <w:rsid w:val="00780592"/>
    <w:rsid w:val="00782395"/>
    <w:rsid w:val="00783C3E"/>
    <w:rsid w:val="007846A6"/>
    <w:rsid w:val="00793743"/>
    <w:rsid w:val="007938B6"/>
    <w:rsid w:val="00797493"/>
    <w:rsid w:val="007975D5"/>
    <w:rsid w:val="00797B19"/>
    <w:rsid w:val="007A0ED9"/>
    <w:rsid w:val="007A1401"/>
    <w:rsid w:val="007A17D5"/>
    <w:rsid w:val="007A1F5D"/>
    <w:rsid w:val="007A30A5"/>
    <w:rsid w:val="007A4BB7"/>
    <w:rsid w:val="007A6137"/>
    <w:rsid w:val="007A69DC"/>
    <w:rsid w:val="007B0347"/>
    <w:rsid w:val="007B06F3"/>
    <w:rsid w:val="007B1EB3"/>
    <w:rsid w:val="007B58CB"/>
    <w:rsid w:val="007B6512"/>
    <w:rsid w:val="007B6C64"/>
    <w:rsid w:val="007C00EA"/>
    <w:rsid w:val="007C12A7"/>
    <w:rsid w:val="007C235B"/>
    <w:rsid w:val="007C667C"/>
    <w:rsid w:val="007C6FC3"/>
    <w:rsid w:val="007D450B"/>
    <w:rsid w:val="007D5E4B"/>
    <w:rsid w:val="007D7F12"/>
    <w:rsid w:val="007E0D51"/>
    <w:rsid w:val="007E275C"/>
    <w:rsid w:val="007E3B0B"/>
    <w:rsid w:val="007E6073"/>
    <w:rsid w:val="007E7C8C"/>
    <w:rsid w:val="007F0B8B"/>
    <w:rsid w:val="007F0ED4"/>
    <w:rsid w:val="007F39BC"/>
    <w:rsid w:val="00800EF3"/>
    <w:rsid w:val="00801648"/>
    <w:rsid w:val="008026CA"/>
    <w:rsid w:val="0080297F"/>
    <w:rsid w:val="00802A29"/>
    <w:rsid w:val="00803CC8"/>
    <w:rsid w:val="00803FA9"/>
    <w:rsid w:val="00806552"/>
    <w:rsid w:val="00807154"/>
    <w:rsid w:val="0080789D"/>
    <w:rsid w:val="008121B6"/>
    <w:rsid w:val="00813AF1"/>
    <w:rsid w:val="00813E8D"/>
    <w:rsid w:val="008149FC"/>
    <w:rsid w:val="00814AB0"/>
    <w:rsid w:val="008163D5"/>
    <w:rsid w:val="00817069"/>
    <w:rsid w:val="008177CB"/>
    <w:rsid w:val="008210FE"/>
    <w:rsid w:val="00821BDA"/>
    <w:rsid w:val="00822F9D"/>
    <w:rsid w:val="00822FBD"/>
    <w:rsid w:val="00824879"/>
    <w:rsid w:val="0082704A"/>
    <w:rsid w:val="008274CD"/>
    <w:rsid w:val="00827A31"/>
    <w:rsid w:val="00831EB8"/>
    <w:rsid w:val="00832617"/>
    <w:rsid w:val="00835C1A"/>
    <w:rsid w:val="008360CB"/>
    <w:rsid w:val="008406D6"/>
    <w:rsid w:val="00844996"/>
    <w:rsid w:val="00845BDA"/>
    <w:rsid w:val="00845FD2"/>
    <w:rsid w:val="00846654"/>
    <w:rsid w:val="00850B55"/>
    <w:rsid w:val="00851B88"/>
    <w:rsid w:val="00851CCD"/>
    <w:rsid w:val="00853298"/>
    <w:rsid w:val="008533E3"/>
    <w:rsid w:val="00854D97"/>
    <w:rsid w:val="00857220"/>
    <w:rsid w:val="0086199C"/>
    <w:rsid w:val="008642C1"/>
    <w:rsid w:val="0086485E"/>
    <w:rsid w:val="0086595F"/>
    <w:rsid w:val="00865ACA"/>
    <w:rsid w:val="00866E88"/>
    <w:rsid w:val="008701A5"/>
    <w:rsid w:val="00870BB8"/>
    <w:rsid w:val="008724EF"/>
    <w:rsid w:val="0087366D"/>
    <w:rsid w:val="008765E1"/>
    <w:rsid w:val="008811FE"/>
    <w:rsid w:val="008822C1"/>
    <w:rsid w:val="008907B9"/>
    <w:rsid w:val="00897CE8"/>
    <w:rsid w:val="008A0533"/>
    <w:rsid w:val="008A3603"/>
    <w:rsid w:val="008A5413"/>
    <w:rsid w:val="008A54FE"/>
    <w:rsid w:val="008A79BA"/>
    <w:rsid w:val="008B0062"/>
    <w:rsid w:val="008B09AF"/>
    <w:rsid w:val="008B1276"/>
    <w:rsid w:val="008B17D2"/>
    <w:rsid w:val="008B2EA7"/>
    <w:rsid w:val="008B3917"/>
    <w:rsid w:val="008B567C"/>
    <w:rsid w:val="008B6528"/>
    <w:rsid w:val="008B6712"/>
    <w:rsid w:val="008B69BD"/>
    <w:rsid w:val="008B6B6B"/>
    <w:rsid w:val="008C0014"/>
    <w:rsid w:val="008C1A77"/>
    <w:rsid w:val="008C1DA1"/>
    <w:rsid w:val="008C1FA3"/>
    <w:rsid w:val="008C27CF"/>
    <w:rsid w:val="008C2DEA"/>
    <w:rsid w:val="008C3B1C"/>
    <w:rsid w:val="008C3FFD"/>
    <w:rsid w:val="008C707F"/>
    <w:rsid w:val="008C7616"/>
    <w:rsid w:val="008D1D4E"/>
    <w:rsid w:val="008D2B11"/>
    <w:rsid w:val="008D3831"/>
    <w:rsid w:val="008D3C3C"/>
    <w:rsid w:val="008D5169"/>
    <w:rsid w:val="008D5811"/>
    <w:rsid w:val="008D69F9"/>
    <w:rsid w:val="008E0AFA"/>
    <w:rsid w:val="008E0EA3"/>
    <w:rsid w:val="008E18ED"/>
    <w:rsid w:val="008E4C6E"/>
    <w:rsid w:val="008E6A2D"/>
    <w:rsid w:val="008E6E77"/>
    <w:rsid w:val="008F2106"/>
    <w:rsid w:val="008F523A"/>
    <w:rsid w:val="008F5DA7"/>
    <w:rsid w:val="00901337"/>
    <w:rsid w:val="009019F3"/>
    <w:rsid w:val="00901C63"/>
    <w:rsid w:val="009059A1"/>
    <w:rsid w:val="00914D93"/>
    <w:rsid w:val="00916040"/>
    <w:rsid w:val="009175BE"/>
    <w:rsid w:val="00917D32"/>
    <w:rsid w:val="009203BB"/>
    <w:rsid w:val="00922ECD"/>
    <w:rsid w:val="009235A9"/>
    <w:rsid w:val="00923FD5"/>
    <w:rsid w:val="00926891"/>
    <w:rsid w:val="009301E3"/>
    <w:rsid w:val="00930CAA"/>
    <w:rsid w:val="00931938"/>
    <w:rsid w:val="00933D5F"/>
    <w:rsid w:val="00934CFE"/>
    <w:rsid w:val="00936831"/>
    <w:rsid w:val="0094139B"/>
    <w:rsid w:val="009445D3"/>
    <w:rsid w:val="009449D2"/>
    <w:rsid w:val="00951092"/>
    <w:rsid w:val="00951E78"/>
    <w:rsid w:val="009522A3"/>
    <w:rsid w:val="00953527"/>
    <w:rsid w:val="00954BF4"/>
    <w:rsid w:val="00955CA3"/>
    <w:rsid w:val="00956BC7"/>
    <w:rsid w:val="00957C72"/>
    <w:rsid w:val="00957DE6"/>
    <w:rsid w:val="00961284"/>
    <w:rsid w:val="009633AC"/>
    <w:rsid w:val="00963D5A"/>
    <w:rsid w:val="00965828"/>
    <w:rsid w:val="00965B07"/>
    <w:rsid w:val="009703F6"/>
    <w:rsid w:val="00970625"/>
    <w:rsid w:val="00975391"/>
    <w:rsid w:val="0097637E"/>
    <w:rsid w:val="0098010E"/>
    <w:rsid w:val="00983884"/>
    <w:rsid w:val="00984ECC"/>
    <w:rsid w:val="00985EA9"/>
    <w:rsid w:val="009869A3"/>
    <w:rsid w:val="009873B0"/>
    <w:rsid w:val="00991E72"/>
    <w:rsid w:val="00992545"/>
    <w:rsid w:val="00992ED0"/>
    <w:rsid w:val="00993DB9"/>
    <w:rsid w:val="00994460"/>
    <w:rsid w:val="00995020"/>
    <w:rsid w:val="0099631F"/>
    <w:rsid w:val="0099705B"/>
    <w:rsid w:val="00997507"/>
    <w:rsid w:val="009977F2"/>
    <w:rsid w:val="009A099C"/>
    <w:rsid w:val="009A2865"/>
    <w:rsid w:val="009A37BF"/>
    <w:rsid w:val="009A3897"/>
    <w:rsid w:val="009A403C"/>
    <w:rsid w:val="009A42BD"/>
    <w:rsid w:val="009A7177"/>
    <w:rsid w:val="009B4CDA"/>
    <w:rsid w:val="009B56CB"/>
    <w:rsid w:val="009B5732"/>
    <w:rsid w:val="009B66E0"/>
    <w:rsid w:val="009C09F8"/>
    <w:rsid w:val="009C1FED"/>
    <w:rsid w:val="009C3CED"/>
    <w:rsid w:val="009C5236"/>
    <w:rsid w:val="009C5F6A"/>
    <w:rsid w:val="009C7849"/>
    <w:rsid w:val="009C79F4"/>
    <w:rsid w:val="009C7F10"/>
    <w:rsid w:val="009D2EDE"/>
    <w:rsid w:val="009D2F1B"/>
    <w:rsid w:val="009D4210"/>
    <w:rsid w:val="009D4AC4"/>
    <w:rsid w:val="009D7FB0"/>
    <w:rsid w:val="009E1FF3"/>
    <w:rsid w:val="009E2072"/>
    <w:rsid w:val="009E2DA6"/>
    <w:rsid w:val="009E2FDE"/>
    <w:rsid w:val="009E5728"/>
    <w:rsid w:val="009E6AAA"/>
    <w:rsid w:val="009E72BA"/>
    <w:rsid w:val="009E7950"/>
    <w:rsid w:val="009F355B"/>
    <w:rsid w:val="009F41F0"/>
    <w:rsid w:val="009F4391"/>
    <w:rsid w:val="009F5A77"/>
    <w:rsid w:val="009F6A39"/>
    <w:rsid w:val="009F71C4"/>
    <w:rsid w:val="00A00D72"/>
    <w:rsid w:val="00A01F9D"/>
    <w:rsid w:val="00A02D24"/>
    <w:rsid w:val="00A036E0"/>
    <w:rsid w:val="00A05AB5"/>
    <w:rsid w:val="00A13206"/>
    <w:rsid w:val="00A1371B"/>
    <w:rsid w:val="00A1375C"/>
    <w:rsid w:val="00A143D3"/>
    <w:rsid w:val="00A14B51"/>
    <w:rsid w:val="00A157D0"/>
    <w:rsid w:val="00A172F2"/>
    <w:rsid w:val="00A1784A"/>
    <w:rsid w:val="00A17FFC"/>
    <w:rsid w:val="00A22124"/>
    <w:rsid w:val="00A24BEA"/>
    <w:rsid w:val="00A25DA0"/>
    <w:rsid w:val="00A26F22"/>
    <w:rsid w:val="00A27A89"/>
    <w:rsid w:val="00A3043A"/>
    <w:rsid w:val="00A3330F"/>
    <w:rsid w:val="00A338B9"/>
    <w:rsid w:val="00A33933"/>
    <w:rsid w:val="00A354D3"/>
    <w:rsid w:val="00A3580F"/>
    <w:rsid w:val="00A36126"/>
    <w:rsid w:val="00A3672B"/>
    <w:rsid w:val="00A406AD"/>
    <w:rsid w:val="00A420CD"/>
    <w:rsid w:val="00A4469D"/>
    <w:rsid w:val="00A453B6"/>
    <w:rsid w:val="00A526E0"/>
    <w:rsid w:val="00A52ED7"/>
    <w:rsid w:val="00A55F00"/>
    <w:rsid w:val="00A611D1"/>
    <w:rsid w:val="00A66C10"/>
    <w:rsid w:val="00A713B2"/>
    <w:rsid w:val="00A716A3"/>
    <w:rsid w:val="00A71E99"/>
    <w:rsid w:val="00A722FC"/>
    <w:rsid w:val="00A72706"/>
    <w:rsid w:val="00A80A32"/>
    <w:rsid w:val="00A84259"/>
    <w:rsid w:val="00A85F3E"/>
    <w:rsid w:val="00A8709D"/>
    <w:rsid w:val="00A87709"/>
    <w:rsid w:val="00A90900"/>
    <w:rsid w:val="00A92B42"/>
    <w:rsid w:val="00A92F37"/>
    <w:rsid w:val="00A93D1E"/>
    <w:rsid w:val="00A9577C"/>
    <w:rsid w:val="00A96DFB"/>
    <w:rsid w:val="00AA267D"/>
    <w:rsid w:val="00AA27C6"/>
    <w:rsid w:val="00AA3829"/>
    <w:rsid w:val="00AA4B5A"/>
    <w:rsid w:val="00AA50EF"/>
    <w:rsid w:val="00AA6118"/>
    <w:rsid w:val="00AA7A7C"/>
    <w:rsid w:val="00AA7F20"/>
    <w:rsid w:val="00AB1E6B"/>
    <w:rsid w:val="00AB439F"/>
    <w:rsid w:val="00AB48EA"/>
    <w:rsid w:val="00AB4D1D"/>
    <w:rsid w:val="00AB539B"/>
    <w:rsid w:val="00AB5F4A"/>
    <w:rsid w:val="00AB6D67"/>
    <w:rsid w:val="00AB6F8B"/>
    <w:rsid w:val="00AC04ED"/>
    <w:rsid w:val="00AC067E"/>
    <w:rsid w:val="00AC06D9"/>
    <w:rsid w:val="00AC0A33"/>
    <w:rsid w:val="00AC0D3B"/>
    <w:rsid w:val="00AC2A1C"/>
    <w:rsid w:val="00AD1528"/>
    <w:rsid w:val="00AD5857"/>
    <w:rsid w:val="00AD5A3F"/>
    <w:rsid w:val="00AD6158"/>
    <w:rsid w:val="00AE25AC"/>
    <w:rsid w:val="00AE3016"/>
    <w:rsid w:val="00AE57E0"/>
    <w:rsid w:val="00AE6740"/>
    <w:rsid w:val="00AF04B6"/>
    <w:rsid w:val="00AF3549"/>
    <w:rsid w:val="00AF488C"/>
    <w:rsid w:val="00AF5424"/>
    <w:rsid w:val="00AF7101"/>
    <w:rsid w:val="00B00776"/>
    <w:rsid w:val="00B01082"/>
    <w:rsid w:val="00B027D5"/>
    <w:rsid w:val="00B070A9"/>
    <w:rsid w:val="00B12A34"/>
    <w:rsid w:val="00B14BAA"/>
    <w:rsid w:val="00B1568A"/>
    <w:rsid w:val="00B16881"/>
    <w:rsid w:val="00B170C0"/>
    <w:rsid w:val="00B17B66"/>
    <w:rsid w:val="00B20D14"/>
    <w:rsid w:val="00B21E2A"/>
    <w:rsid w:val="00B22679"/>
    <w:rsid w:val="00B231DD"/>
    <w:rsid w:val="00B23B0E"/>
    <w:rsid w:val="00B2459F"/>
    <w:rsid w:val="00B25BB0"/>
    <w:rsid w:val="00B27496"/>
    <w:rsid w:val="00B30B20"/>
    <w:rsid w:val="00B313CB"/>
    <w:rsid w:val="00B319CC"/>
    <w:rsid w:val="00B326FF"/>
    <w:rsid w:val="00B32B69"/>
    <w:rsid w:val="00B32DCC"/>
    <w:rsid w:val="00B32FB6"/>
    <w:rsid w:val="00B35610"/>
    <w:rsid w:val="00B36CCB"/>
    <w:rsid w:val="00B37519"/>
    <w:rsid w:val="00B4126E"/>
    <w:rsid w:val="00B420A9"/>
    <w:rsid w:val="00B423FF"/>
    <w:rsid w:val="00B42C48"/>
    <w:rsid w:val="00B42F0F"/>
    <w:rsid w:val="00B51184"/>
    <w:rsid w:val="00B5406D"/>
    <w:rsid w:val="00B54C69"/>
    <w:rsid w:val="00B56660"/>
    <w:rsid w:val="00B56DC0"/>
    <w:rsid w:val="00B61AAF"/>
    <w:rsid w:val="00B64CBB"/>
    <w:rsid w:val="00B65331"/>
    <w:rsid w:val="00B65A85"/>
    <w:rsid w:val="00B671A3"/>
    <w:rsid w:val="00B67E8C"/>
    <w:rsid w:val="00B70050"/>
    <w:rsid w:val="00B702D2"/>
    <w:rsid w:val="00B71433"/>
    <w:rsid w:val="00B72C22"/>
    <w:rsid w:val="00B735A2"/>
    <w:rsid w:val="00B74BD9"/>
    <w:rsid w:val="00B751A2"/>
    <w:rsid w:val="00B761A3"/>
    <w:rsid w:val="00B76A0E"/>
    <w:rsid w:val="00B77D58"/>
    <w:rsid w:val="00B835AB"/>
    <w:rsid w:val="00B844EB"/>
    <w:rsid w:val="00B84747"/>
    <w:rsid w:val="00B86789"/>
    <w:rsid w:val="00B877BA"/>
    <w:rsid w:val="00B87FE6"/>
    <w:rsid w:val="00B90D9B"/>
    <w:rsid w:val="00B91293"/>
    <w:rsid w:val="00B94442"/>
    <w:rsid w:val="00B96E81"/>
    <w:rsid w:val="00BA0F9D"/>
    <w:rsid w:val="00BA4E2B"/>
    <w:rsid w:val="00BA5AE7"/>
    <w:rsid w:val="00BB0017"/>
    <w:rsid w:val="00BB00D1"/>
    <w:rsid w:val="00BB0A3F"/>
    <w:rsid w:val="00BB2741"/>
    <w:rsid w:val="00BB3342"/>
    <w:rsid w:val="00BB405E"/>
    <w:rsid w:val="00BB49AA"/>
    <w:rsid w:val="00BB514B"/>
    <w:rsid w:val="00BB6825"/>
    <w:rsid w:val="00BB6C9B"/>
    <w:rsid w:val="00BB78AD"/>
    <w:rsid w:val="00BC1485"/>
    <w:rsid w:val="00BC3B21"/>
    <w:rsid w:val="00BC58D3"/>
    <w:rsid w:val="00BC66AF"/>
    <w:rsid w:val="00BC7CBA"/>
    <w:rsid w:val="00BD0CA7"/>
    <w:rsid w:val="00BD2115"/>
    <w:rsid w:val="00BD49F5"/>
    <w:rsid w:val="00BE18DD"/>
    <w:rsid w:val="00BE1984"/>
    <w:rsid w:val="00BE1D5B"/>
    <w:rsid w:val="00BE3C4B"/>
    <w:rsid w:val="00BE4076"/>
    <w:rsid w:val="00BE4984"/>
    <w:rsid w:val="00BF054A"/>
    <w:rsid w:val="00BF175D"/>
    <w:rsid w:val="00BF17E4"/>
    <w:rsid w:val="00BF262F"/>
    <w:rsid w:val="00BF4E19"/>
    <w:rsid w:val="00BF558F"/>
    <w:rsid w:val="00C00412"/>
    <w:rsid w:val="00C00895"/>
    <w:rsid w:val="00C0092F"/>
    <w:rsid w:val="00C01A05"/>
    <w:rsid w:val="00C01B3E"/>
    <w:rsid w:val="00C027BC"/>
    <w:rsid w:val="00C032C2"/>
    <w:rsid w:val="00C033E2"/>
    <w:rsid w:val="00C03A95"/>
    <w:rsid w:val="00C05ECC"/>
    <w:rsid w:val="00C0644E"/>
    <w:rsid w:val="00C06F6F"/>
    <w:rsid w:val="00C07171"/>
    <w:rsid w:val="00C07B05"/>
    <w:rsid w:val="00C07C14"/>
    <w:rsid w:val="00C103E4"/>
    <w:rsid w:val="00C10EA1"/>
    <w:rsid w:val="00C12147"/>
    <w:rsid w:val="00C145BC"/>
    <w:rsid w:val="00C14E88"/>
    <w:rsid w:val="00C15975"/>
    <w:rsid w:val="00C20063"/>
    <w:rsid w:val="00C212D8"/>
    <w:rsid w:val="00C255CD"/>
    <w:rsid w:val="00C25B4D"/>
    <w:rsid w:val="00C31249"/>
    <w:rsid w:val="00C31422"/>
    <w:rsid w:val="00C31A45"/>
    <w:rsid w:val="00C32719"/>
    <w:rsid w:val="00C327B4"/>
    <w:rsid w:val="00C34075"/>
    <w:rsid w:val="00C34A32"/>
    <w:rsid w:val="00C35035"/>
    <w:rsid w:val="00C35EEA"/>
    <w:rsid w:val="00C36C22"/>
    <w:rsid w:val="00C373B6"/>
    <w:rsid w:val="00C37DF6"/>
    <w:rsid w:val="00C409A3"/>
    <w:rsid w:val="00C419D3"/>
    <w:rsid w:val="00C41AEF"/>
    <w:rsid w:val="00C44136"/>
    <w:rsid w:val="00C453DF"/>
    <w:rsid w:val="00C55440"/>
    <w:rsid w:val="00C57A48"/>
    <w:rsid w:val="00C61DF8"/>
    <w:rsid w:val="00C62DC8"/>
    <w:rsid w:val="00C635EC"/>
    <w:rsid w:val="00C666A4"/>
    <w:rsid w:val="00C72009"/>
    <w:rsid w:val="00C7401B"/>
    <w:rsid w:val="00C74A0D"/>
    <w:rsid w:val="00C76147"/>
    <w:rsid w:val="00C76608"/>
    <w:rsid w:val="00C76F5B"/>
    <w:rsid w:val="00C80BBE"/>
    <w:rsid w:val="00C82368"/>
    <w:rsid w:val="00C83B70"/>
    <w:rsid w:val="00C86AB1"/>
    <w:rsid w:val="00C902EC"/>
    <w:rsid w:val="00C92B28"/>
    <w:rsid w:val="00C93235"/>
    <w:rsid w:val="00C94263"/>
    <w:rsid w:val="00C951B9"/>
    <w:rsid w:val="00C96AB9"/>
    <w:rsid w:val="00C96E65"/>
    <w:rsid w:val="00C978CD"/>
    <w:rsid w:val="00CA0446"/>
    <w:rsid w:val="00CA0D5D"/>
    <w:rsid w:val="00CA1E6E"/>
    <w:rsid w:val="00CA2F51"/>
    <w:rsid w:val="00CA3463"/>
    <w:rsid w:val="00CA37DF"/>
    <w:rsid w:val="00CA5B2D"/>
    <w:rsid w:val="00CA5C42"/>
    <w:rsid w:val="00CA6680"/>
    <w:rsid w:val="00CB047E"/>
    <w:rsid w:val="00CB0EDE"/>
    <w:rsid w:val="00CB1114"/>
    <w:rsid w:val="00CC0E70"/>
    <w:rsid w:val="00CC37BC"/>
    <w:rsid w:val="00CC58F3"/>
    <w:rsid w:val="00CD09AB"/>
    <w:rsid w:val="00CD3B98"/>
    <w:rsid w:val="00CD43F9"/>
    <w:rsid w:val="00CD6175"/>
    <w:rsid w:val="00CD68E5"/>
    <w:rsid w:val="00CD7294"/>
    <w:rsid w:val="00CD74C4"/>
    <w:rsid w:val="00CD7C74"/>
    <w:rsid w:val="00CD7E64"/>
    <w:rsid w:val="00CE38D9"/>
    <w:rsid w:val="00CE71FC"/>
    <w:rsid w:val="00CE73A2"/>
    <w:rsid w:val="00CF0D90"/>
    <w:rsid w:val="00CF37DA"/>
    <w:rsid w:val="00CF569B"/>
    <w:rsid w:val="00CF5E83"/>
    <w:rsid w:val="00CF7426"/>
    <w:rsid w:val="00D00D1E"/>
    <w:rsid w:val="00D01F17"/>
    <w:rsid w:val="00D02561"/>
    <w:rsid w:val="00D04834"/>
    <w:rsid w:val="00D05F8F"/>
    <w:rsid w:val="00D06D13"/>
    <w:rsid w:val="00D11511"/>
    <w:rsid w:val="00D11A95"/>
    <w:rsid w:val="00D1311D"/>
    <w:rsid w:val="00D140C1"/>
    <w:rsid w:val="00D17FB5"/>
    <w:rsid w:val="00D203E6"/>
    <w:rsid w:val="00D20675"/>
    <w:rsid w:val="00D20A6B"/>
    <w:rsid w:val="00D2502E"/>
    <w:rsid w:val="00D25268"/>
    <w:rsid w:val="00D253A4"/>
    <w:rsid w:val="00D30451"/>
    <w:rsid w:val="00D31089"/>
    <w:rsid w:val="00D310B4"/>
    <w:rsid w:val="00D32CA2"/>
    <w:rsid w:val="00D3472F"/>
    <w:rsid w:val="00D37CB8"/>
    <w:rsid w:val="00D40172"/>
    <w:rsid w:val="00D40A47"/>
    <w:rsid w:val="00D413C0"/>
    <w:rsid w:val="00D42EE5"/>
    <w:rsid w:val="00D45207"/>
    <w:rsid w:val="00D46F6F"/>
    <w:rsid w:val="00D4791D"/>
    <w:rsid w:val="00D52475"/>
    <w:rsid w:val="00D52BFE"/>
    <w:rsid w:val="00D53515"/>
    <w:rsid w:val="00D5414D"/>
    <w:rsid w:val="00D57385"/>
    <w:rsid w:val="00D574FD"/>
    <w:rsid w:val="00D604CD"/>
    <w:rsid w:val="00D611E5"/>
    <w:rsid w:val="00D63764"/>
    <w:rsid w:val="00D643A7"/>
    <w:rsid w:val="00D64F28"/>
    <w:rsid w:val="00D67213"/>
    <w:rsid w:val="00D67854"/>
    <w:rsid w:val="00D71B9E"/>
    <w:rsid w:val="00D72646"/>
    <w:rsid w:val="00D729DF"/>
    <w:rsid w:val="00D73085"/>
    <w:rsid w:val="00D74D85"/>
    <w:rsid w:val="00D7595E"/>
    <w:rsid w:val="00D76C7A"/>
    <w:rsid w:val="00D800D2"/>
    <w:rsid w:val="00D8271D"/>
    <w:rsid w:val="00D84C89"/>
    <w:rsid w:val="00D8621D"/>
    <w:rsid w:val="00D905EA"/>
    <w:rsid w:val="00D924FC"/>
    <w:rsid w:val="00D93378"/>
    <w:rsid w:val="00D9714C"/>
    <w:rsid w:val="00D97454"/>
    <w:rsid w:val="00DA0436"/>
    <w:rsid w:val="00DA0CEE"/>
    <w:rsid w:val="00DA22A9"/>
    <w:rsid w:val="00DA2C8D"/>
    <w:rsid w:val="00DB1AA6"/>
    <w:rsid w:val="00DB1FA5"/>
    <w:rsid w:val="00DB24D0"/>
    <w:rsid w:val="00DB7F33"/>
    <w:rsid w:val="00DC062C"/>
    <w:rsid w:val="00DC312D"/>
    <w:rsid w:val="00DC48A9"/>
    <w:rsid w:val="00DC7272"/>
    <w:rsid w:val="00DC7DB8"/>
    <w:rsid w:val="00DD0CE1"/>
    <w:rsid w:val="00DD2506"/>
    <w:rsid w:val="00DD2EA2"/>
    <w:rsid w:val="00DD2F66"/>
    <w:rsid w:val="00DD33EC"/>
    <w:rsid w:val="00DD3719"/>
    <w:rsid w:val="00DD3809"/>
    <w:rsid w:val="00DD54CD"/>
    <w:rsid w:val="00DD7095"/>
    <w:rsid w:val="00DE0E10"/>
    <w:rsid w:val="00DE11CB"/>
    <w:rsid w:val="00DE1E42"/>
    <w:rsid w:val="00DE366A"/>
    <w:rsid w:val="00DE788F"/>
    <w:rsid w:val="00DF05E6"/>
    <w:rsid w:val="00DF2034"/>
    <w:rsid w:val="00DF45C0"/>
    <w:rsid w:val="00DF77DE"/>
    <w:rsid w:val="00E0126D"/>
    <w:rsid w:val="00E028F9"/>
    <w:rsid w:val="00E07CC0"/>
    <w:rsid w:val="00E10FA5"/>
    <w:rsid w:val="00E112B8"/>
    <w:rsid w:val="00E12532"/>
    <w:rsid w:val="00E12FE6"/>
    <w:rsid w:val="00E1402A"/>
    <w:rsid w:val="00E141D8"/>
    <w:rsid w:val="00E16312"/>
    <w:rsid w:val="00E201B8"/>
    <w:rsid w:val="00E21163"/>
    <w:rsid w:val="00E21184"/>
    <w:rsid w:val="00E2281B"/>
    <w:rsid w:val="00E246FC"/>
    <w:rsid w:val="00E24DE2"/>
    <w:rsid w:val="00E3253A"/>
    <w:rsid w:val="00E3555E"/>
    <w:rsid w:val="00E3614F"/>
    <w:rsid w:val="00E43437"/>
    <w:rsid w:val="00E43AB1"/>
    <w:rsid w:val="00E50EC6"/>
    <w:rsid w:val="00E54DA8"/>
    <w:rsid w:val="00E56506"/>
    <w:rsid w:val="00E56BA9"/>
    <w:rsid w:val="00E57E03"/>
    <w:rsid w:val="00E60472"/>
    <w:rsid w:val="00E60B12"/>
    <w:rsid w:val="00E615E1"/>
    <w:rsid w:val="00E63C31"/>
    <w:rsid w:val="00E64FAB"/>
    <w:rsid w:val="00E650B9"/>
    <w:rsid w:val="00E658CA"/>
    <w:rsid w:val="00E66AED"/>
    <w:rsid w:val="00E67722"/>
    <w:rsid w:val="00E67CD9"/>
    <w:rsid w:val="00E7122A"/>
    <w:rsid w:val="00E73331"/>
    <w:rsid w:val="00E751E3"/>
    <w:rsid w:val="00E82C47"/>
    <w:rsid w:val="00E832B7"/>
    <w:rsid w:val="00E83B3B"/>
    <w:rsid w:val="00E86E3F"/>
    <w:rsid w:val="00E871C8"/>
    <w:rsid w:val="00E908B8"/>
    <w:rsid w:val="00E93EE6"/>
    <w:rsid w:val="00E95971"/>
    <w:rsid w:val="00E96572"/>
    <w:rsid w:val="00EA5631"/>
    <w:rsid w:val="00EA73FC"/>
    <w:rsid w:val="00EB1880"/>
    <w:rsid w:val="00EB245F"/>
    <w:rsid w:val="00EB247C"/>
    <w:rsid w:val="00EB74FC"/>
    <w:rsid w:val="00EC40F0"/>
    <w:rsid w:val="00EC7C14"/>
    <w:rsid w:val="00ED0AD1"/>
    <w:rsid w:val="00ED1DCB"/>
    <w:rsid w:val="00ED23B2"/>
    <w:rsid w:val="00ED2447"/>
    <w:rsid w:val="00ED5B6F"/>
    <w:rsid w:val="00ED5CBA"/>
    <w:rsid w:val="00ED7217"/>
    <w:rsid w:val="00EE08CB"/>
    <w:rsid w:val="00EE124F"/>
    <w:rsid w:val="00EE5877"/>
    <w:rsid w:val="00EE62B0"/>
    <w:rsid w:val="00EF27FA"/>
    <w:rsid w:val="00EF2DED"/>
    <w:rsid w:val="00EF69B1"/>
    <w:rsid w:val="00EF7212"/>
    <w:rsid w:val="00EF7BCB"/>
    <w:rsid w:val="00F011EC"/>
    <w:rsid w:val="00F03056"/>
    <w:rsid w:val="00F033DA"/>
    <w:rsid w:val="00F0356E"/>
    <w:rsid w:val="00F03B88"/>
    <w:rsid w:val="00F074F3"/>
    <w:rsid w:val="00F12587"/>
    <w:rsid w:val="00F1378F"/>
    <w:rsid w:val="00F13A48"/>
    <w:rsid w:val="00F15F7A"/>
    <w:rsid w:val="00F200E9"/>
    <w:rsid w:val="00F22707"/>
    <w:rsid w:val="00F23468"/>
    <w:rsid w:val="00F3045E"/>
    <w:rsid w:val="00F32791"/>
    <w:rsid w:val="00F32FAC"/>
    <w:rsid w:val="00F342FA"/>
    <w:rsid w:val="00F35E72"/>
    <w:rsid w:val="00F36F6B"/>
    <w:rsid w:val="00F4035C"/>
    <w:rsid w:val="00F4102C"/>
    <w:rsid w:val="00F415A4"/>
    <w:rsid w:val="00F416C3"/>
    <w:rsid w:val="00F428A9"/>
    <w:rsid w:val="00F530C9"/>
    <w:rsid w:val="00F540EB"/>
    <w:rsid w:val="00F54F6C"/>
    <w:rsid w:val="00F55A62"/>
    <w:rsid w:val="00F57231"/>
    <w:rsid w:val="00F60070"/>
    <w:rsid w:val="00F60574"/>
    <w:rsid w:val="00F61F0F"/>
    <w:rsid w:val="00F63BDD"/>
    <w:rsid w:val="00F64FA8"/>
    <w:rsid w:val="00F65DBF"/>
    <w:rsid w:val="00F678FE"/>
    <w:rsid w:val="00F7129C"/>
    <w:rsid w:val="00F71BC1"/>
    <w:rsid w:val="00F72087"/>
    <w:rsid w:val="00F72513"/>
    <w:rsid w:val="00F75EC2"/>
    <w:rsid w:val="00F776AC"/>
    <w:rsid w:val="00F7778A"/>
    <w:rsid w:val="00F800F8"/>
    <w:rsid w:val="00F81992"/>
    <w:rsid w:val="00F820D9"/>
    <w:rsid w:val="00F82E00"/>
    <w:rsid w:val="00F84D72"/>
    <w:rsid w:val="00F852DD"/>
    <w:rsid w:val="00F8648D"/>
    <w:rsid w:val="00F90D5F"/>
    <w:rsid w:val="00F924D1"/>
    <w:rsid w:val="00F92E93"/>
    <w:rsid w:val="00F9481D"/>
    <w:rsid w:val="00F94D15"/>
    <w:rsid w:val="00F94E4F"/>
    <w:rsid w:val="00F9533D"/>
    <w:rsid w:val="00F95AE4"/>
    <w:rsid w:val="00F96D14"/>
    <w:rsid w:val="00F97024"/>
    <w:rsid w:val="00F978B2"/>
    <w:rsid w:val="00FA16CE"/>
    <w:rsid w:val="00FA29D1"/>
    <w:rsid w:val="00FA392C"/>
    <w:rsid w:val="00FA447F"/>
    <w:rsid w:val="00FA56FC"/>
    <w:rsid w:val="00FA6273"/>
    <w:rsid w:val="00FA71F5"/>
    <w:rsid w:val="00FB2956"/>
    <w:rsid w:val="00FB3385"/>
    <w:rsid w:val="00FB4714"/>
    <w:rsid w:val="00FB4B90"/>
    <w:rsid w:val="00FB5F03"/>
    <w:rsid w:val="00FC159F"/>
    <w:rsid w:val="00FC18E4"/>
    <w:rsid w:val="00FC30DB"/>
    <w:rsid w:val="00FC4475"/>
    <w:rsid w:val="00FC4652"/>
    <w:rsid w:val="00FD1061"/>
    <w:rsid w:val="00FD1753"/>
    <w:rsid w:val="00FD2CCF"/>
    <w:rsid w:val="00FD37C9"/>
    <w:rsid w:val="00FD3D07"/>
    <w:rsid w:val="00FD3E0D"/>
    <w:rsid w:val="00FD6272"/>
    <w:rsid w:val="00FE1334"/>
    <w:rsid w:val="00FE25ED"/>
    <w:rsid w:val="00FE54EC"/>
    <w:rsid w:val="00FE58C1"/>
    <w:rsid w:val="00FE603A"/>
    <w:rsid w:val="00FF092C"/>
    <w:rsid w:val="00FF2DDD"/>
    <w:rsid w:val="00FF387A"/>
    <w:rsid w:val="00FF3DC0"/>
    <w:rsid w:val="00FF4AF3"/>
    <w:rsid w:val="00FF5FA3"/>
    <w:rsid w:val="00FF772E"/>
    <w:rsid w:val="00FF7A9A"/>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5378"/>
    <o:shapelayout v:ext="edit">
      <o:idmap v:ext="edit" data="1"/>
    </o:shapelayout>
  </w:shapeDefaults>
  <w:decimalSymbol w:val=","/>
  <w:listSeparator w:val=";"/>
  <w14:docId w14:val="04D1F0A3"/>
  <w15:docId w15:val="{DA2D38CE-0E96-4693-BB55-1D2700A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E4"/>
    <w:rPr>
      <w:rFonts w:ascii="Arial" w:hAnsi="Arial"/>
      <w:sz w:val="18"/>
    </w:rPr>
  </w:style>
  <w:style w:type="paragraph" w:styleId="Ttulo1">
    <w:name w:val="heading 1"/>
    <w:basedOn w:val="Normal"/>
    <w:next w:val="Normal"/>
    <w:link w:val="Ttulo1Char"/>
    <w:autoRedefine/>
    <w:uiPriority w:val="9"/>
    <w:qFormat/>
    <w:rsid w:val="00FC4475"/>
    <w:pPr>
      <w:spacing w:before="120" w:after="120"/>
      <w:outlineLvl w:val="0"/>
    </w:pPr>
    <w:rPr>
      <w:rFonts w:eastAsia="Times New Roman" w:cs="Arial"/>
      <w:b/>
      <w:bCs/>
      <w:color w:val="1F4E79" w:themeColor="accent1" w:themeShade="80"/>
      <w:sz w:val="20"/>
      <w:szCs w:val="20"/>
      <w:lang w:val="en-US"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C74A0D"/>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FC4475"/>
    <w:rPr>
      <w:rFonts w:ascii="Arial" w:eastAsia="Times New Roman" w:hAnsi="Arial" w:cs="Arial"/>
      <w:b/>
      <w:bCs/>
      <w:color w:val="1F4E79" w:themeColor="accent1" w:themeShade="80"/>
      <w:sz w:val="20"/>
      <w:szCs w:val="20"/>
      <w:lang w:val="en-US"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0">
    <w:name w:val="Tabela de Lista 6 Colorida - Ênfase 51"/>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er Char,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er Char Char,Heading 1a Char Char Char Char Char,Draft Char,Table header Char,Draft1 Char,Draft2 Char,Guideline Char,encabezado Char Char Char Char Char Char,Car4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FD2CCF"/>
    <w:pPr>
      <w:tabs>
        <w:tab w:val="right" w:leader="dot" w:pos="9628"/>
      </w:tabs>
      <w:spacing w:after="100" w:line="264" w:lineRule="auto"/>
    </w:pPr>
    <w:rPr>
      <w:rFonts w:cs="Arial"/>
      <w:b/>
      <w:bCs/>
      <w:caps/>
      <w:noProof/>
      <w:color w:val="1F4E79"/>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0">
    <w:name w:val="Tabela de Grade 1 Clara - Ênfase 11"/>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0">
    <w:name w:val="Tabela de Lista 7 Colorida - Ênfase 11"/>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0">
    <w:name w:val="Tabela de Grade 2 - Ênfase 51"/>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0">
    <w:name w:val="Tabela de Grade 6 Colorida - Ênfase 51"/>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0">
    <w:name w:val="Tabela de Lista 2 - Ênfase 51"/>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0">
    <w:name w:val="Tabela de Lista 4 - Ênfase 51"/>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0">
    <w:name w:val="Tabela de Lista 2 - Ênfase 11"/>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
    <w:name w:val="Sem lista1"/>
    <w:next w:val="Semlista"/>
    <w:uiPriority w:val="99"/>
    <w:semiHidden/>
    <w:unhideWhenUsed/>
    <w:rsid w:val="00763042"/>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nhideWhenUsed/>
    <w:rsid w:val="00EE62B0"/>
    <w:rPr>
      <w:sz w:val="16"/>
      <w:szCs w:val="16"/>
    </w:rPr>
  </w:style>
  <w:style w:type="paragraph" w:styleId="Textodecomentrio">
    <w:name w:val="annotation text"/>
    <w:basedOn w:val="Normal"/>
    <w:link w:val="TextodecomentrioChar"/>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5"/>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numbering" w:customStyle="1" w:styleId="Semlista2">
    <w:name w:val="Sem lista2"/>
    <w:next w:val="Semlista"/>
    <w:uiPriority w:val="99"/>
    <w:semiHidden/>
    <w:unhideWhenUsed/>
    <w:rsid w:val="006D5442"/>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
    <w:name w:val="Sem lista11"/>
    <w:next w:val="Semlista"/>
    <w:uiPriority w:val="99"/>
    <w:semiHidden/>
    <w:unhideWhenUsed/>
    <w:rsid w:val="006D5442"/>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0"/>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0"/>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0"/>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character" w:customStyle="1" w:styleId="tlid-translation">
    <w:name w:val="tlid-translation"/>
    <w:basedOn w:val="Fontepargpadro"/>
    <w:rsid w:val="006D704B"/>
  </w:style>
  <w:style w:type="character" w:customStyle="1" w:styleId="shorttext">
    <w:name w:val="short_text"/>
    <w:basedOn w:val="Fontepargpadro"/>
    <w:rsid w:val="006D704B"/>
  </w:style>
  <w:style w:type="character" w:customStyle="1" w:styleId="hps">
    <w:name w:val="hps"/>
    <w:basedOn w:val="Fontepargpadro"/>
    <w:rsid w:val="00BE4984"/>
  </w:style>
  <w:style w:type="numbering" w:customStyle="1" w:styleId="Semlista3">
    <w:name w:val="Sem lista3"/>
    <w:next w:val="Semlista"/>
    <w:uiPriority w:val="99"/>
    <w:semiHidden/>
    <w:unhideWhenUsed/>
    <w:rsid w:val="000F60CC"/>
  </w:style>
  <w:style w:type="table" w:customStyle="1" w:styleId="Tabelacomgrade3">
    <w:name w:val="Tabela com grade3"/>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3">
    <w:name w:val="Tabela de Lista 6 Colorida - Ênfase 513"/>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3">
    <w:name w:val="Tabela de Lista 7 Colorida - Ênfase 113"/>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2">
    <w:name w:val="Sem lista12"/>
    <w:next w:val="Semlista"/>
    <w:uiPriority w:val="99"/>
    <w:semiHidden/>
    <w:unhideWhenUsed/>
    <w:rsid w:val="000F60CC"/>
  </w:style>
  <w:style w:type="table" w:customStyle="1" w:styleId="Tabelacomgrade12">
    <w:name w:val="Tabela com grade12"/>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4">
    <w:name w:val="Tabela de Grade 2 - Ênfase 514"/>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4">
    <w:name w:val="Tabela de Grade 6 Colorida - Ênfase 514"/>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4">
    <w:name w:val="Tabela de Lista 2 - Ênfase 114"/>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4">
    <w:name w:val="Tabela de Lista 4 - Ênfase 114"/>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4">
    <w:name w:val="Tabela de Lista 7 Colorida - Ênfase 114"/>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4">
    <w:name w:val="Tabela de Lista 4 - Ênfase 514"/>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4">
    <w:name w:val="Tabela de Lista 6 Colorida - Ênfase 514"/>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21">
    <w:name w:val="Sem lista21"/>
    <w:next w:val="Semlista"/>
    <w:uiPriority w:val="99"/>
    <w:semiHidden/>
    <w:unhideWhenUsed/>
    <w:rsid w:val="000F60CC"/>
  </w:style>
  <w:style w:type="table" w:customStyle="1" w:styleId="Tabelacomgrade21">
    <w:name w:val="Tabela com grade21"/>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1">
    <w:name w:val="Tabela de Lista 6 Colorida - Ênfase 5111"/>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1">
    <w:name w:val="Tabela de Lista 7 Colorida - Ênfase 1111"/>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1">
    <w:name w:val="Tabela de Grade 2 - Ênfase 5111"/>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1">
    <w:name w:val="Tabela de Grade 6 Colorida - Ênfase 5111"/>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1">
    <w:name w:val="Tabela de Lista 2 - Ênfase 5111"/>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1">
    <w:name w:val="Tabela de Lista 4 - Ênfase 5111"/>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1">
    <w:name w:val="Tabela de Lista 2 - Ênfase 1111"/>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1">
    <w:name w:val="Sem lista111"/>
    <w:next w:val="Semlista"/>
    <w:uiPriority w:val="99"/>
    <w:semiHidden/>
    <w:unhideWhenUsed/>
    <w:rsid w:val="000F60CC"/>
  </w:style>
  <w:style w:type="table" w:customStyle="1" w:styleId="Tabelacomgrade111">
    <w:name w:val="Tabela com grade111"/>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1">
    <w:name w:val="Tabela de Grade 2 - Ênfase 5121"/>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1">
    <w:name w:val="Tabela de Grade 6 Colorida - Ênfase 5121"/>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1">
    <w:name w:val="Tabela de Lista 2 - Ênfase 1121"/>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1">
    <w:name w:val="Tabela de Lista 4 - Ênfase 1121"/>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1">
    <w:name w:val="Tabela de Lista 7 Colorida - Ênfase 1121"/>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1">
    <w:name w:val="Tabela de Lista 4 - Ênfase 5121"/>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21">
    <w:name w:val="Tabela de Lista 6 Colorida - Ênfase 5121"/>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SemEspaamento">
    <w:name w:val="No Spacing"/>
    <w:uiPriority w:val="1"/>
    <w:qFormat/>
    <w:rsid w:val="00ED0AD1"/>
    <w:pPr>
      <w:spacing w:after="0" w:line="240" w:lineRule="auto"/>
    </w:pPr>
    <w:rPr>
      <w:rFonts w:eastAsia="MS Mincho"/>
    </w:rPr>
  </w:style>
  <w:style w:type="numbering" w:customStyle="1" w:styleId="Semlista4">
    <w:name w:val="Sem lista4"/>
    <w:next w:val="Semlista"/>
    <w:uiPriority w:val="99"/>
    <w:semiHidden/>
    <w:unhideWhenUsed/>
    <w:rsid w:val="00625BD7"/>
  </w:style>
  <w:style w:type="paragraph" w:styleId="Corpodetexto2">
    <w:name w:val="Body Text 2"/>
    <w:basedOn w:val="Normal"/>
    <w:link w:val="Corpodetexto2Char"/>
    <w:uiPriority w:val="99"/>
    <w:rsid w:val="00625BD7"/>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625BD7"/>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625BD7"/>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625BD7"/>
    <w:rPr>
      <w:rFonts w:ascii="Times" w:eastAsia="Times New Roman" w:hAnsi="Times" w:cs="Times New Roman"/>
      <w:szCs w:val="20"/>
      <w:lang w:eastAsia="pt-BR"/>
    </w:rPr>
  </w:style>
  <w:style w:type="paragraph" w:customStyle="1" w:styleId="Default">
    <w:name w:val="Default"/>
    <w:rsid w:val="00625BD7"/>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625BD7"/>
    <w:pPr>
      <w:spacing w:line="137" w:lineRule="atLeast"/>
    </w:pPr>
    <w:rPr>
      <w:color w:val="auto"/>
    </w:rPr>
  </w:style>
  <w:style w:type="paragraph" w:customStyle="1" w:styleId="bullet1">
    <w:name w:val="bullet 1"/>
    <w:basedOn w:val="Normal"/>
    <w:rsid w:val="00625BD7"/>
    <w:pPr>
      <w:numPr>
        <w:numId w:val="14"/>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625BD7"/>
    <w:rPr>
      <w:rFonts w:ascii="Arial" w:eastAsia="Times New Roman" w:hAnsi="Arial" w:cs="Times New Roman"/>
      <w:kern w:val="20"/>
      <w:sz w:val="20"/>
      <w:szCs w:val="24"/>
      <w:lang w:eastAsia="en-GB"/>
    </w:rPr>
  </w:style>
  <w:style w:type="character" w:customStyle="1" w:styleId="st">
    <w:name w:val="st"/>
    <w:basedOn w:val="Fontepargpadro"/>
    <w:rsid w:val="00625BD7"/>
  </w:style>
  <w:style w:type="paragraph" w:customStyle="1" w:styleId="Padro">
    <w:name w:val="Padrão"/>
    <w:rsid w:val="00625BD7"/>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625BD7"/>
    <w:pPr>
      <w:numPr>
        <w:numId w:val="15"/>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625BD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25BD7"/>
    <w:rPr>
      <w:rFonts w:ascii="Calibri" w:eastAsia="Calibri" w:hAnsi="Calibri" w:cs="Times New Roman"/>
      <w:sz w:val="20"/>
      <w:szCs w:val="20"/>
    </w:rPr>
  </w:style>
  <w:style w:type="paragraph" w:styleId="NormalWeb">
    <w:name w:val="Normal (Web)"/>
    <w:basedOn w:val="Normal"/>
    <w:uiPriority w:val="99"/>
    <w:semiHidden/>
    <w:unhideWhenUsed/>
    <w:rsid w:val="00625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625BD7"/>
    <w:rPr>
      <w:i/>
      <w:iCs/>
    </w:rPr>
  </w:style>
  <w:style w:type="character" w:customStyle="1" w:styleId="pt-br">
    <w:name w:val="pt-br"/>
    <w:basedOn w:val="Fontepargpadro"/>
    <w:rsid w:val="00625BD7"/>
  </w:style>
  <w:style w:type="character" w:styleId="Forte">
    <w:name w:val="Strong"/>
    <w:uiPriority w:val="22"/>
    <w:qFormat/>
    <w:rsid w:val="00625BD7"/>
    <w:rPr>
      <w:b/>
      <w:bCs/>
    </w:rPr>
  </w:style>
  <w:style w:type="table" w:customStyle="1" w:styleId="TabelaSimples21">
    <w:name w:val="Tabela Simples 21"/>
    <w:basedOn w:val="Tabelanormal"/>
    <w:uiPriority w:val="42"/>
    <w:rsid w:val="00625BD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625BD7"/>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625BD7"/>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625BD7"/>
    <w:rPr>
      <w:rFonts w:ascii="Arial" w:eastAsia="Times New Roman" w:hAnsi="Arial" w:cs="Times New Roman"/>
      <w:sz w:val="18"/>
      <w:szCs w:val="18"/>
      <w:lang w:eastAsia="pt-BR"/>
    </w:rPr>
  </w:style>
  <w:style w:type="paragraph" w:customStyle="1" w:styleId="Textodenotadefim1">
    <w:name w:val="Texto de nota de fim1"/>
    <w:basedOn w:val="Normal"/>
    <w:next w:val="Textodenotadefim"/>
    <w:link w:val="TextodenotadefimChar"/>
    <w:uiPriority w:val="99"/>
    <w:semiHidden/>
    <w:unhideWhenUsed/>
    <w:rsid w:val="00625BD7"/>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1"/>
    <w:uiPriority w:val="99"/>
    <w:semiHidden/>
    <w:rsid w:val="00625BD7"/>
    <w:rPr>
      <w:rFonts w:eastAsia="MS Mincho"/>
      <w:sz w:val="20"/>
      <w:szCs w:val="20"/>
    </w:rPr>
  </w:style>
  <w:style w:type="character" w:styleId="Refdenotadefim">
    <w:name w:val="endnote reference"/>
    <w:basedOn w:val="Fontepargpadro"/>
    <w:uiPriority w:val="99"/>
    <w:semiHidden/>
    <w:unhideWhenUsed/>
    <w:rsid w:val="00625BD7"/>
    <w:rPr>
      <w:vertAlign w:val="superscript"/>
    </w:rPr>
  </w:style>
  <w:style w:type="character" w:customStyle="1" w:styleId="translation">
    <w:name w:val="translation"/>
    <w:rsid w:val="00625BD7"/>
  </w:style>
  <w:style w:type="paragraph" w:styleId="Textodenotadefim">
    <w:name w:val="endnote text"/>
    <w:basedOn w:val="Normal"/>
    <w:link w:val="TextodenotadefimChar1"/>
    <w:uiPriority w:val="99"/>
    <w:semiHidden/>
    <w:unhideWhenUsed/>
    <w:rsid w:val="00625BD7"/>
    <w:pPr>
      <w:spacing w:after="0" w:line="240" w:lineRule="auto"/>
    </w:pPr>
    <w:rPr>
      <w:sz w:val="20"/>
      <w:szCs w:val="20"/>
    </w:rPr>
  </w:style>
  <w:style w:type="character" w:customStyle="1" w:styleId="TextodenotadefimChar1">
    <w:name w:val="Texto de nota de fim Char1"/>
    <w:basedOn w:val="Fontepargpadro"/>
    <w:link w:val="Textodenotadefim"/>
    <w:uiPriority w:val="99"/>
    <w:semiHidden/>
    <w:rsid w:val="00625BD7"/>
    <w:rPr>
      <w:rFonts w:ascii="Arial" w:hAnsi="Arial"/>
      <w:sz w:val="20"/>
      <w:szCs w:val="20"/>
    </w:rPr>
  </w:style>
  <w:style w:type="paragraph" w:styleId="Pr-formataoHTML">
    <w:name w:val="HTML Preformatted"/>
    <w:basedOn w:val="Normal"/>
    <w:link w:val="Pr-formataoHTMLChar"/>
    <w:uiPriority w:val="99"/>
    <w:semiHidden/>
    <w:unhideWhenUsed/>
    <w:rsid w:val="0085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0B55"/>
    <w:rPr>
      <w:rFonts w:ascii="Courier New" w:eastAsia="Times New Roman" w:hAnsi="Courier New" w:cs="Courier New"/>
      <w:sz w:val="20"/>
      <w:szCs w:val="20"/>
      <w:lang w:eastAsia="pt-BR"/>
    </w:rPr>
  </w:style>
  <w:style w:type="paragraph" w:customStyle="1" w:styleId="Normal1">
    <w:name w:val="Normal 1"/>
    <w:basedOn w:val="Normal"/>
    <w:rsid w:val="008121B6"/>
    <w:pPr>
      <w:spacing w:after="240" w:line="280" w:lineRule="atLeast"/>
      <w:ind w:left="454"/>
      <w:jc w:val="both"/>
    </w:pPr>
    <w:rPr>
      <w:rFonts w:ascii="Times New Roman" w:eastAsia="SimSun" w:hAnsi="Times New Roman" w:cs="Times New Roman"/>
      <w:sz w:val="24"/>
      <w:szCs w:val="24"/>
      <w:lang w:val="en-US"/>
    </w:rPr>
  </w:style>
  <w:style w:type="paragraph" w:customStyle="1" w:styleId="Parecer">
    <w:name w:val="Parecer"/>
    <w:basedOn w:val="Normal"/>
    <w:rsid w:val="008121B6"/>
    <w:pPr>
      <w:numPr>
        <w:numId w:val="17"/>
      </w:numPr>
      <w:spacing w:after="240" w:line="280" w:lineRule="atLeast"/>
    </w:pPr>
    <w:rPr>
      <w:rFonts w:ascii="Times New Roman" w:eastAsia="SimSun" w:hAnsi="Times New Roman" w:cs="Times New Roman"/>
      <w:sz w:val="24"/>
      <w:szCs w:val="24"/>
      <w:lang w:val="en-US"/>
    </w:rPr>
  </w:style>
  <w:style w:type="paragraph" w:customStyle="1" w:styleId="DTT">
    <w:name w:val="DTT"/>
    <w:basedOn w:val="Descriodotrabalho"/>
    <w:rsid w:val="008121B6"/>
    <w:pPr>
      <w:spacing w:line="240" w:lineRule="auto"/>
    </w:pPr>
    <w:rPr>
      <w:i w:val="0"/>
      <w:sz w:val="18"/>
    </w:rPr>
  </w:style>
  <w:style w:type="paragraph" w:customStyle="1" w:styleId="Descriodotrabalho">
    <w:name w:val="Descrição do trabalho"/>
    <w:basedOn w:val="Normal"/>
    <w:rsid w:val="008121B6"/>
    <w:pPr>
      <w:spacing w:after="0" w:line="280" w:lineRule="atLeast"/>
    </w:pPr>
    <w:rPr>
      <w:rFonts w:ascii="Univers" w:eastAsia="SimSun" w:hAnsi="Univers" w:cs="Times New Roman"/>
      <w:i/>
      <w:sz w:val="24"/>
      <w:szCs w:val="20"/>
      <w:lang w:val="en-US"/>
    </w:rPr>
  </w:style>
  <w:style w:type="table" w:customStyle="1" w:styleId="TableGrid3">
    <w:name w:val="Table Grid3"/>
    <w:basedOn w:val="Tabelanormal"/>
    <w:next w:val="Tabelacomgrade"/>
    <w:uiPriority w:val="59"/>
    <w:rsid w:val="008121B6"/>
    <w:pPr>
      <w:spacing w:after="0" w:line="240" w:lineRule="auto"/>
    </w:pPr>
    <w:rPr>
      <w:lang w:val="en-GB"/>
    </w:rPr>
    <w:tblPr/>
  </w:style>
  <w:style w:type="paragraph" w:customStyle="1" w:styleId="filename">
    <w:name w:val="filename"/>
    <w:basedOn w:val="Cabealho"/>
    <w:link w:val="filenameChar"/>
    <w:autoRedefine/>
    <w:qFormat/>
    <w:rsid w:val="008121B6"/>
    <w:pPr>
      <w:tabs>
        <w:tab w:val="clear" w:pos="4252"/>
        <w:tab w:val="clear" w:pos="8504"/>
        <w:tab w:val="center" w:pos="4320"/>
        <w:tab w:val="right" w:pos="8640"/>
      </w:tabs>
      <w:jc w:val="both"/>
    </w:pPr>
    <w:rPr>
      <w:rFonts w:asciiTheme="minorHAnsi" w:eastAsia="Times New Roman" w:hAnsiTheme="minorHAnsi" w:cstheme="minorHAnsi"/>
      <w:noProof/>
      <w:sz w:val="10"/>
      <w:szCs w:val="10"/>
    </w:rPr>
  </w:style>
  <w:style w:type="character" w:customStyle="1" w:styleId="filenameChar">
    <w:name w:val="filename Char"/>
    <w:link w:val="filename"/>
    <w:rsid w:val="008121B6"/>
    <w:rPr>
      <w:rFonts w:eastAsia="Times New Roman" w:cstheme="minorHAnsi"/>
      <w:noProof/>
      <w:sz w:val="10"/>
      <w:szCs w:val="10"/>
    </w:rPr>
  </w:style>
  <w:style w:type="paragraph" w:customStyle="1" w:styleId="P68B1DB1-Normal2">
    <w:name w:val="P68B1DB1-Normal2"/>
    <w:basedOn w:val="Normal"/>
    <w:rsid w:val="004F0411"/>
    <w:pPr>
      <w:spacing w:after="200" w:line="276" w:lineRule="auto"/>
    </w:pPr>
    <w:rPr>
      <w:rFonts w:eastAsia="MS Mincho" w:cs="Arial"/>
      <w:szCs w:val="20"/>
      <w:lang w:eastAsia="pt-BR"/>
    </w:rPr>
  </w:style>
  <w:style w:type="paragraph" w:customStyle="1" w:styleId="P68B1DB1-05-Textonormal3">
    <w:name w:val="P68B1DB1-05-Textonormal3"/>
    <w:basedOn w:val="05-Textonormal"/>
    <w:rsid w:val="004F0411"/>
    <w:rPr>
      <w:rFonts w:cs="Arial"/>
      <w:spacing w:val="0"/>
      <w:szCs w:val="20"/>
    </w:rPr>
  </w:style>
  <w:style w:type="character" w:customStyle="1" w:styleId="y2iqfc">
    <w:name w:val="y2iqfc"/>
    <w:basedOn w:val="Fontepargpadro"/>
    <w:rsid w:val="00A354D3"/>
  </w:style>
  <w:style w:type="character" w:customStyle="1" w:styleId="highlight">
    <w:name w:val="highlight"/>
    <w:basedOn w:val="Fontepargpadro"/>
    <w:rsid w:val="00A354D3"/>
  </w:style>
  <w:style w:type="character" w:customStyle="1" w:styleId="Ttulo3Char">
    <w:name w:val="Título 3 Char"/>
    <w:basedOn w:val="Fontepargpadro"/>
    <w:link w:val="Ttulo3"/>
    <w:rsid w:val="00C74A0D"/>
    <w:rPr>
      <w:rFonts w:ascii="Times New Roman" w:eastAsia="Times New Roman" w:hAnsi="Times New Roman" w:cs="Times New Roman"/>
      <w:sz w:val="24"/>
      <w:szCs w:val="20"/>
      <w:lang w:val="x-none" w:eastAsia="zh-CN"/>
    </w:rPr>
  </w:style>
  <w:style w:type="table" w:customStyle="1" w:styleId="TabeladeLista6Colorida-nfase515">
    <w:name w:val="Tabela de Lista 6 Colorida - Ênfase 515"/>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6Colorida-nfase5100">
    <w:name w:val="Tabela de Lista 6 Colorida - Ênfase 51_0"/>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top w:val="single" w:sz="4" w:space="0" w:color="8EAADB"/>
          <w:left w:val="nil"/>
          <w:bottom w:val="single" w:sz="4" w:space="0" w:color="8EAADB"/>
          <w:right w:val="nil"/>
          <w:insideH w:val="nil"/>
          <w:insideV w:val="nil"/>
          <w:tl2br w:val="nil"/>
          <w:tr2bl w:val="nil"/>
        </w:tcBorders>
        <w:shd w:val="clear" w:color="auto" w:fill="D9E2F3"/>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FFFFFF"/>
      </w:tcPr>
    </w:tblStylePr>
    <w:tblStylePr w:type="band2Horz">
      <w:tblPr/>
      <w:tcPr>
        <w:shd w:val="clear" w:color="auto" w:fill="D9E2F3"/>
      </w:tcPr>
    </w:tblStylePr>
  </w:style>
  <w:style w:type="table" w:customStyle="1" w:styleId="TabeladeGrade1Clara-nfase1100">
    <w:name w:val="Tabela de Grade 1 Clara - Ênfase 11_0"/>
    <w:basedOn w:val="Tabelanormal"/>
    <w:uiPriority w:val="46"/>
    <w:rsid w:val="00C74A0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deLista4-nfase1100">
    <w:name w:val="Tabela de Lista 4 - Ênfase 11_0"/>
    <w:basedOn w:val="Tabelanormal"/>
    <w:uiPriority w:val="49"/>
    <w:rsid w:val="00C74A0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7Colorida-nfase1100">
    <w:name w:val="Tabela de Lista 7 Colorida - Ênfase 11_0"/>
    <w:basedOn w:val="Tabelanormal"/>
    <w:uiPriority w:val="52"/>
    <w:rsid w:val="00C74A0D"/>
    <w:pPr>
      <w:spacing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0">
    <w:name w:val="Tabela de Grade 2 - Ênfase 11_0"/>
    <w:basedOn w:val="Tabelanormal"/>
    <w:uiPriority w:val="47"/>
    <w:rsid w:val="00C74A0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2-nfase5100">
    <w:name w:val="Tabela de Grade 2 - Ênfase 51_0"/>
    <w:basedOn w:val="Tabelanormal"/>
    <w:uiPriority w:val="47"/>
    <w:rsid w:val="00C74A0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Grade6Colorida-nfase5100">
    <w:name w:val="Tabela de Grade 6 Colorida - Ênfase 51_0"/>
    <w:basedOn w:val="Tabelanormal"/>
    <w:uiPriority w:val="51"/>
    <w:rsid w:val="00C74A0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5100">
    <w:name w:val="Tabela de Lista 2 - Ênfase 51_0"/>
    <w:basedOn w:val="Tabelanormal"/>
    <w:uiPriority w:val="47"/>
    <w:rsid w:val="00C74A0D"/>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4-nfase5100">
    <w:name w:val="Tabela de Lista 4 - Ênfase 51_0"/>
    <w:basedOn w:val="Tabelanormal"/>
    <w:uiPriority w:val="49"/>
    <w:rsid w:val="00C74A0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1100">
    <w:name w:val="Tabela de Lista 2 - Ênfase 11_0"/>
    <w:basedOn w:val="Tabelanormal"/>
    <w:uiPriority w:val="47"/>
    <w:rsid w:val="00C74A0D"/>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oPendente2">
    <w:name w:val="Menção Pendente2"/>
    <w:basedOn w:val="Fontepargpadro"/>
    <w:uiPriority w:val="99"/>
    <w:semiHidden/>
    <w:unhideWhenUsed/>
    <w:rsid w:val="00C74A0D"/>
    <w:rPr>
      <w:color w:val="605E5C"/>
      <w:shd w:val="clear" w:color="auto" w:fill="E1DFDD"/>
    </w:rPr>
  </w:style>
  <w:style w:type="table" w:customStyle="1" w:styleId="TableGrid31">
    <w:name w:val="Table Grid31"/>
    <w:basedOn w:val="Tabelanormal"/>
    <w:next w:val="Tabelacomgrade"/>
    <w:uiPriority w:val="59"/>
    <w:rsid w:val="004D7600"/>
    <w:pPr>
      <w:spacing w:after="0" w:line="240" w:lineRule="auto"/>
    </w:pPr>
    <w:rPr>
      <w:lang w:val="en-GB"/>
    </w:rPr>
    <w:tblPr/>
  </w:style>
  <w:style w:type="character" w:customStyle="1" w:styleId="q4iawc">
    <w:name w:val="q4iawc"/>
    <w:basedOn w:val="Fontepargpadro"/>
    <w:rsid w:val="009F71C4"/>
  </w:style>
  <w:style w:type="character" w:customStyle="1" w:styleId="MenoPendente3">
    <w:name w:val="Menção Pendente3"/>
    <w:basedOn w:val="Fontepargpadro"/>
    <w:uiPriority w:val="99"/>
    <w:semiHidden/>
    <w:unhideWhenUsed/>
    <w:rsid w:val="00F0356E"/>
    <w:rPr>
      <w:color w:val="605E5C"/>
      <w:shd w:val="clear" w:color="auto" w:fill="E1DFDD"/>
    </w:rPr>
  </w:style>
  <w:style w:type="character" w:customStyle="1" w:styleId="viiyi">
    <w:name w:val="viiyi"/>
    <w:basedOn w:val="Fontepargpadro"/>
    <w:rsid w:val="00F84D72"/>
  </w:style>
  <w:style w:type="character" w:customStyle="1" w:styleId="rynqvb">
    <w:name w:val="rynqvb"/>
    <w:basedOn w:val="Fontepargpadro"/>
    <w:rsid w:val="006451C7"/>
  </w:style>
  <w:style w:type="character" w:customStyle="1" w:styleId="tagt">
    <w:name w:val="tag_t"/>
    <w:basedOn w:val="Fontepargpadro"/>
    <w:rsid w:val="006451C7"/>
  </w:style>
  <w:style w:type="character" w:customStyle="1" w:styleId="hwtze">
    <w:name w:val="hwtze"/>
    <w:basedOn w:val="Fontepargpadro"/>
    <w:rsid w:val="00252C1D"/>
  </w:style>
  <w:style w:type="paragraph" w:customStyle="1" w:styleId="Lista1">
    <w:name w:val="Lista1"/>
    <w:basedOn w:val="Normal"/>
    <w:qFormat/>
    <w:rsid w:val="009D4210"/>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9D4210"/>
    <w:pPr>
      <w:tabs>
        <w:tab w:val="left" w:pos="7083"/>
      </w:tabs>
      <w:spacing w:before="120" w:after="120" w:line="240" w:lineRule="auto"/>
      <w:ind w:right="57"/>
      <w:jc w:val="both"/>
    </w:pPr>
    <w:rPr>
      <w:rFonts w:ascii="Calibri" w:hAnsi="Calibri"/>
      <w:color w:val="002D4B"/>
      <w:sz w:val="20"/>
    </w:rPr>
  </w:style>
  <w:style w:type="character" w:customStyle="1" w:styleId="xcontentpasted0">
    <w:name w:val="x_contentpasted0"/>
    <w:basedOn w:val="Fontepargpadro"/>
    <w:rsid w:val="009D4210"/>
  </w:style>
  <w:style w:type="character" w:customStyle="1" w:styleId="MenoPendente4">
    <w:name w:val="Menção Pendente4"/>
    <w:basedOn w:val="Fontepargpadro"/>
    <w:uiPriority w:val="99"/>
    <w:rsid w:val="009D4210"/>
    <w:rPr>
      <w:color w:val="605E5C"/>
      <w:shd w:val="clear" w:color="auto" w:fill="E1DFDD"/>
    </w:rPr>
  </w:style>
  <w:style w:type="paragraph" w:styleId="Ttulo">
    <w:name w:val="Title"/>
    <w:basedOn w:val="Normal"/>
    <w:next w:val="Normal"/>
    <w:link w:val="TtuloChar"/>
    <w:uiPriority w:val="10"/>
    <w:qFormat/>
    <w:rsid w:val="00F41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4102C"/>
    <w:rPr>
      <w:rFonts w:asciiTheme="majorHAnsi" w:eastAsiaTheme="majorEastAsia" w:hAnsiTheme="majorHAnsi" w:cstheme="majorBidi"/>
      <w:spacing w:val="-10"/>
      <w:kern w:val="28"/>
      <w:sz w:val="56"/>
      <w:szCs w:val="56"/>
    </w:rPr>
  </w:style>
  <w:style w:type="paragraph" w:customStyle="1" w:styleId="08-Tabelageral2">
    <w:name w:val="08-Tabela geral2"/>
    <w:basedOn w:val="Normal"/>
    <w:qFormat/>
    <w:rsid w:val="00991E72"/>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991E72"/>
  </w:style>
  <w:style w:type="character" w:customStyle="1" w:styleId="ui-provider">
    <w:name w:val="ui-provider"/>
    <w:basedOn w:val="Fontepargpadro"/>
    <w:rsid w:val="00C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381052591">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37915025">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505153">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648679077">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12065553">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416929">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09908126">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85032124">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5.png"/><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23.xml"/><Relationship Id="rId58"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footer" Target="footer24.xml"/><Relationship Id="rId19" Type="http://schemas.openxmlformats.org/officeDocument/2006/relationships/footer" Target="footer5.xml"/><Relationship Id="rId14" Type="http://schemas.openxmlformats.org/officeDocument/2006/relationships/image" Target="media/image1.png"/><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5.xml"/><Relationship Id="rId8" Type="http://schemas.openxmlformats.org/officeDocument/2006/relationships/header" Target="header1.xm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header" Target="header19.xml"/><Relationship Id="rId59" Type="http://schemas.openxmlformats.org/officeDocument/2006/relationships/footer" Target="footer23.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19.xml"/><Relationship Id="rId57" Type="http://schemas.openxmlformats.org/officeDocument/2006/relationships/header" Target="header26.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2.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6.png"/></Relationships>
</file>

<file path=word/_rels/header20.xml.rels><?xml version="1.0" encoding="UTF-8" standalone="yes"?>
<Relationships xmlns="http://schemas.openxmlformats.org/package/2006/relationships"><Relationship Id="rId3" Type="http://schemas.openxmlformats.org/officeDocument/2006/relationships/hyperlink" Target="http://www.deloitte.com.br" TargetMode="External"/><Relationship Id="rId2" Type="http://schemas.openxmlformats.org/officeDocument/2006/relationships/image" Target="media/image7.gif"/><Relationship Id="rId1" Type="http://schemas.openxmlformats.org/officeDocument/2006/relationships/hyperlink" Target="http://www.deloitte.com.br" TargetMode="External"/><Relationship Id="rId4" Type="http://schemas.openxmlformats.org/officeDocument/2006/relationships/image" Target="media/image8.gif"/></Relationships>
</file>

<file path=word/_rels/header22.xml.rels><?xml version="1.0" encoding="UTF-8" standalone="yes"?>
<Relationships xmlns="http://schemas.openxmlformats.org/package/2006/relationships"><Relationship Id="rId3" Type="http://schemas.openxmlformats.org/officeDocument/2006/relationships/hyperlink" Target="http://www.deloitte.com.br" TargetMode="External"/><Relationship Id="rId2" Type="http://schemas.openxmlformats.org/officeDocument/2006/relationships/image" Target="media/image7.gif"/><Relationship Id="rId1" Type="http://schemas.openxmlformats.org/officeDocument/2006/relationships/hyperlink" Target="http://www.deloitte.com.br" TargetMode="External"/><Relationship Id="rId4" Type="http://schemas.openxmlformats.org/officeDocument/2006/relationships/image" Target="media/image8.gif"/></Relationships>
</file>

<file path=word/_rels/header23.xml.rels><?xml version="1.0" encoding="UTF-8" standalone="yes"?>
<Relationships xmlns="http://schemas.openxmlformats.org/package/2006/relationships"><Relationship Id="rId1" Type="http://schemas.openxmlformats.org/officeDocument/2006/relationships/image" Target="media/image6.png"/></Relationships>
</file>

<file path=word/_rels/header24.xml.rels><?xml version="1.0" encoding="UTF-8" standalone="yes"?>
<Relationships xmlns="http://schemas.openxmlformats.org/package/2006/relationships"><Relationship Id="rId1" Type="http://schemas.openxmlformats.org/officeDocument/2006/relationships/image" Target="media/image3.jpeg"/></Relationships>
</file>

<file path=word/_rels/header26.xml.rels><?xml version="1.0" encoding="UTF-8" standalone="yes"?>
<Relationships xmlns="http://schemas.openxmlformats.org/package/2006/relationships"><Relationship Id="rId1" Type="http://schemas.openxmlformats.org/officeDocument/2006/relationships/image" Target="media/image3.jpe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9DD16"/>
        </a:solidFill>
        <a:ln w="12700" cap="flat" cmpd="sng" algn="ctr">
          <a:noFill/>
          <a:prstDash val="solid"/>
          <a:miter lim="800000"/>
        </a:ln>
        <a:effectLst/>
      </a:spPr>
      <a:bodyPr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EE916-767E-4ECE-93DF-20204026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28375</Words>
  <Characters>153231</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181244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Edmar de Alencar Silva</cp:lastModifiedBy>
  <cp:revision>3</cp:revision>
  <cp:lastPrinted>2023-05-13T01:42:00Z</cp:lastPrinted>
  <dcterms:created xsi:type="dcterms:W3CDTF">2023-05-13T01:42:00Z</dcterms:created>
  <dcterms:modified xsi:type="dcterms:W3CDTF">2023-05-13T01:45:00Z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2023-05-13T01:44:41Z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f08d3d43-7cfe-474d-9dd2-958fa1cc72ed</vt:lpwstr>
  </property>
  <property fmtid="{D5CDD505-2E9C-101B-9397-08002B2CF9AE}" pid="8" name="MSIP_Label_40881dc9-f7f2-41de-a334-ceff3dc15b31_ContentBits">
    <vt:lpwstr>1</vt:lpwstr>
  </property>
</Properties>
</file>